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BC004" w14:textId="6E5071A4" w:rsidR="00F72C2A" w:rsidRDefault="00F72C2A" w:rsidP="00F72C2A">
      <w:pPr>
        <w:shd w:val="clear" w:color="auto" w:fill="FFFFFF"/>
        <w:spacing w:beforeAutospacing="1" w:afterAutospacing="1"/>
        <w:textAlignment w:val="baseline"/>
      </w:pPr>
      <w:proofErr w:type="spellStart"/>
      <w:r w:rsidRPr="00F72C2A">
        <w:rPr>
          <w:iCs/>
          <w:color w:val="444444"/>
          <w:lang w:eastAsia="hr-HR"/>
        </w:rPr>
        <w:t>This</w:t>
      </w:r>
      <w:proofErr w:type="spellEnd"/>
      <w:r w:rsidRPr="00F72C2A">
        <w:rPr>
          <w:iCs/>
          <w:color w:val="444444"/>
          <w:lang w:eastAsia="hr-HR"/>
        </w:rPr>
        <w:t xml:space="preserve"> </w:t>
      </w:r>
      <w:proofErr w:type="spellStart"/>
      <w:r w:rsidRPr="00F72C2A">
        <w:rPr>
          <w:iCs/>
          <w:color w:val="444444"/>
          <w:lang w:eastAsia="hr-HR"/>
        </w:rPr>
        <w:t>version</w:t>
      </w:r>
      <w:proofErr w:type="spellEnd"/>
      <w:r w:rsidRPr="00F72C2A">
        <w:rPr>
          <w:iCs/>
          <w:color w:val="444444"/>
          <w:lang w:eastAsia="hr-HR"/>
        </w:rPr>
        <w:t xml:space="preserve"> </w:t>
      </w:r>
      <w:proofErr w:type="spellStart"/>
      <w:r w:rsidRPr="00F72C2A">
        <w:rPr>
          <w:iCs/>
          <w:color w:val="444444"/>
          <w:lang w:eastAsia="hr-HR"/>
        </w:rPr>
        <w:t>of</w:t>
      </w:r>
      <w:proofErr w:type="spellEnd"/>
      <w:r w:rsidRPr="00F72C2A">
        <w:rPr>
          <w:iCs/>
          <w:color w:val="444444"/>
          <w:lang w:eastAsia="hr-HR"/>
        </w:rPr>
        <w:t xml:space="preserve"> </w:t>
      </w:r>
      <w:proofErr w:type="spellStart"/>
      <w:r w:rsidRPr="00F72C2A">
        <w:rPr>
          <w:iCs/>
          <w:color w:val="444444"/>
          <w:lang w:eastAsia="hr-HR"/>
        </w:rPr>
        <w:t>the</w:t>
      </w:r>
      <w:proofErr w:type="spellEnd"/>
      <w:r w:rsidRPr="00F72C2A">
        <w:rPr>
          <w:iCs/>
          <w:color w:val="444444"/>
          <w:lang w:eastAsia="hr-HR"/>
        </w:rPr>
        <w:t xml:space="preserve"> </w:t>
      </w:r>
      <w:proofErr w:type="spellStart"/>
      <w:r w:rsidRPr="00F72C2A">
        <w:rPr>
          <w:iCs/>
          <w:color w:val="444444"/>
          <w:lang w:eastAsia="hr-HR"/>
        </w:rPr>
        <w:t>article</w:t>
      </w:r>
      <w:proofErr w:type="spellEnd"/>
      <w:r w:rsidRPr="00F72C2A">
        <w:rPr>
          <w:iCs/>
          <w:color w:val="444444"/>
          <w:lang w:eastAsia="hr-HR"/>
        </w:rPr>
        <w:t xml:space="preserve"> </w:t>
      </w:r>
      <w:proofErr w:type="spellStart"/>
      <w:r w:rsidRPr="00F72C2A">
        <w:rPr>
          <w:iCs/>
          <w:color w:val="444444"/>
          <w:lang w:eastAsia="hr-HR"/>
        </w:rPr>
        <w:t>has</w:t>
      </w:r>
      <w:proofErr w:type="spellEnd"/>
      <w:r w:rsidRPr="00F72C2A">
        <w:rPr>
          <w:iCs/>
          <w:color w:val="444444"/>
          <w:lang w:eastAsia="hr-HR"/>
        </w:rPr>
        <w:t xml:space="preserve"> </w:t>
      </w:r>
      <w:proofErr w:type="spellStart"/>
      <w:r w:rsidRPr="00F72C2A">
        <w:rPr>
          <w:iCs/>
          <w:color w:val="444444"/>
          <w:lang w:eastAsia="hr-HR"/>
        </w:rPr>
        <w:t>been</w:t>
      </w:r>
      <w:proofErr w:type="spellEnd"/>
      <w:r w:rsidRPr="00F72C2A">
        <w:rPr>
          <w:iCs/>
          <w:color w:val="444444"/>
          <w:lang w:eastAsia="hr-HR"/>
        </w:rPr>
        <w:t xml:space="preserve"> </w:t>
      </w:r>
      <w:proofErr w:type="spellStart"/>
      <w:r w:rsidRPr="00F72C2A">
        <w:rPr>
          <w:iCs/>
          <w:color w:val="444444"/>
          <w:lang w:eastAsia="hr-HR"/>
        </w:rPr>
        <w:t>accepted</w:t>
      </w:r>
      <w:proofErr w:type="spellEnd"/>
      <w:r w:rsidRPr="00F72C2A">
        <w:rPr>
          <w:iCs/>
          <w:color w:val="444444"/>
          <w:lang w:eastAsia="hr-HR"/>
        </w:rPr>
        <w:t xml:space="preserve"> for </w:t>
      </w:r>
      <w:proofErr w:type="spellStart"/>
      <w:r w:rsidRPr="00F72C2A">
        <w:rPr>
          <w:iCs/>
          <w:color w:val="444444"/>
          <w:lang w:eastAsia="hr-HR"/>
        </w:rPr>
        <w:t>publication</w:t>
      </w:r>
      <w:proofErr w:type="spellEnd"/>
      <w:r w:rsidRPr="00F72C2A">
        <w:rPr>
          <w:iCs/>
          <w:color w:val="444444"/>
          <w:lang w:eastAsia="hr-HR"/>
        </w:rPr>
        <w:t xml:space="preserve">, </w:t>
      </w:r>
      <w:proofErr w:type="spellStart"/>
      <w:r w:rsidRPr="00F72C2A">
        <w:rPr>
          <w:iCs/>
          <w:color w:val="444444"/>
          <w:lang w:eastAsia="hr-HR"/>
        </w:rPr>
        <w:t>after</w:t>
      </w:r>
      <w:proofErr w:type="spellEnd"/>
      <w:r w:rsidRPr="00F72C2A">
        <w:rPr>
          <w:iCs/>
          <w:color w:val="444444"/>
          <w:lang w:eastAsia="hr-HR"/>
        </w:rPr>
        <w:t xml:space="preserve"> </w:t>
      </w:r>
      <w:proofErr w:type="spellStart"/>
      <w:r w:rsidRPr="00F72C2A">
        <w:rPr>
          <w:iCs/>
          <w:color w:val="444444"/>
          <w:lang w:eastAsia="hr-HR"/>
        </w:rPr>
        <w:t>peer</w:t>
      </w:r>
      <w:proofErr w:type="spellEnd"/>
      <w:r w:rsidRPr="00F72C2A">
        <w:rPr>
          <w:iCs/>
          <w:color w:val="444444"/>
          <w:lang w:eastAsia="hr-HR"/>
        </w:rPr>
        <w:t xml:space="preserve"> </w:t>
      </w:r>
      <w:proofErr w:type="spellStart"/>
      <w:r w:rsidRPr="00F72C2A">
        <w:rPr>
          <w:iCs/>
          <w:color w:val="444444"/>
          <w:lang w:eastAsia="hr-HR"/>
        </w:rPr>
        <w:t>review</w:t>
      </w:r>
      <w:proofErr w:type="spellEnd"/>
      <w:r w:rsidRPr="00F72C2A">
        <w:rPr>
          <w:iCs/>
          <w:color w:val="444444"/>
          <w:lang w:eastAsia="hr-HR"/>
        </w:rPr>
        <w:t xml:space="preserve"> </w:t>
      </w:r>
      <w:proofErr w:type="spellStart"/>
      <w:r w:rsidRPr="00F72C2A">
        <w:rPr>
          <w:iCs/>
          <w:color w:val="444444"/>
          <w:lang w:eastAsia="hr-HR"/>
        </w:rPr>
        <w:t>and</w:t>
      </w:r>
      <w:proofErr w:type="spellEnd"/>
      <w:r w:rsidRPr="00F72C2A">
        <w:rPr>
          <w:iCs/>
          <w:color w:val="444444"/>
          <w:lang w:eastAsia="hr-HR"/>
        </w:rPr>
        <w:t xml:space="preserve"> </w:t>
      </w:r>
      <w:proofErr w:type="spellStart"/>
      <w:r w:rsidRPr="00F72C2A">
        <w:rPr>
          <w:iCs/>
          <w:color w:val="444444"/>
          <w:lang w:eastAsia="hr-HR"/>
        </w:rPr>
        <w:t>is</w:t>
      </w:r>
      <w:proofErr w:type="spellEnd"/>
      <w:r w:rsidRPr="00F72C2A">
        <w:rPr>
          <w:iCs/>
          <w:color w:val="444444"/>
          <w:lang w:eastAsia="hr-HR"/>
        </w:rPr>
        <w:t xml:space="preserve"> </w:t>
      </w:r>
      <w:proofErr w:type="spellStart"/>
      <w:r w:rsidRPr="00F72C2A">
        <w:rPr>
          <w:iCs/>
          <w:color w:val="444444"/>
          <w:lang w:eastAsia="hr-HR"/>
        </w:rPr>
        <w:t>subject</w:t>
      </w:r>
      <w:proofErr w:type="spellEnd"/>
      <w:r w:rsidRPr="00F72C2A">
        <w:rPr>
          <w:iCs/>
          <w:color w:val="444444"/>
          <w:lang w:eastAsia="hr-HR"/>
        </w:rPr>
        <w:t xml:space="preserve"> to </w:t>
      </w:r>
      <w:proofErr w:type="spellStart"/>
      <w:r w:rsidRPr="00F72C2A">
        <w:rPr>
          <w:iCs/>
          <w:color w:val="444444"/>
          <w:lang w:eastAsia="hr-HR"/>
        </w:rPr>
        <w:t>Springer</w:t>
      </w:r>
      <w:proofErr w:type="spellEnd"/>
      <w:r w:rsidRPr="00F72C2A">
        <w:rPr>
          <w:iCs/>
          <w:color w:val="444444"/>
          <w:lang w:eastAsia="hr-HR"/>
        </w:rPr>
        <w:t xml:space="preserve"> </w:t>
      </w:r>
      <w:proofErr w:type="spellStart"/>
      <w:r w:rsidRPr="00F72C2A">
        <w:rPr>
          <w:iCs/>
          <w:color w:val="444444"/>
          <w:lang w:eastAsia="hr-HR"/>
        </w:rPr>
        <w:t>Nature’s</w:t>
      </w:r>
      <w:proofErr w:type="spellEnd"/>
      <w:r w:rsidRPr="00F72C2A">
        <w:rPr>
          <w:iCs/>
          <w:color w:val="444444"/>
          <w:lang w:eastAsia="hr-HR"/>
        </w:rPr>
        <w:t> </w:t>
      </w:r>
      <w:hyperlink r:id="rId7" w:tgtFrame="_self" w:history="1">
        <w:r w:rsidRPr="00F72C2A">
          <w:rPr>
            <w:iCs/>
            <w:color w:val="1B778F"/>
            <w:bdr w:val="none" w:sz="0" w:space="0" w:color="auto" w:frame="1"/>
            <w:lang w:eastAsia="hr-HR"/>
          </w:rPr>
          <w:t>AM terms of use</w:t>
        </w:r>
      </w:hyperlink>
      <w:r w:rsidRPr="00F72C2A">
        <w:rPr>
          <w:iCs/>
          <w:color w:val="444444"/>
          <w:lang w:eastAsia="hr-HR"/>
        </w:rPr>
        <w:t xml:space="preserve">, but </w:t>
      </w:r>
      <w:proofErr w:type="spellStart"/>
      <w:r w:rsidRPr="00F72C2A">
        <w:rPr>
          <w:iCs/>
          <w:color w:val="444444"/>
          <w:lang w:eastAsia="hr-HR"/>
        </w:rPr>
        <w:t>is</w:t>
      </w:r>
      <w:proofErr w:type="spellEnd"/>
      <w:r w:rsidRPr="00F72C2A">
        <w:rPr>
          <w:iCs/>
          <w:color w:val="444444"/>
          <w:lang w:eastAsia="hr-HR"/>
        </w:rPr>
        <w:t xml:space="preserve"> </w:t>
      </w:r>
      <w:proofErr w:type="spellStart"/>
      <w:r w:rsidRPr="00F72C2A">
        <w:rPr>
          <w:iCs/>
          <w:color w:val="444444"/>
          <w:lang w:eastAsia="hr-HR"/>
        </w:rPr>
        <w:t>not</w:t>
      </w:r>
      <w:proofErr w:type="spellEnd"/>
      <w:r w:rsidRPr="00F72C2A">
        <w:rPr>
          <w:iCs/>
          <w:color w:val="444444"/>
          <w:lang w:eastAsia="hr-HR"/>
        </w:rPr>
        <w:t xml:space="preserve"> </w:t>
      </w:r>
      <w:proofErr w:type="spellStart"/>
      <w:r w:rsidRPr="00F72C2A">
        <w:rPr>
          <w:iCs/>
          <w:color w:val="444444"/>
          <w:lang w:eastAsia="hr-HR"/>
        </w:rPr>
        <w:t>the</w:t>
      </w:r>
      <w:proofErr w:type="spellEnd"/>
      <w:r w:rsidRPr="00F72C2A">
        <w:rPr>
          <w:iCs/>
          <w:color w:val="444444"/>
          <w:lang w:eastAsia="hr-HR"/>
        </w:rPr>
        <w:t xml:space="preserve"> </w:t>
      </w:r>
      <w:proofErr w:type="spellStart"/>
      <w:r w:rsidRPr="00F72C2A">
        <w:rPr>
          <w:iCs/>
          <w:color w:val="444444"/>
          <w:lang w:eastAsia="hr-HR"/>
        </w:rPr>
        <w:t>Version</w:t>
      </w:r>
      <w:proofErr w:type="spellEnd"/>
      <w:r w:rsidRPr="00F72C2A">
        <w:rPr>
          <w:iCs/>
          <w:color w:val="444444"/>
          <w:lang w:eastAsia="hr-HR"/>
        </w:rPr>
        <w:t xml:space="preserve"> </w:t>
      </w:r>
      <w:proofErr w:type="spellStart"/>
      <w:r w:rsidRPr="00F72C2A">
        <w:rPr>
          <w:iCs/>
          <w:color w:val="444444"/>
          <w:lang w:eastAsia="hr-HR"/>
        </w:rPr>
        <w:t>of</w:t>
      </w:r>
      <w:proofErr w:type="spellEnd"/>
      <w:r w:rsidRPr="00F72C2A">
        <w:rPr>
          <w:iCs/>
          <w:color w:val="444444"/>
          <w:lang w:eastAsia="hr-HR"/>
        </w:rPr>
        <w:t xml:space="preserve"> </w:t>
      </w:r>
      <w:proofErr w:type="spellStart"/>
      <w:r w:rsidRPr="00F72C2A">
        <w:rPr>
          <w:iCs/>
          <w:color w:val="444444"/>
          <w:lang w:eastAsia="hr-HR"/>
        </w:rPr>
        <w:t>Record</w:t>
      </w:r>
      <w:proofErr w:type="spellEnd"/>
      <w:r w:rsidRPr="00F72C2A">
        <w:rPr>
          <w:iCs/>
          <w:color w:val="444444"/>
          <w:lang w:eastAsia="hr-HR"/>
        </w:rPr>
        <w:t xml:space="preserve"> </w:t>
      </w:r>
      <w:proofErr w:type="spellStart"/>
      <w:r w:rsidRPr="00F72C2A">
        <w:rPr>
          <w:iCs/>
          <w:color w:val="444444"/>
          <w:lang w:eastAsia="hr-HR"/>
        </w:rPr>
        <w:t>and</w:t>
      </w:r>
      <w:proofErr w:type="spellEnd"/>
      <w:r w:rsidRPr="00F72C2A">
        <w:rPr>
          <w:iCs/>
          <w:color w:val="444444"/>
          <w:lang w:eastAsia="hr-HR"/>
        </w:rPr>
        <w:t xml:space="preserve"> </w:t>
      </w:r>
      <w:proofErr w:type="spellStart"/>
      <w:r w:rsidRPr="00F72C2A">
        <w:rPr>
          <w:iCs/>
          <w:color w:val="444444"/>
          <w:lang w:eastAsia="hr-HR"/>
        </w:rPr>
        <w:t>does</w:t>
      </w:r>
      <w:proofErr w:type="spellEnd"/>
      <w:r w:rsidRPr="00F72C2A">
        <w:rPr>
          <w:iCs/>
          <w:color w:val="444444"/>
          <w:lang w:eastAsia="hr-HR"/>
        </w:rPr>
        <w:t xml:space="preserve"> </w:t>
      </w:r>
      <w:proofErr w:type="spellStart"/>
      <w:r w:rsidRPr="00F72C2A">
        <w:rPr>
          <w:iCs/>
          <w:color w:val="444444"/>
          <w:lang w:eastAsia="hr-HR"/>
        </w:rPr>
        <w:t>not</w:t>
      </w:r>
      <w:proofErr w:type="spellEnd"/>
      <w:r w:rsidRPr="00F72C2A">
        <w:rPr>
          <w:iCs/>
          <w:color w:val="444444"/>
          <w:lang w:eastAsia="hr-HR"/>
        </w:rPr>
        <w:t xml:space="preserve"> </w:t>
      </w:r>
      <w:proofErr w:type="spellStart"/>
      <w:r w:rsidRPr="00F72C2A">
        <w:rPr>
          <w:iCs/>
          <w:color w:val="444444"/>
          <w:lang w:eastAsia="hr-HR"/>
        </w:rPr>
        <w:t>reflect</w:t>
      </w:r>
      <w:proofErr w:type="spellEnd"/>
      <w:r w:rsidRPr="00F72C2A">
        <w:rPr>
          <w:iCs/>
          <w:color w:val="444444"/>
          <w:lang w:eastAsia="hr-HR"/>
        </w:rPr>
        <w:t xml:space="preserve"> post-</w:t>
      </w:r>
      <w:proofErr w:type="spellStart"/>
      <w:r w:rsidRPr="00F72C2A">
        <w:rPr>
          <w:iCs/>
          <w:color w:val="444444"/>
          <w:lang w:eastAsia="hr-HR"/>
        </w:rPr>
        <w:t>acceptance</w:t>
      </w:r>
      <w:proofErr w:type="spellEnd"/>
      <w:r w:rsidRPr="00F72C2A">
        <w:rPr>
          <w:iCs/>
          <w:color w:val="444444"/>
          <w:lang w:eastAsia="hr-HR"/>
        </w:rPr>
        <w:t xml:space="preserve"> </w:t>
      </w:r>
      <w:proofErr w:type="spellStart"/>
      <w:r w:rsidRPr="00F72C2A">
        <w:rPr>
          <w:iCs/>
          <w:color w:val="444444"/>
          <w:lang w:eastAsia="hr-HR"/>
        </w:rPr>
        <w:t>improvements</w:t>
      </w:r>
      <w:proofErr w:type="spellEnd"/>
      <w:r w:rsidRPr="00F72C2A">
        <w:rPr>
          <w:iCs/>
          <w:color w:val="444444"/>
          <w:lang w:eastAsia="hr-HR"/>
        </w:rPr>
        <w:t xml:space="preserve">, </w:t>
      </w:r>
      <w:proofErr w:type="spellStart"/>
      <w:r w:rsidRPr="00F72C2A">
        <w:rPr>
          <w:iCs/>
          <w:color w:val="444444"/>
          <w:lang w:eastAsia="hr-HR"/>
        </w:rPr>
        <w:t>or</w:t>
      </w:r>
      <w:proofErr w:type="spellEnd"/>
      <w:r w:rsidRPr="00F72C2A">
        <w:rPr>
          <w:iCs/>
          <w:color w:val="444444"/>
          <w:lang w:eastAsia="hr-HR"/>
        </w:rPr>
        <w:t xml:space="preserve"> </w:t>
      </w:r>
      <w:proofErr w:type="spellStart"/>
      <w:r w:rsidRPr="00F72C2A">
        <w:rPr>
          <w:iCs/>
          <w:color w:val="444444"/>
          <w:lang w:eastAsia="hr-HR"/>
        </w:rPr>
        <w:t>any</w:t>
      </w:r>
      <w:proofErr w:type="spellEnd"/>
      <w:r w:rsidRPr="00F72C2A">
        <w:rPr>
          <w:iCs/>
          <w:color w:val="444444"/>
          <w:lang w:eastAsia="hr-HR"/>
        </w:rPr>
        <w:t xml:space="preserve"> </w:t>
      </w:r>
      <w:proofErr w:type="spellStart"/>
      <w:r w:rsidRPr="00F72C2A">
        <w:rPr>
          <w:iCs/>
          <w:color w:val="444444"/>
          <w:lang w:eastAsia="hr-HR"/>
        </w:rPr>
        <w:t>corrections</w:t>
      </w:r>
      <w:proofErr w:type="spellEnd"/>
      <w:r w:rsidRPr="00F72C2A">
        <w:rPr>
          <w:iCs/>
          <w:color w:val="444444"/>
          <w:lang w:eastAsia="hr-HR"/>
        </w:rPr>
        <w:t xml:space="preserve">. </w:t>
      </w:r>
      <w:proofErr w:type="spellStart"/>
      <w:r w:rsidRPr="00F72C2A">
        <w:rPr>
          <w:iCs/>
          <w:color w:val="444444"/>
          <w:lang w:eastAsia="hr-HR"/>
        </w:rPr>
        <w:t>The</w:t>
      </w:r>
      <w:proofErr w:type="spellEnd"/>
      <w:r w:rsidRPr="00F72C2A">
        <w:rPr>
          <w:iCs/>
          <w:color w:val="444444"/>
          <w:lang w:eastAsia="hr-HR"/>
        </w:rPr>
        <w:t xml:space="preserve"> </w:t>
      </w:r>
      <w:proofErr w:type="spellStart"/>
      <w:r w:rsidRPr="00F72C2A">
        <w:rPr>
          <w:iCs/>
          <w:color w:val="444444"/>
          <w:lang w:eastAsia="hr-HR"/>
        </w:rPr>
        <w:t>Version</w:t>
      </w:r>
      <w:proofErr w:type="spellEnd"/>
      <w:r w:rsidRPr="00F72C2A">
        <w:rPr>
          <w:iCs/>
          <w:color w:val="444444"/>
          <w:lang w:eastAsia="hr-HR"/>
        </w:rPr>
        <w:t xml:space="preserve"> </w:t>
      </w:r>
      <w:proofErr w:type="spellStart"/>
      <w:r w:rsidRPr="00F72C2A">
        <w:rPr>
          <w:iCs/>
          <w:color w:val="444444"/>
          <w:lang w:eastAsia="hr-HR"/>
        </w:rPr>
        <w:t>of</w:t>
      </w:r>
      <w:proofErr w:type="spellEnd"/>
      <w:r w:rsidRPr="00F72C2A">
        <w:rPr>
          <w:iCs/>
          <w:color w:val="444444"/>
          <w:lang w:eastAsia="hr-HR"/>
        </w:rPr>
        <w:t xml:space="preserve"> </w:t>
      </w:r>
      <w:proofErr w:type="spellStart"/>
      <w:r w:rsidRPr="00F72C2A">
        <w:rPr>
          <w:iCs/>
          <w:color w:val="444444"/>
          <w:lang w:eastAsia="hr-HR"/>
        </w:rPr>
        <w:t>Record</w:t>
      </w:r>
      <w:proofErr w:type="spellEnd"/>
      <w:r w:rsidRPr="00F72C2A">
        <w:rPr>
          <w:iCs/>
          <w:color w:val="444444"/>
          <w:lang w:eastAsia="hr-HR"/>
        </w:rPr>
        <w:t xml:space="preserve"> </w:t>
      </w:r>
      <w:proofErr w:type="spellStart"/>
      <w:r w:rsidRPr="00F72C2A">
        <w:rPr>
          <w:iCs/>
          <w:color w:val="444444"/>
          <w:lang w:eastAsia="hr-HR"/>
        </w:rPr>
        <w:t>is</w:t>
      </w:r>
      <w:proofErr w:type="spellEnd"/>
      <w:r w:rsidRPr="00F72C2A">
        <w:rPr>
          <w:iCs/>
          <w:color w:val="444444"/>
          <w:lang w:eastAsia="hr-HR"/>
        </w:rPr>
        <w:t xml:space="preserve"> </w:t>
      </w:r>
      <w:proofErr w:type="spellStart"/>
      <w:r w:rsidRPr="00F72C2A">
        <w:rPr>
          <w:iCs/>
          <w:color w:val="444444"/>
          <w:lang w:eastAsia="hr-HR"/>
        </w:rPr>
        <w:t>available</w:t>
      </w:r>
      <w:proofErr w:type="spellEnd"/>
      <w:r w:rsidRPr="00F72C2A">
        <w:rPr>
          <w:iCs/>
          <w:color w:val="444444"/>
          <w:lang w:eastAsia="hr-HR"/>
        </w:rPr>
        <w:t xml:space="preserve"> online at: </w:t>
      </w:r>
      <w:hyperlink r:id="rId8" w:history="1">
        <w:r w:rsidRPr="00552BD7">
          <w:rPr>
            <w:rStyle w:val="Hyperlink"/>
          </w:rPr>
          <w:t>https://doi.org/10.1007/s10212-021-00576-8</w:t>
        </w:r>
      </w:hyperlink>
    </w:p>
    <w:p w14:paraId="546162AC" w14:textId="77777777" w:rsidR="00F72C2A" w:rsidRPr="00F72C2A" w:rsidRDefault="00F72C2A" w:rsidP="00F72C2A">
      <w:pPr>
        <w:shd w:val="clear" w:color="auto" w:fill="FFFFFF"/>
        <w:spacing w:beforeAutospacing="1" w:afterAutospacing="1"/>
        <w:textAlignment w:val="baseline"/>
        <w:rPr>
          <w:b/>
          <w:lang w:val="en-GB"/>
        </w:rPr>
      </w:pPr>
      <w:bookmarkStart w:id="0" w:name="_GoBack"/>
      <w:bookmarkEnd w:id="0"/>
    </w:p>
    <w:p w14:paraId="1D9D3E50" w14:textId="5553BCD7" w:rsidR="0018698D" w:rsidRPr="0018698D" w:rsidRDefault="0018698D" w:rsidP="0018698D">
      <w:pPr>
        <w:spacing w:line="360" w:lineRule="auto"/>
        <w:jc w:val="both"/>
        <w:rPr>
          <w:b/>
          <w:lang w:val="en-GB"/>
        </w:rPr>
      </w:pPr>
      <w:r w:rsidRPr="0018698D">
        <w:rPr>
          <w:b/>
          <w:lang w:val="en-GB"/>
        </w:rPr>
        <w:t xml:space="preserve">Academic </w:t>
      </w:r>
      <w:r w:rsidR="00ED289C">
        <w:rPr>
          <w:b/>
          <w:lang w:val="en-GB"/>
        </w:rPr>
        <w:t>self-</w:t>
      </w:r>
      <w:r w:rsidRPr="0018698D">
        <w:rPr>
          <w:b/>
          <w:lang w:val="en-GB"/>
        </w:rPr>
        <w:t xml:space="preserve">efficacy and learning strategies as mediators of </w:t>
      </w:r>
      <w:r w:rsidR="00144B7A">
        <w:rPr>
          <w:b/>
          <w:lang w:val="en-GB"/>
        </w:rPr>
        <w:t xml:space="preserve">the </w:t>
      </w:r>
      <w:r w:rsidRPr="0018698D">
        <w:rPr>
          <w:b/>
          <w:lang w:val="en-GB"/>
        </w:rPr>
        <w:t>relation between personality and elementary school students’ achievement</w:t>
      </w:r>
    </w:p>
    <w:p w14:paraId="346C345E" w14:textId="77777777" w:rsidR="0018698D" w:rsidRPr="0018698D" w:rsidRDefault="0018698D" w:rsidP="0018698D">
      <w:pPr>
        <w:spacing w:line="360" w:lineRule="auto"/>
        <w:jc w:val="both"/>
        <w:rPr>
          <w:lang w:val="en-GB"/>
        </w:rPr>
      </w:pPr>
    </w:p>
    <w:p w14:paraId="3621C18E" w14:textId="77777777" w:rsidR="0018698D" w:rsidRPr="0018698D" w:rsidRDefault="0018698D" w:rsidP="0018698D">
      <w:pPr>
        <w:spacing w:line="360" w:lineRule="auto"/>
        <w:jc w:val="both"/>
        <w:rPr>
          <w:b/>
          <w:lang w:val="en-GB"/>
        </w:rPr>
      </w:pPr>
      <w:r w:rsidRPr="0018698D">
        <w:rPr>
          <w:b/>
          <w:lang w:val="en-GB"/>
        </w:rPr>
        <w:t>Abstract</w:t>
      </w:r>
    </w:p>
    <w:p w14:paraId="480B4265" w14:textId="09D61CDA" w:rsidR="0018698D" w:rsidRPr="0018698D" w:rsidRDefault="0018698D" w:rsidP="0018698D">
      <w:pPr>
        <w:spacing w:line="360" w:lineRule="auto"/>
        <w:jc w:val="both"/>
        <w:rPr>
          <w:lang w:val="en-GB"/>
        </w:rPr>
      </w:pPr>
      <w:r w:rsidRPr="0018698D">
        <w:rPr>
          <w:lang w:val="en-GB"/>
        </w:rPr>
        <w:t xml:space="preserve">In this study, we examined the mediating role of academic </w:t>
      </w:r>
      <w:r w:rsidR="00ED289C">
        <w:rPr>
          <w:lang w:val="en-GB"/>
        </w:rPr>
        <w:t>self-</w:t>
      </w:r>
      <w:r w:rsidRPr="0018698D">
        <w:rPr>
          <w:lang w:val="en-GB"/>
        </w:rPr>
        <w:t xml:space="preserve">efficacy and motivational learning strategies in </w:t>
      </w:r>
      <w:r w:rsidR="008B7F21">
        <w:rPr>
          <w:lang w:val="en-GB"/>
        </w:rPr>
        <w:t xml:space="preserve">the </w:t>
      </w:r>
      <w:r w:rsidRPr="0018698D">
        <w:rPr>
          <w:lang w:val="en-GB"/>
        </w:rPr>
        <w:t>relationship between personality and elementary school students’ achievement. The data were collected using</w:t>
      </w:r>
      <w:r w:rsidR="00F54BB1">
        <w:rPr>
          <w:lang w:val="en-GB"/>
        </w:rPr>
        <w:t xml:space="preserve"> a</w:t>
      </w:r>
      <w:r w:rsidRPr="0018698D">
        <w:rPr>
          <w:lang w:val="en-GB"/>
        </w:rPr>
        <w:t xml:space="preserve"> questionnaire that was administered to 511 Croatian eight-grade students (14-15 years old) and analysed using Hayes's PROCESS procedure. The results suggest that conscientious students have higher grade point average (GPA) which can partially be explained with their relatively high academic </w:t>
      </w:r>
      <w:r w:rsidR="00ED289C">
        <w:rPr>
          <w:lang w:val="en-GB"/>
        </w:rPr>
        <w:t>self-</w:t>
      </w:r>
      <w:r w:rsidRPr="0018698D">
        <w:rPr>
          <w:lang w:val="en-GB"/>
        </w:rPr>
        <w:t>efficacy and avoidance of using strategies of protecting self-esteem. Findings</w:t>
      </w:r>
      <w:r w:rsidR="00144B7A">
        <w:rPr>
          <w:lang w:val="en-GB"/>
        </w:rPr>
        <w:t xml:space="preserve"> also</w:t>
      </w:r>
      <w:r w:rsidRPr="0018698D">
        <w:rPr>
          <w:lang w:val="en-GB"/>
        </w:rPr>
        <w:t xml:space="preserve"> indicate serial mediating effects of </w:t>
      </w:r>
      <w:r w:rsidR="00ED289C" w:rsidRPr="0018698D">
        <w:rPr>
          <w:lang w:val="en-GB"/>
        </w:rPr>
        <w:t xml:space="preserve">academic </w:t>
      </w:r>
      <w:r w:rsidR="00ED289C">
        <w:rPr>
          <w:lang w:val="en-GB"/>
        </w:rPr>
        <w:t>self-</w:t>
      </w:r>
      <w:r w:rsidR="00ED289C" w:rsidRPr="0018698D">
        <w:rPr>
          <w:lang w:val="en-GB"/>
        </w:rPr>
        <w:t>efficacy</w:t>
      </w:r>
      <w:r w:rsidRPr="0018698D">
        <w:rPr>
          <w:lang w:val="en-GB"/>
        </w:rPr>
        <w:t xml:space="preserve"> and strategies of protecting self-esteem on </w:t>
      </w:r>
      <w:r w:rsidR="00F54BB1">
        <w:rPr>
          <w:lang w:val="en-GB"/>
        </w:rPr>
        <w:t xml:space="preserve">the </w:t>
      </w:r>
      <w:r w:rsidRPr="0018698D">
        <w:rPr>
          <w:lang w:val="en-GB"/>
        </w:rPr>
        <w:t xml:space="preserve">relationship between conscientiousness and GPA. Openness was positively related to GPA, but only indirectly, through </w:t>
      </w:r>
      <w:r w:rsidR="00ED289C" w:rsidRPr="0018698D">
        <w:rPr>
          <w:lang w:val="en-GB"/>
        </w:rPr>
        <w:t xml:space="preserve">academic </w:t>
      </w:r>
      <w:r w:rsidR="00ED289C">
        <w:rPr>
          <w:lang w:val="en-GB"/>
        </w:rPr>
        <w:t>self-</w:t>
      </w:r>
      <w:r w:rsidR="00ED289C" w:rsidRPr="0018698D">
        <w:rPr>
          <w:lang w:val="en-GB"/>
        </w:rPr>
        <w:t>efficacy</w:t>
      </w:r>
      <w:r w:rsidRPr="0018698D">
        <w:rPr>
          <w:lang w:val="en-GB"/>
        </w:rPr>
        <w:t>. Furthermore, we found</w:t>
      </w:r>
      <w:r w:rsidR="00F54BB1">
        <w:rPr>
          <w:lang w:val="en-GB"/>
        </w:rPr>
        <w:t xml:space="preserve"> an</w:t>
      </w:r>
      <w:r w:rsidRPr="0018698D">
        <w:rPr>
          <w:lang w:val="en-GB"/>
        </w:rPr>
        <w:t xml:space="preserve"> indirect effect of agreeableness on GPA through less frequent use of strategies aimed at protecting self-esteem. Neuroticism and extraversion showed no direct nor indirect effects on GPA. Additionally, students with higher </w:t>
      </w:r>
      <w:r w:rsidR="00ED289C" w:rsidRPr="0018698D">
        <w:rPr>
          <w:lang w:val="en-GB"/>
        </w:rPr>
        <w:t xml:space="preserve">academic </w:t>
      </w:r>
      <w:r w:rsidR="00ED289C">
        <w:rPr>
          <w:lang w:val="en-GB"/>
        </w:rPr>
        <w:t>self-</w:t>
      </w:r>
      <w:r w:rsidR="00ED289C" w:rsidRPr="0018698D">
        <w:rPr>
          <w:lang w:val="en-GB"/>
        </w:rPr>
        <w:t>efficacy</w:t>
      </w:r>
      <w:r w:rsidRPr="0018698D">
        <w:rPr>
          <w:lang w:val="en-GB"/>
        </w:rPr>
        <w:t xml:space="preserve"> were less inclined to use strategies of protecting self-esteem. However, there was no effect of </w:t>
      </w:r>
      <w:r w:rsidR="00ED289C" w:rsidRPr="0018698D">
        <w:rPr>
          <w:lang w:val="en-GB"/>
        </w:rPr>
        <w:t xml:space="preserve">academic </w:t>
      </w:r>
      <w:r w:rsidR="00ED289C">
        <w:rPr>
          <w:lang w:val="en-GB"/>
        </w:rPr>
        <w:t>self-</w:t>
      </w:r>
      <w:r w:rsidR="00ED289C" w:rsidRPr="0018698D">
        <w:rPr>
          <w:lang w:val="en-GB"/>
        </w:rPr>
        <w:t>efficacy</w:t>
      </w:r>
      <w:r w:rsidRPr="0018698D">
        <w:rPr>
          <w:lang w:val="en-GB"/>
        </w:rPr>
        <w:t xml:space="preserve"> on strategies of promoting learning process. This study adds to the existing literature by specifically examining serial mediation of </w:t>
      </w:r>
      <w:r w:rsidR="00ED289C" w:rsidRPr="0018698D">
        <w:rPr>
          <w:lang w:val="en-GB"/>
        </w:rPr>
        <w:t xml:space="preserve">academic </w:t>
      </w:r>
      <w:r w:rsidR="00ED289C">
        <w:rPr>
          <w:lang w:val="en-GB"/>
        </w:rPr>
        <w:t>self-</w:t>
      </w:r>
      <w:r w:rsidR="00ED289C" w:rsidRPr="0018698D">
        <w:rPr>
          <w:lang w:val="en-GB"/>
        </w:rPr>
        <w:t>efficacy</w:t>
      </w:r>
      <w:r w:rsidRPr="0018698D">
        <w:rPr>
          <w:lang w:val="en-GB"/>
        </w:rPr>
        <w:t xml:space="preserve"> and learning strategies </w:t>
      </w:r>
      <w:r w:rsidR="00F54BB1">
        <w:rPr>
          <w:lang w:val="en-GB"/>
        </w:rPr>
        <w:t xml:space="preserve">in the relationship between personality and </w:t>
      </w:r>
      <w:r w:rsidRPr="0018698D">
        <w:rPr>
          <w:lang w:val="en-GB"/>
        </w:rPr>
        <w:t xml:space="preserve">GPA. </w:t>
      </w:r>
    </w:p>
    <w:p w14:paraId="72FF066A" w14:textId="77777777" w:rsidR="0018698D" w:rsidRPr="0018698D" w:rsidRDefault="0018698D" w:rsidP="0018698D">
      <w:pPr>
        <w:spacing w:line="360" w:lineRule="auto"/>
        <w:jc w:val="both"/>
        <w:rPr>
          <w:lang w:val="en-GB"/>
        </w:rPr>
      </w:pPr>
    </w:p>
    <w:p w14:paraId="3CA5F5A9" w14:textId="01F9DD94" w:rsidR="0018698D" w:rsidRPr="0018698D" w:rsidRDefault="0018698D" w:rsidP="0018698D">
      <w:pPr>
        <w:spacing w:line="360" w:lineRule="auto"/>
        <w:jc w:val="both"/>
        <w:rPr>
          <w:lang w:val="en-GB"/>
        </w:rPr>
      </w:pPr>
      <w:r w:rsidRPr="0018698D">
        <w:rPr>
          <w:b/>
          <w:lang w:val="en-GB"/>
        </w:rPr>
        <w:t xml:space="preserve">Keywords: </w:t>
      </w:r>
      <w:r w:rsidRPr="0018698D">
        <w:rPr>
          <w:lang w:val="en-GB"/>
        </w:rPr>
        <w:t xml:space="preserve">academic achievement; </w:t>
      </w:r>
      <w:r w:rsidR="00ED289C" w:rsidRPr="0018698D">
        <w:rPr>
          <w:lang w:val="en-GB"/>
        </w:rPr>
        <w:t xml:space="preserve">academic </w:t>
      </w:r>
      <w:r w:rsidR="00ED289C">
        <w:rPr>
          <w:lang w:val="en-GB"/>
        </w:rPr>
        <w:t>self-</w:t>
      </w:r>
      <w:r w:rsidR="00ED289C" w:rsidRPr="0018698D">
        <w:rPr>
          <w:lang w:val="en-GB"/>
        </w:rPr>
        <w:t>efficacy</w:t>
      </w:r>
      <w:r w:rsidRPr="0018698D">
        <w:rPr>
          <w:lang w:val="en-GB"/>
        </w:rPr>
        <w:t>; learning strategies; personality</w:t>
      </w:r>
      <w:r w:rsidR="00144B7A">
        <w:rPr>
          <w:lang w:val="en-GB"/>
        </w:rPr>
        <w:t xml:space="preserve">; </w:t>
      </w:r>
      <w:r w:rsidR="00144B7A" w:rsidRPr="0018698D">
        <w:rPr>
          <w:lang w:val="en-GB"/>
        </w:rPr>
        <w:t>elementary school</w:t>
      </w:r>
    </w:p>
    <w:p w14:paraId="32A1EA68" w14:textId="77777777" w:rsidR="00527744" w:rsidRDefault="00527744" w:rsidP="00727874">
      <w:pPr>
        <w:spacing w:line="360" w:lineRule="auto"/>
        <w:jc w:val="both"/>
        <w:rPr>
          <w:lang w:val="en-GB"/>
        </w:rPr>
      </w:pPr>
    </w:p>
    <w:p w14:paraId="48D57345" w14:textId="49A3F95B" w:rsidR="00727874" w:rsidRPr="00365C4C" w:rsidRDefault="00727874" w:rsidP="00727874">
      <w:pPr>
        <w:spacing w:line="360" w:lineRule="auto"/>
        <w:jc w:val="both"/>
        <w:rPr>
          <w:b/>
          <w:lang w:val="en-GB"/>
        </w:rPr>
      </w:pPr>
      <w:r w:rsidRPr="00365C4C">
        <w:rPr>
          <w:b/>
          <w:lang w:val="en-GB"/>
        </w:rPr>
        <w:t>Introduction</w:t>
      </w:r>
    </w:p>
    <w:p w14:paraId="3F539CC1" w14:textId="104EE5CB" w:rsidR="00365C4C" w:rsidRDefault="00727874" w:rsidP="00365C4C">
      <w:pPr>
        <w:spacing w:after="240" w:line="360" w:lineRule="auto"/>
        <w:jc w:val="both"/>
        <w:rPr>
          <w:lang w:val="en-GB"/>
        </w:rPr>
      </w:pPr>
      <w:r w:rsidRPr="00727874">
        <w:rPr>
          <w:lang w:val="en-GB"/>
        </w:rPr>
        <w:t>Emergence of the five-factor model over the last two decades provided</w:t>
      </w:r>
      <w:r w:rsidR="00144B7A">
        <w:rPr>
          <w:lang w:val="en-GB"/>
        </w:rPr>
        <w:t xml:space="preserve"> a</w:t>
      </w:r>
      <w:r w:rsidRPr="00727874">
        <w:rPr>
          <w:lang w:val="en-GB"/>
        </w:rPr>
        <w:t xml:space="preserve"> universally accepted theoretical framework for the research on the role of personality in learning (</w:t>
      </w:r>
      <w:proofErr w:type="spellStart"/>
      <w:r w:rsidRPr="00727874">
        <w:rPr>
          <w:lang w:val="en-GB"/>
        </w:rPr>
        <w:t>Poropat</w:t>
      </w:r>
      <w:proofErr w:type="spellEnd"/>
      <w:r w:rsidRPr="00727874">
        <w:rPr>
          <w:lang w:val="en-GB"/>
        </w:rPr>
        <w:t xml:space="preserve">, 2016). Five broad dimensions proposed by the model – neuroticism, extraversion, openness to </w:t>
      </w:r>
      <w:r w:rsidRPr="00727874">
        <w:rPr>
          <w:lang w:val="en-GB"/>
        </w:rPr>
        <w:lastRenderedPageBreak/>
        <w:t xml:space="preserve">experience, agreeableness and conscientiousness – have been empirically supported in a variety of cultures (McCrae &amp; </w:t>
      </w:r>
      <w:proofErr w:type="spellStart"/>
      <w:r w:rsidRPr="00727874">
        <w:rPr>
          <w:lang w:val="en-GB"/>
        </w:rPr>
        <w:t>Allik</w:t>
      </w:r>
      <w:proofErr w:type="spellEnd"/>
      <w:r w:rsidRPr="00727874">
        <w:rPr>
          <w:lang w:val="en-GB"/>
        </w:rPr>
        <w:t>, 2002), enabling educational researchers to examine the role of individual differences in educational outcomes beyond cognitive abilities. Several meta-analyses in the last decade highlight the most important findings on the complex relations between personality, learning motivation</w:t>
      </w:r>
      <w:r w:rsidR="00152FE3">
        <w:rPr>
          <w:lang w:val="en-GB"/>
        </w:rPr>
        <w:t xml:space="preserve"> and academic achievement (McAb</w:t>
      </w:r>
      <w:r w:rsidRPr="00727874">
        <w:rPr>
          <w:lang w:val="en-GB"/>
        </w:rPr>
        <w:t xml:space="preserve">ee &amp; Oswald, 2013; </w:t>
      </w:r>
      <w:proofErr w:type="spellStart"/>
      <w:r w:rsidRPr="00727874">
        <w:rPr>
          <w:lang w:val="en-GB"/>
        </w:rPr>
        <w:t>Poropat</w:t>
      </w:r>
      <w:proofErr w:type="spellEnd"/>
      <w:r w:rsidRPr="00727874">
        <w:rPr>
          <w:lang w:val="en-GB"/>
        </w:rPr>
        <w:t>, 2009; 2014</w:t>
      </w:r>
      <w:r w:rsidR="004A51F3">
        <w:rPr>
          <w:lang w:val="en-GB"/>
        </w:rPr>
        <w:t>a</w:t>
      </w:r>
      <w:r w:rsidRPr="00727874">
        <w:rPr>
          <w:lang w:val="en-GB"/>
        </w:rPr>
        <w:t xml:space="preserve">; Schneider &amp; </w:t>
      </w:r>
      <w:proofErr w:type="spellStart"/>
      <w:r w:rsidRPr="00727874">
        <w:rPr>
          <w:lang w:val="en-GB"/>
        </w:rPr>
        <w:t>Preckel</w:t>
      </w:r>
      <w:proofErr w:type="spellEnd"/>
      <w:r w:rsidRPr="00727874">
        <w:rPr>
          <w:lang w:val="en-GB"/>
        </w:rPr>
        <w:t xml:space="preserve">, 2017). </w:t>
      </w:r>
    </w:p>
    <w:p w14:paraId="4264810E" w14:textId="339A3E45" w:rsidR="00727874" w:rsidRPr="00365C4C" w:rsidRDefault="00727874" w:rsidP="00365C4C">
      <w:pPr>
        <w:spacing w:line="360" w:lineRule="auto"/>
        <w:jc w:val="both"/>
        <w:rPr>
          <w:i/>
          <w:lang w:val="en-GB"/>
        </w:rPr>
      </w:pPr>
      <w:r w:rsidRPr="00365C4C">
        <w:rPr>
          <w:i/>
          <w:lang w:val="en-GB"/>
        </w:rPr>
        <w:t>Personality and achievement</w:t>
      </w:r>
    </w:p>
    <w:p w14:paraId="5518C541" w14:textId="75886507" w:rsidR="00125888" w:rsidRPr="00365C4C" w:rsidRDefault="00727874" w:rsidP="00447F8E">
      <w:pPr>
        <w:spacing w:after="240" w:line="360" w:lineRule="auto"/>
        <w:jc w:val="both"/>
        <w:rPr>
          <w:lang w:val="en-GB"/>
        </w:rPr>
      </w:pPr>
      <w:r w:rsidRPr="00727874">
        <w:rPr>
          <w:lang w:val="en-GB"/>
        </w:rPr>
        <w:t>Majority of the studies focused on the role of personality in academic achievement, highlighting conscientiousness as the most important personality determinant of educational performance across all educational levels (</w:t>
      </w:r>
      <w:proofErr w:type="spellStart"/>
      <w:r w:rsidRPr="00727874">
        <w:rPr>
          <w:lang w:val="en-GB"/>
        </w:rPr>
        <w:t>Bratko</w:t>
      </w:r>
      <w:proofErr w:type="spellEnd"/>
      <w:r w:rsidRPr="00727874">
        <w:rPr>
          <w:lang w:val="en-GB"/>
        </w:rPr>
        <w:t>, Chamorro-</w:t>
      </w:r>
      <w:proofErr w:type="spellStart"/>
      <w:r w:rsidRPr="00727874">
        <w:rPr>
          <w:lang w:val="en-GB"/>
        </w:rPr>
        <w:t>Premuzic</w:t>
      </w:r>
      <w:proofErr w:type="spellEnd"/>
      <w:r w:rsidRPr="00727874">
        <w:rPr>
          <w:lang w:val="en-GB"/>
        </w:rPr>
        <w:t xml:space="preserve"> &amp; Saks, 2006; </w:t>
      </w:r>
      <w:proofErr w:type="spellStart"/>
      <w:r w:rsidRPr="00727874">
        <w:rPr>
          <w:lang w:val="en-GB"/>
        </w:rPr>
        <w:t>Poropat</w:t>
      </w:r>
      <w:proofErr w:type="spellEnd"/>
      <w:r w:rsidRPr="00727874">
        <w:rPr>
          <w:lang w:val="en-GB"/>
        </w:rPr>
        <w:t xml:space="preserve">, 2016; </w:t>
      </w:r>
      <w:proofErr w:type="spellStart"/>
      <w:r w:rsidRPr="00727874">
        <w:rPr>
          <w:lang w:val="en-GB"/>
        </w:rPr>
        <w:t>Vedel</w:t>
      </w:r>
      <w:proofErr w:type="spellEnd"/>
      <w:r w:rsidRPr="00727874">
        <w:rPr>
          <w:lang w:val="en-GB"/>
        </w:rPr>
        <w:t xml:space="preserve"> &amp; </w:t>
      </w:r>
      <w:proofErr w:type="spellStart"/>
      <w:r w:rsidRPr="00727874">
        <w:rPr>
          <w:lang w:val="en-GB"/>
        </w:rPr>
        <w:t>Poropat</w:t>
      </w:r>
      <w:proofErr w:type="spellEnd"/>
      <w:r w:rsidRPr="00727874">
        <w:rPr>
          <w:lang w:val="en-GB"/>
        </w:rPr>
        <w:t>, 2017). This relation is particularly strong when conscientiousness is rated by significant others such as parents or teachers (</w:t>
      </w:r>
      <w:proofErr w:type="spellStart"/>
      <w:r w:rsidRPr="00727874">
        <w:rPr>
          <w:lang w:val="en-GB"/>
        </w:rPr>
        <w:t>Poropat</w:t>
      </w:r>
      <w:proofErr w:type="spellEnd"/>
      <w:r w:rsidRPr="00727874">
        <w:rPr>
          <w:lang w:val="en-GB"/>
        </w:rPr>
        <w:t>, 2014</w:t>
      </w:r>
      <w:r w:rsidR="004A51F3">
        <w:rPr>
          <w:lang w:val="en-GB"/>
        </w:rPr>
        <w:t>a</w:t>
      </w:r>
      <w:r w:rsidRPr="00727874">
        <w:rPr>
          <w:lang w:val="en-GB"/>
        </w:rPr>
        <w:t xml:space="preserve">; </w:t>
      </w:r>
      <w:proofErr w:type="spellStart"/>
      <w:r w:rsidRPr="00727874">
        <w:rPr>
          <w:lang w:val="en-GB"/>
        </w:rPr>
        <w:t>M</w:t>
      </w:r>
      <w:r w:rsidR="004A51F3">
        <w:rPr>
          <w:lang w:val="en-GB"/>
        </w:rPr>
        <w:t>a</w:t>
      </w:r>
      <w:r w:rsidRPr="00727874">
        <w:rPr>
          <w:lang w:val="en-GB"/>
        </w:rPr>
        <w:t>cCann</w:t>
      </w:r>
      <w:proofErr w:type="spellEnd"/>
      <w:r w:rsidRPr="00727874">
        <w:rPr>
          <w:lang w:val="en-GB"/>
        </w:rPr>
        <w:t xml:space="preserve">, </w:t>
      </w:r>
      <w:proofErr w:type="spellStart"/>
      <w:r w:rsidRPr="00727874">
        <w:rPr>
          <w:lang w:val="en-GB"/>
        </w:rPr>
        <w:t>Lipnevich</w:t>
      </w:r>
      <w:proofErr w:type="spellEnd"/>
      <w:r w:rsidRPr="00727874">
        <w:rPr>
          <w:lang w:val="en-GB"/>
        </w:rPr>
        <w:t xml:space="preserve">, </w:t>
      </w:r>
      <w:proofErr w:type="spellStart"/>
      <w:r w:rsidRPr="00727874">
        <w:rPr>
          <w:lang w:val="en-GB"/>
        </w:rPr>
        <w:t>Poropat</w:t>
      </w:r>
      <w:proofErr w:type="spellEnd"/>
      <w:r w:rsidRPr="00727874">
        <w:rPr>
          <w:lang w:val="en-GB"/>
        </w:rPr>
        <w:t xml:space="preserve">, </w:t>
      </w:r>
      <w:proofErr w:type="spellStart"/>
      <w:r w:rsidRPr="00727874">
        <w:rPr>
          <w:lang w:val="en-GB"/>
        </w:rPr>
        <w:t>Wiemers</w:t>
      </w:r>
      <w:proofErr w:type="spellEnd"/>
      <w:r w:rsidR="005349C6">
        <w:rPr>
          <w:lang w:val="en-GB"/>
        </w:rPr>
        <w:t>,</w:t>
      </w:r>
      <w:r w:rsidRPr="00727874">
        <w:rPr>
          <w:lang w:val="en-GB"/>
        </w:rPr>
        <w:t xml:space="preserve"> &amp; Roberts, 2015). Self-discipline, orderliness and achievement-striving of conscientious students facilitate adaptive learning behaviours such as academic effort, resulting in higher academic performance at both pre-tertiary and tertiary educational levels (</w:t>
      </w:r>
      <w:proofErr w:type="spellStart"/>
      <w:r w:rsidRPr="00727874">
        <w:rPr>
          <w:lang w:val="en-GB"/>
        </w:rPr>
        <w:t>Noftle</w:t>
      </w:r>
      <w:proofErr w:type="spellEnd"/>
      <w:r w:rsidRPr="00727874">
        <w:rPr>
          <w:lang w:val="en-GB"/>
        </w:rPr>
        <w:t xml:space="preserve"> &amp; Robins, 2007; </w:t>
      </w:r>
      <w:proofErr w:type="spellStart"/>
      <w:r w:rsidRPr="00727874">
        <w:rPr>
          <w:lang w:val="en-GB"/>
        </w:rPr>
        <w:t>Trautwein</w:t>
      </w:r>
      <w:proofErr w:type="spellEnd"/>
      <w:r w:rsidRPr="00727874">
        <w:rPr>
          <w:lang w:val="en-GB"/>
        </w:rPr>
        <w:t xml:space="preserve">, </w:t>
      </w:r>
      <w:proofErr w:type="spellStart"/>
      <w:r w:rsidRPr="00727874">
        <w:rPr>
          <w:lang w:val="en-GB"/>
        </w:rPr>
        <w:t>Lüdtke</w:t>
      </w:r>
      <w:proofErr w:type="spellEnd"/>
      <w:r w:rsidRPr="00727874">
        <w:rPr>
          <w:lang w:val="en-GB"/>
        </w:rPr>
        <w:t xml:space="preserve">, Roberts, </w:t>
      </w:r>
      <w:proofErr w:type="spellStart"/>
      <w:r w:rsidRPr="00727874">
        <w:rPr>
          <w:lang w:val="en-GB"/>
        </w:rPr>
        <w:t>Schnyder</w:t>
      </w:r>
      <w:proofErr w:type="spellEnd"/>
      <w:r w:rsidR="005349C6">
        <w:rPr>
          <w:lang w:val="en-GB"/>
        </w:rPr>
        <w:t>,</w:t>
      </w:r>
      <w:r w:rsidRPr="00727874">
        <w:rPr>
          <w:lang w:val="en-GB"/>
        </w:rPr>
        <w:t xml:space="preserve"> &amp; </w:t>
      </w:r>
      <w:proofErr w:type="spellStart"/>
      <w:r w:rsidRPr="00727874">
        <w:rPr>
          <w:lang w:val="en-GB"/>
        </w:rPr>
        <w:t>Niggli</w:t>
      </w:r>
      <w:proofErr w:type="spellEnd"/>
      <w:r w:rsidRPr="00727874">
        <w:rPr>
          <w:lang w:val="en-GB"/>
        </w:rPr>
        <w:t>, 2009).  Meta-analytic data suggest that this relation is highest in elementary education and robust across different educational contexts, with the size of effects on performance comparable to those of intelligence (</w:t>
      </w:r>
      <w:proofErr w:type="spellStart"/>
      <w:r w:rsidRPr="00727874">
        <w:rPr>
          <w:lang w:val="en-GB"/>
        </w:rPr>
        <w:t>Poropat</w:t>
      </w:r>
      <w:proofErr w:type="spellEnd"/>
      <w:r w:rsidRPr="00727874">
        <w:rPr>
          <w:lang w:val="en-GB"/>
        </w:rPr>
        <w:t>, 2009; 2016). Conscientiousness is related to achievement across different academic domains such as mathematics or physics (</w:t>
      </w:r>
      <w:proofErr w:type="spellStart"/>
      <w:r w:rsidRPr="00727874">
        <w:rPr>
          <w:lang w:val="en-GB"/>
        </w:rPr>
        <w:t>Spinath</w:t>
      </w:r>
      <w:proofErr w:type="spellEnd"/>
      <w:r w:rsidRPr="00727874">
        <w:rPr>
          <w:lang w:val="en-GB"/>
        </w:rPr>
        <w:t xml:space="preserve">, </w:t>
      </w:r>
      <w:proofErr w:type="spellStart"/>
      <w:r w:rsidRPr="00727874">
        <w:rPr>
          <w:lang w:val="en-GB"/>
        </w:rPr>
        <w:t>Freudenthaler</w:t>
      </w:r>
      <w:proofErr w:type="spellEnd"/>
      <w:r w:rsidR="005349C6">
        <w:rPr>
          <w:lang w:val="en-GB"/>
        </w:rPr>
        <w:t>,</w:t>
      </w:r>
      <w:r w:rsidRPr="00727874">
        <w:rPr>
          <w:lang w:val="en-GB"/>
        </w:rPr>
        <w:t xml:space="preserve"> &amp; </w:t>
      </w:r>
      <w:proofErr w:type="spellStart"/>
      <w:r w:rsidRPr="00727874">
        <w:rPr>
          <w:lang w:val="en-GB"/>
        </w:rPr>
        <w:t>Neubauer</w:t>
      </w:r>
      <w:proofErr w:type="spellEnd"/>
      <w:r w:rsidRPr="00727874">
        <w:rPr>
          <w:lang w:val="en-GB"/>
        </w:rPr>
        <w:t xml:space="preserve">, 2010; </w:t>
      </w:r>
      <w:proofErr w:type="spellStart"/>
      <w:r w:rsidRPr="00727874">
        <w:rPr>
          <w:lang w:val="en-GB"/>
        </w:rPr>
        <w:t>Vrdoljak</w:t>
      </w:r>
      <w:proofErr w:type="spellEnd"/>
      <w:r w:rsidRPr="00727874">
        <w:rPr>
          <w:lang w:val="en-GB"/>
        </w:rPr>
        <w:t>, 2015).  Openness to experience is another personality dimension that has been consistently related to higher achievement across different educational levels (</w:t>
      </w:r>
      <w:proofErr w:type="spellStart"/>
      <w:r w:rsidRPr="00727874">
        <w:rPr>
          <w:lang w:val="en-GB"/>
        </w:rPr>
        <w:t>Poropat</w:t>
      </w:r>
      <w:proofErr w:type="spellEnd"/>
      <w:r w:rsidRPr="00727874">
        <w:rPr>
          <w:lang w:val="en-GB"/>
        </w:rPr>
        <w:t>, 2009; 2014</w:t>
      </w:r>
      <w:r w:rsidR="002136BC">
        <w:rPr>
          <w:lang w:val="en-GB"/>
        </w:rPr>
        <w:t xml:space="preserve"> a, b</w:t>
      </w:r>
      <w:r w:rsidRPr="00727874">
        <w:rPr>
          <w:lang w:val="en-GB"/>
        </w:rPr>
        <w:t xml:space="preserve">; </w:t>
      </w:r>
      <w:proofErr w:type="spellStart"/>
      <w:r w:rsidRPr="00727874">
        <w:rPr>
          <w:lang w:val="en-GB"/>
        </w:rPr>
        <w:t>Bratko</w:t>
      </w:r>
      <w:proofErr w:type="spellEnd"/>
      <w:r w:rsidRPr="00727874">
        <w:rPr>
          <w:lang w:val="en-GB"/>
        </w:rPr>
        <w:t>, Chamorro-</w:t>
      </w:r>
      <w:proofErr w:type="spellStart"/>
      <w:r w:rsidRPr="00727874">
        <w:rPr>
          <w:lang w:val="en-GB"/>
        </w:rPr>
        <w:t>Premuzic</w:t>
      </w:r>
      <w:proofErr w:type="spellEnd"/>
      <w:r w:rsidRPr="00727874">
        <w:rPr>
          <w:lang w:val="en-GB"/>
        </w:rPr>
        <w:t xml:space="preserve"> &amp; Saks, 2006), particularly when parent or teacher ratings were used (</w:t>
      </w:r>
      <w:proofErr w:type="spellStart"/>
      <w:r w:rsidRPr="00727874">
        <w:rPr>
          <w:lang w:val="en-GB"/>
        </w:rPr>
        <w:t>Poropat</w:t>
      </w:r>
      <w:proofErr w:type="spellEnd"/>
      <w:r w:rsidRPr="00727874">
        <w:rPr>
          <w:lang w:val="en-GB"/>
        </w:rPr>
        <w:t>, 2014</w:t>
      </w:r>
      <w:r w:rsidR="0011319B">
        <w:rPr>
          <w:lang w:val="en-GB"/>
        </w:rPr>
        <w:t xml:space="preserve"> </w:t>
      </w:r>
      <w:r w:rsidRPr="00727874">
        <w:rPr>
          <w:lang w:val="en-GB"/>
        </w:rPr>
        <w:t>a,</w:t>
      </w:r>
      <w:r w:rsidR="003E73E0">
        <w:rPr>
          <w:lang w:val="en-GB"/>
        </w:rPr>
        <w:t xml:space="preserve"> </w:t>
      </w:r>
      <w:r w:rsidRPr="00727874">
        <w:rPr>
          <w:lang w:val="en-GB"/>
        </w:rPr>
        <w:t xml:space="preserve">b). Intellectual curiosity of open students promotes </w:t>
      </w:r>
      <w:r w:rsidR="00DB36CD">
        <w:rPr>
          <w:lang w:val="en-GB"/>
        </w:rPr>
        <w:t xml:space="preserve">the </w:t>
      </w:r>
      <w:r w:rsidRPr="00727874">
        <w:rPr>
          <w:lang w:val="en-GB"/>
        </w:rPr>
        <w:t>development of learning</w:t>
      </w:r>
      <w:r w:rsidR="00D32723">
        <w:rPr>
          <w:lang w:val="en-GB"/>
        </w:rPr>
        <w:t xml:space="preserve"> </w:t>
      </w:r>
      <w:r w:rsidRPr="00727874">
        <w:rPr>
          <w:lang w:val="en-GB"/>
        </w:rPr>
        <w:t>- oriented motivational patterns which are, in turn, reflect</w:t>
      </w:r>
      <w:r w:rsidR="0097466F">
        <w:rPr>
          <w:lang w:val="en-GB"/>
        </w:rPr>
        <w:t>ed in academic performance (</w:t>
      </w:r>
      <w:proofErr w:type="spellStart"/>
      <w:r w:rsidR="0097466F">
        <w:rPr>
          <w:lang w:val="en-GB"/>
        </w:rPr>
        <w:t>Kom</w:t>
      </w:r>
      <w:r w:rsidRPr="00727874">
        <w:rPr>
          <w:lang w:val="en-GB"/>
        </w:rPr>
        <w:t>ar</w:t>
      </w:r>
      <w:r w:rsidR="0097466F">
        <w:rPr>
          <w:lang w:val="en-GB"/>
        </w:rPr>
        <w:t>r</w:t>
      </w:r>
      <w:r w:rsidRPr="00727874">
        <w:rPr>
          <w:lang w:val="en-GB"/>
        </w:rPr>
        <w:t>aju</w:t>
      </w:r>
      <w:proofErr w:type="spellEnd"/>
      <w:r w:rsidRPr="00727874">
        <w:rPr>
          <w:lang w:val="en-GB"/>
        </w:rPr>
        <w:t xml:space="preserve">, </w:t>
      </w:r>
      <w:proofErr w:type="spellStart"/>
      <w:r w:rsidRPr="00727874">
        <w:rPr>
          <w:lang w:val="en-GB"/>
        </w:rPr>
        <w:t>Karau</w:t>
      </w:r>
      <w:proofErr w:type="spellEnd"/>
      <w:r w:rsidR="005349C6">
        <w:rPr>
          <w:lang w:val="en-GB"/>
        </w:rPr>
        <w:t>,</w:t>
      </w:r>
      <w:r w:rsidRPr="00727874">
        <w:rPr>
          <w:lang w:val="en-GB"/>
        </w:rPr>
        <w:t xml:space="preserve"> &amp; </w:t>
      </w:r>
      <w:proofErr w:type="spellStart"/>
      <w:r w:rsidRPr="00727874">
        <w:rPr>
          <w:lang w:val="en-GB"/>
        </w:rPr>
        <w:t>Schmeck</w:t>
      </w:r>
      <w:proofErr w:type="spellEnd"/>
      <w:r w:rsidRPr="00727874">
        <w:rPr>
          <w:lang w:val="en-GB"/>
        </w:rPr>
        <w:t>, 2009).  The role of agreeableness in educational achievement is less consistently documented compared to conscientiousness and openness. As an interpersonal dimension, agreeableness refers to the quality of relations with others, resulting in prosocial and cooperative attitudes (Graziano &amp; Eisenberg, 1997). Meta-analytic evidence underlines that agreeableness is particularly important for student achievement in primary education, while this relation for self-ratings of agreeableness diminishes at the secondary and tertiary level (</w:t>
      </w:r>
      <w:proofErr w:type="spellStart"/>
      <w:r w:rsidRPr="00727874">
        <w:rPr>
          <w:lang w:val="en-GB"/>
        </w:rPr>
        <w:t>Po</w:t>
      </w:r>
      <w:r w:rsidR="00745D68">
        <w:rPr>
          <w:lang w:val="en-GB"/>
        </w:rPr>
        <w:t>ropat</w:t>
      </w:r>
      <w:proofErr w:type="spellEnd"/>
      <w:r w:rsidR="00745D68">
        <w:rPr>
          <w:lang w:val="en-GB"/>
        </w:rPr>
        <w:t xml:space="preserve"> 2009).</w:t>
      </w:r>
      <w:r w:rsidRPr="00727874">
        <w:rPr>
          <w:lang w:val="en-GB"/>
        </w:rPr>
        <w:t xml:space="preserve"> Other-rated agreeableness, however, demonstrates low correlations with academic achievement across educational levels (</w:t>
      </w:r>
      <w:proofErr w:type="spellStart"/>
      <w:r w:rsidRPr="00727874">
        <w:rPr>
          <w:lang w:val="en-GB"/>
        </w:rPr>
        <w:t>Poropat</w:t>
      </w:r>
      <w:proofErr w:type="spellEnd"/>
      <w:r w:rsidRPr="00727874">
        <w:rPr>
          <w:lang w:val="en-GB"/>
        </w:rPr>
        <w:t>, 2014</w:t>
      </w:r>
      <w:r w:rsidR="002136BC">
        <w:rPr>
          <w:lang w:val="en-GB"/>
        </w:rPr>
        <w:t xml:space="preserve"> a, b</w:t>
      </w:r>
      <w:r w:rsidRPr="00727874">
        <w:rPr>
          <w:lang w:val="en-GB"/>
        </w:rPr>
        <w:t xml:space="preserve">). </w:t>
      </w:r>
      <w:r w:rsidRPr="00727874">
        <w:rPr>
          <w:lang w:val="en-GB"/>
        </w:rPr>
        <w:lastRenderedPageBreak/>
        <w:t>Cooperativeness and compliance of agreeable students appear to be particularly advantageous at the level of primary education, where relations with teachers and peers are closer and favourable ratings of socially desirable student behavio</w:t>
      </w:r>
      <w:r w:rsidR="007A6D38">
        <w:rPr>
          <w:lang w:val="en-GB"/>
        </w:rPr>
        <w:t>u</w:t>
      </w:r>
      <w:r w:rsidRPr="00727874">
        <w:rPr>
          <w:lang w:val="en-GB"/>
        </w:rPr>
        <w:t>rs are reflected in teacher assessments of student achievement (</w:t>
      </w:r>
      <w:proofErr w:type="spellStart"/>
      <w:r w:rsidRPr="00727874">
        <w:rPr>
          <w:lang w:val="en-GB"/>
        </w:rPr>
        <w:t>Vedel</w:t>
      </w:r>
      <w:proofErr w:type="spellEnd"/>
      <w:r w:rsidRPr="00727874">
        <w:rPr>
          <w:lang w:val="en-GB"/>
        </w:rPr>
        <w:t xml:space="preserve"> &amp; </w:t>
      </w:r>
      <w:proofErr w:type="spellStart"/>
      <w:r w:rsidRPr="00727874">
        <w:rPr>
          <w:lang w:val="en-GB"/>
        </w:rPr>
        <w:t>Poropat</w:t>
      </w:r>
      <w:proofErr w:type="spellEnd"/>
      <w:r w:rsidRPr="00727874">
        <w:rPr>
          <w:lang w:val="en-GB"/>
        </w:rPr>
        <w:t xml:space="preserve">, 2017). Extraversion is another interpersonal dimension positively related </w:t>
      </w:r>
      <w:r w:rsidR="00DE503A">
        <w:rPr>
          <w:lang w:val="en-GB"/>
        </w:rPr>
        <w:t>to</w:t>
      </w:r>
      <w:r w:rsidRPr="00727874">
        <w:rPr>
          <w:lang w:val="en-GB"/>
        </w:rPr>
        <w:t xml:space="preserve"> academi</w:t>
      </w:r>
      <w:r w:rsidR="00745D68">
        <w:rPr>
          <w:lang w:val="en-GB"/>
        </w:rPr>
        <w:t>c achievement at the elementary</w:t>
      </w:r>
      <w:r w:rsidRPr="00727874">
        <w:rPr>
          <w:lang w:val="en-GB"/>
        </w:rPr>
        <w:t xml:space="preserve"> school level, while this relation diminishes or even becomes modestly negative in secondary and tertiary education (</w:t>
      </w:r>
      <w:proofErr w:type="spellStart"/>
      <w:r w:rsidRPr="00727874">
        <w:rPr>
          <w:lang w:val="en-GB"/>
        </w:rPr>
        <w:t>Poropat</w:t>
      </w:r>
      <w:proofErr w:type="spellEnd"/>
      <w:r w:rsidRPr="00727874">
        <w:rPr>
          <w:lang w:val="en-GB"/>
        </w:rPr>
        <w:t xml:space="preserve">, 2009, 2016; </w:t>
      </w:r>
      <w:proofErr w:type="spellStart"/>
      <w:r w:rsidRPr="00727874">
        <w:rPr>
          <w:lang w:val="en-GB"/>
        </w:rPr>
        <w:t>Noftle</w:t>
      </w:r>
      <w:proofErr w:type="spellEnd"/>
      <w:r w:rsidRPr="00727874">
        <w:rPr>
          <w:lang w:val="en-GB"/>
        </w:rPr>
        <w:t xml:space="preserve"> &amp; Robins, 2007). As with agreeableness, closer interactions with students in the elementary school classrooms may result in teacher ratings that are more saturated with personality factors, while more distant relations with students reduce the role of student personality in teacher assessments of student achievement at the higher levels of education (</w:t>
      </w:r>
      <w:proofErr w:type="spellStart"/>
      <w:r w:rsidRPr="00727874">
        <w:rPr>
          <w:lang w:val="en-GB"/>
        </w:rPr>
        <w:t>Poropat</w:t>
      </w:r>
      <w:proofErr w:type="spellEnd"/>
      <w:r w:rsidRPr="00727874">
        <w:rPr>
          <w:lang w:val="en-GB"/>
        </w:rPr>
        <w:t xml:space="preserve">, 2009).  In addition, sociability of extraverted students could be advantageous for academic performance at the elementary school level where social relations play a more prominent </w:t>
      </w:r>
      <w:r w:rsidR="00745D68">
        <w:rPr>
          <w:lang w:val="en-GB"/>
        </w:rPr>
        <w:t>role, while at the</w:t>
      </w:r>
      <w:r w:rsidRPr="00727874">
        <w:rPr>
          <w:lang w:val="en-GB"/>
        </w:rPr>
        <w:t xml:space="preserve"> higher educational levels it may have adverse effects on student learning (</w:t>
      </w:r>
      <w:proofErr w:type="spellStart"/>
      <w:r w:rsidRPr="00727874">
        <w:rPr>
          <w:lang w:val="en-GB"/>
        </w:rPr>
        <w:t>Vedel</w:t>
      </w:r>
      <w:proofErr w:type="spellEnd"/>
      <w:r w:rsidRPr="00727874">
        <w:rPr>
          <w:lang w:val="en-GB"/>
        </w:rPr>
        <w:t xml:space="preserve"> &amp; </w:t>
      </w:r>
      <w:proofErr w:type="spellStart"/>
      <w:r w:rsidRPr="00727874">
        <w:rPr>
          <w:lang w:val="en-GB"/>
        </w:rPr>
        <w:t>Poropat</w:t>
      </w:r>
      <w:proofErr w:type="spellEnd"/>
      <w:r w:rsidRPr="00727874">
        <w:rPr>
          <w:lang w:val="en-GB"/>
        </w:rPr>
        <w:t xml:space="preserve">, 2017).  Self-rated emotional stability has </w:t>
      </w:r>
      <w:r w:rsidR="00447F8E">
        <w:rPr>
          <w:lang w:val="en-GB"/>
        </w:rPr>
        <w:t xml:space="preserve">a </w:t>
      </w:r>
      <w:r w:rsidRPr="00727874">
        <w:rPr>
          <w:lang w:val="en-GB"/>
        </w:rPr>
        <w:t>modest positive relation</w:t>
      </w:r>
      <w:r w:rsidR="00745D68">
        <w:rPr>
          <w:lang w:val="en-GB"/>
        </w:rPr>
        <w:t xml:space="preserve"> </w:t>
      </w:r>
      <w:r w:rsidR="00DE503A">
        <w:rPr>
          <w:lang w:val="en-GB"/>
        </w:rPr>
        <w:t>to</w:t>
      </w:r>
      <w:r w:rsidR="00745D68">
        <w:rPr>
          <w:lang w:val="en-GB"/>
        </w:rPr>
        <w:t xml:space="preserve"> academic performance only</w:t>
      </w:r>
      <w:r w:rsidRPr="00727874">
        <w:rPr>
          <w:lang w:val="en-GB"/>
        </w:rPr>
        <w:t xml:space="preserve"> at the elementary school level, while modest correlations of other-rated emotional stability with achievement remain stable across educational levels (</w:t>
      </w:r>
      <w:proofErr w:type="spellStart"/>
      <w:r w:rsidRPr="00727874">
        <w:rPr>
          <w:lang w:val="en-GB"/>
        </w:rPr>
        <w:t>Poropat</w:t>
      </w:r>
      <w:proofErr w:type="spellEnd"/>
      <w:r w:rsidRPr="00727874">
        <w:rPr>
          <w:lang w:val="en-GB"/>
        </w:rPr>
        <w:t>, 2009; 2014</w:t>
      </w:r>
      <w:r w:rsidR="00FB31B0">
        <w:rPr>
          <w:lang w:val="en-GB"/>
        </w:rPr>
        <w:t xml:space="preserve"> </w:t>
      </w:r>
      <w:r w:rsidRPr="00727874">
        <w:rPr>
          <w:lang w:val="en-GB"/>
        </w:rPr>
        <w:t>a,</w:t>
      </w:r>
      <w:r w:rsidR="00447F8E">
        <w:rPr>
          <w:lang w:val="en-GB"/>
        </w:rPr>
        <w:t xml:space="preserve"> </w:t>
      </w:r>
      <w:r w:rsidRPr="00727874">
        <w:rPr>
          <w:lang w:val="en-GB"/>
        </w:rPr>
        <w:t>b). Emotionally stable students are less prone to anxiety and negative affect that interfere with learning and result in poorer performance (</w:t>
      </w:r>
      <w:proofErr w:type="spellStart"/>
      <w:r w:rsidRPr="00727874">
        <w:rPr>
          <w:lang w:val="en-GB"/>
        </w:rPr>
        <w:t>Sorić</w:t>
      </w:r>
      <w:proofErr w:type="spellEnd"/>
      <w:r w:rsidRPr="00727874">
        <w:rPr>
          <w:lang w:val="en-GB"/>
        </w:rPr>
        <w:t xml:space="preserve">, </w:t>
      </w:r>
      <w:proofErr w:type="spellStart"/>
      <w:r w:rsidRPr="00727874">
        <w:rPr>
          <w:lang w:val="en-GB"/>
        </w:rPr>
        <w:t>Penezić</w:t>
      </w:r>
      <w:proofErr w:type="spellEnd"/>
      <w:r w:rsidR="005349C6">
        <w:rPr>
          <w:lang w:val="en-GB"/>
        </w:rPr>
        <w:t>,</w:t>
      </w:r>
      <w:r w:rsidRPr="00727874">
        <w:rPr>
          <w:lang w:val="en-GB"/>
        </w:rPr>
        <w:t xml:space="preserve"> &amp; </w:t>
      </w:r>
      <w:proofErr w:type="spellStart"/>
      <w:r w:rsidRPr="00727874">
        <w:rPr>
          <w:lang w:val="en-GB"/>
        </w:rPr>
        <w:t>Burić</w:t>
      </w:r>
      <w:proofErr w:type="spellEnd"/>
      <w:r w:rsidRPr="00727874">
        <w:rPr>
          <w:lang w:val="en-GB"/>
        </w:rPr>
        <w:t>, 2013). However, the role of emotional stability in academic performance appears to be more complex, with the tendency of emotionally stable students to spend less time on learning tasks such as homework or rehearsal (</w:t>
      </w:r>
      <w:proofErr w:type="spellStart"/>
      <w:r w:rsidRPr="00727874">
        <w:rPr>
          <w:lang w:val="en-GB"/>
        </w:rPr>
        <w:t>Vedel</w:t>
      </w:r>
      <w:proofErr w:type="spellEnd"/>
      <w:r w:rsidRPr="00727874">
        <w:rPr>
          <w:lang w:val="en-GB"/>
        </w:rPr>
        <w:t xml:space="preserve"> &amp; </w:t>
      </w:r>
      <w:proofErr w:type="spellStart"/>
      <w:r w:rsidRPr="00727874">
        <w:rPr>
          <w:lang w:val="en-GB"/>
        </w:rPr>
        <w:t>Poropat</w:t>
      </w:r>
      <w:proofErr w:type="spellEnd"/>
      <w:r w:rsidRPr="00727874">
        <w:rPr>
          <w:lang w:val="en-GB"/>
        </w:rPr>
        <w:t>, 2017). </w:t>
      </w:r>
    </w:p>
    <w:p w14:paraId="4853EA97" w14:textId="3AE3254D" w:rsidR="00125888" w:rsidRPr="00365C4C" w:rsidRDefault="00ED289C" w:rsidP="00727874">
      <w:pPr>
        <w:spacing w:line="360" w:lineRule="auto"/>
        <w:jc w:val="both"/>
        <w:rPr>
          <w:i/>
          <w:lang w:val="en-GB"/>
        </w:rPr>
      </w:pPr>
      <w:r>
        <w:rPr>
          <w:i/>
          <w:lang w:val="en-GB"/>
        </w:rPr>
        <w:t>Academic s</w:t>
      </w:r>
      <w:r w:rsidR="00727874" w:rsidRPr="00365C4C">
        <w:rPr>
          <w:i/>
          <w:lang w:val="en-GB"/>
        </w:rPr>
        <w:t>elf-efficacy and learning strategies as mediators of personality-achievement relations</w:t>
      </w:r>
    </w:p>
    <w:p w14:paraId="4EADB0E4" w14:textId="560CCAF6" w:rsidR="00A4117C" w:rsidRPr="00727874" w:rsidRDefault="00727874" w:rsidP="00365C4C">
      <w:pPr>
        <w:spacing w:after="240" w:line="360" w:lineRule="auto"/>
        <w:jc w:val="both"/>
        <w:rPr>
          <w:rFonts w:eastAsia="Calibri"/>
          <w:lang w:val="en-GB"/>
        </w:rPr>
      </w:pPr>
      <w:r w:rsidRPr="00727874">
        <w:rPr>
          <w:lang w:val="en-GB"/>
        </w:rPr>
        <w:t>Personality traits are broad dispositions that are reflected in behavio</w:t>
      </w:r>
      <w:r w:rsidR="007A6D38">
        <w:rPr>
          <w:lang w:val="en-GB"/>
        </w:rPr>
        <w:t>u</w:t>
      </w:r>
      <w:r w:rsidRPr="00727874">
        <w:rPr>
          <w:lang w:val="en-GB"/>
        </w:rPr>
        <w:t>rs, thoughts and feelings characteristic of a person (McCrae &amp; Costa, 1999), which implies indirect effects on learning outcomes. Previous research has mainly focused on aspects of self-regulated learning and self- presentations as two broad categories of mediating variables (</w:t>
      </w:r>
      <w:proofErr w:type="spellStart"/>
      <w:r w:rsidRPr="00727874">
        <w:rPr>
          <w:lang w:val="en-GB"/>
        </w:rPr>
        <w:t>Poropat</w:t>
      </w:r>
      <w:proofErr w:type="spellEnd"/>
      <w:r w:rsidRPr="00727874">
        <w:rPr>
          <w:lang w:val="en-GB"/>
        </w:rPr>
        <w:t>, 2016). Much of this research has been focused on mediating effects of conscientiousness and openness as dimensions most consistently related to academic performance.  In German mathematics classes, academic effort mediated the relationship between conscientiousness and achievement (</w:t>
      </w:r>
      <w:proofErr w:type="spellStart"/>
      <w:r w:rsidRPr="00727874">
        <w:rPr>
          <w:lang w:val="en-GB"/>
        </w:rPr>
        <w:t>Trautwein</w:t>
      </w:r>
      <w:proofErr w:type="spellEnd"/>
      <w:r w:rsidR="003E2BBD">
        <w:rPr>
          <w:lang w:val="en-GB"/>
        </w:rPr>
        <w:t xml:space="preserve"> et al., 2009).</w:t>
      </w:r>
      <w:r w:rsidRPr="00727874">
        <w:rPr>
          <w:lang w:val="en-GB"/>
        </w:rPr>
        <w:t xml:space="preserve"> Effort regulation mediated the relations between conscientiousness and agreeableness on university grades (</w:t>
      </w:r>
      <w:proofErr w:type="spellStart"/>
      <w:r w:rsidRPr="00727874">
        <w:rPr>
          <w:lang w:val="en-GB"/>
        </w:rPr>
        <w:t>Bidjerano</w:t>
      </w:r>
      <w:proofErr w:type="spellEnd"/>
      <w:r w:rsidRPr="00727874">
        <w:rPr>
          <w:lang w:val="en-GB"/>
        </w:rPr>
        <w:t xml:space="preserve"> &amp; Dai, 2007). Openness has been linked to the use of deep learning strategies (Chamorro-</w:t>
      </w:r>
      <w:proofErr w:type="spellStart"/>
      <w:r w:rsidRPr="00727874">
        <w:rPr>
          <w:lang w:val="en-GB"/>
        </w:rPr>
        <w:t>Premuzic</w:t>
      </w:r>
      <w:proofErr w:type="spellEnd"/>
      <w:r w:rsidRPr="00727874">
        <w:rPr>
          <w:lang w:val="en-GB"/>
        </w:rPr>
        <w:t xml:space="preserve"> &amp; </w:t>
      </w:r>
      <w:proofErr w:type="spellStart"/>
      <w:r w:rsidRPr="00727874">
        <w:rPr>
          <w:lang w:val="en-GB"/>
        </w:rPr>
        <w:t>Furnham</w:t>
      </w:r>
      <w:proofErr w:type="spellEnd"/>
      <w:r w:rsidRPr="00727874">
        <w:rPr>
          <w:lang w:val="en-GB"/>
        </w:rPr>
        <w:t xml:space="preserve">, 2009). In line with this, </w:t>
      </w:r>
      <w:r w:rsidR="00A21DF8">
        <w:rPr>
          <w:lang w:val="en-GB"/>
        </w:rPr>
        <w:lastRenderedPageBreak/>
        <w:t xml:space="preserve">the </w:t>
      </w:r>
      <w:r w:rsidRPr="00727874">
        <w:rPr>
          <w:lang w:val="en-GB"/>
        </w:rPr>
        <w:t xml:space="preserve">relationship between openness and performance has been partly mediated through </w:t>
      </w:r>
      <w:r w:rsidR="0097466F">
        <w:rPr>
          <w:lang w:val="en-GB"/>
        </w:rPr>
        <w:t>reflective learning styles (</w:t>
      </w:r>
      <w:proofErr w:type="spellStart"/>
      <w:r w:rsidR="0097466F">
        <w:rPr>
          <w:lang w:val="en-GB"/>
        </w:rPr>
        <w:t>Kom</w:t>
      </w:r>
      <w:r w:rsidRPr="00727874">
        <w:rPr>
          <w:lang w:val="en-GB"/>
        </w:rPr>
        <w:t>ar</w:t>
      </w:r>
      <w:r w:rsidR="0097466F">
        <w:rPr>
          <w:lang w:val="en-GB"/>
        </w:rPr>
        <w:t>r</w:t>
      </w:r>
      <w:r w:rsidRPr="00727874">
        <w:rPr>
          <w:lang w:val="en-GB"/>
        </w:rPr>
        <w:t>aju</w:t>
      </w:r>
      <w:proofErr w:type="spellEnd"/>
      <w:r w:rsidRPr="00727874">
        <w:rPr>
          <w:lang w:val="en-GB"/>
        </w:rPr>
        <w:t xml:space="preserve">, </w:t>
      </w:r>
      <w:proofErr w:type="spellStart"/>
      <w:r w:rsidRPr="00727874">
        <w:rPr>
          <w:lang w:val="en-GB"/>
        </w:rPr>
        <w:t>Karau</w:t>
      </w:r>
      <w:proofErr w:type="spellEnd"/>
      <w:r w:rsidRPr="00727874">
        <w:rPr>
          <w:lang w:val="en-GB"/>
        </w:rPr>
        <w:t xml:space="preserve">, </w:t>
      </w:r>
      <w:proofErr w:type="spellStart"/>
      <w:r w:rsidRPr="00727874">
        <w:rPr>
          <w:lang w:val="en-GB"/>
        </w:rPr>
        <w:t>Schmeck</w:t>
      </w:r>
      <w:proofErr w:type="spellEnd"/>
      <w:r w:rsidR="005349C6">
        <w:rPr>
          <w:lang w:val="en-GB"/>
        </w:rPr>
        <w:t>,</w:t>
      </w:r>
      <w:r w:rsidRPr="00727874">
        <w:rPr>
          <w:lang w:val="en-GB"/>
        </w:rPr>
        <w:t xml:space="preserve"> &amp; </w:t>
      </w:r>
      <w:proofErr w:type="spellStart"/>
      <w:r w:rsidRPr="00727874">
        <w:rPr>
          <w:lang w:val="en-GB"/>
        </w:rPr>
        <w:t>Avdic</w:t>
      </w:r>
      <w:proofErr w:type="spellEnd"/>
      <w:r w:rsidRPr="00727874">
        <w:rPr>
          <w:lang w:val="en-GB"/>
        </w:rPr>
        <w:t>, 2011). Lower use of surface learning strategies mediated the positive effect of emotional stability on mathematics grades, while homework behavio</w:t>
      </w:r>
      <w:r w:rsidR="007A6D38">
        <w:rPr>
          <w:lang w:val="en-GB"/>
        </w:rPr>
        <w:t>u</w:t>
      </w:r>
      <w:r w:rsidRPr="00727874">
        <w:rPr>
          <w:lang w:val="en-GB"/>
        </w:rPr>
        <w:t xml:space="preserve">r mediated the positive effects of agreeableness on grades in mother tongue in Dutch secondary schools (Lubbers, Van Der </w:t>
      </w:r>
      <w:proofErr w:type="spellStart"/>
      <w:r w:rsidRPr="00727874">
        <w:rPr>
          <w:lang w:val="en-GB"/>
        </w:rPr>
        <w:t>Werf</w:t>
      </w:r>
      <w:proofErr w:type="spellEnd"/>
      <w:r w:rsidRPr="00727874">
        <w:rPr>
          <w:lang w:val="en-GB"/>
        </w:rPr>
        <w:t>, Kuyper</w:t>
      </w:r>
      <w:r w:rsidR="005349C6">
        <w:rPr>
          <w:lang w:val="en-GB"/>
        </w:rPr>
        <w:t>,</w:t>
      </w:r>
      <w:r w:rsidRPr="00727874">
        <w:rPr>
          <w:lang w:val="en-GB"/>
        </w:rPr>
        <w:t xml:space="preserve"> &amp; Hendriks, 2010).  Personality traits are related to</w:t>
      </w:r>
      <w:r w:rsidR="00745D68">
        <w:rPr>
          <w:lang w:val="en-GB"/>
        </w:rPr>
        <w:t xml:space="preserve"> learning strategies</w:t>
      </w:r>
      <w:r w:rsidRPr="00727874">
        <w:rPr>
          <w:lang w:val="en-GB"/>
        </w:rPr>
        <w:t xml:space="preserve"> and grades in physics classes (</w:t>
      </w:r>
      <w:proofErr w:type="spellStart"/>
      <w:r w:rsidRPr="00727874">
        <w:rPr>
          <w:lang w:val="en-GB"/>
        </w:rPr>
        <w:t>Vrdoljak</w:t>
      </w:r>
      <w:proofErr w:type="spellEnd"/>
      <w:r w:rsidRPr="00727874">
        <w:rPr>
          <w:lang w:val="en-GB"/>
        </w:rPr>
        <w:t>, 2015). Conscientious and open students more frequently use deep and metacognitive learning strategies and are less prone to using surface learning. In line with the well documented contribution of con</w:t>
      </w:r>
      <w:r w:rsidR="00745D68">
        <w:rPr>
          <w:lang w:val="en-GB"/>
        </w:rPr>
        <w:t xml:space="preserve">scientiousness to achievement, </w:t>
      </w:r>
      <w:r w:rsidRPr="00727874">
        <w:rPr>
          <w:lang w:val="en-GB"/>
        </w:rPr>
        <w:t>conscientious students had higher grades in physics. Agreeable students were prone to the more frequent use of metacognitive learning strategies but had lower grades in physics. Testing the effects of five personality factors on achievemen</w:t>
      </w:r>
      <w:r w:rsidR="00745D68">
        <w:rPr>
          <w:lang w:val="en-GB"/>
        </w:rPr>
        <w:t xml:space="preserve">t through academic motivation, </w:t>
      </w:r>
      <w:r w:rsidRPr="00727874">
        <w:rPr>
          <w:color w:val="000000"/>
          <w:lang w:val="en-GB"/>
        </w:rPr>
        <w:t xml:space="preserve">De </w:t>
      </w:r>
      <w:proofErr w:type="spellStart"/>
      <w:r w:rsidRPr="00727874">
        <w:rPr>
          <w:color w:val="000000"/>
          <w:lang w:val="en-GB"/>
        </w:rPr>
        <w:t>Feyter</w:t>
      </w:r>
      <w:proofErr w:type="spellEnd"/>
      <w:r w:rsidRPr="00727874">
        <w:rPr>
          <w:color w:val="000000"/>
          <w:lang w:val="en-GB"/>
        </w:rPr>
        <w:t xml:space="preserve">, </w:t>
      </w:r>
      <w:proofErr w:type="spellStart"/>
      <w:r w:rsidRPr="00727874">
        <w:rPr>
          <w:color w:val="000000"/>
          <w:lang w:val="en-GB"/>
        </w:rPr>
        <w:t>Caers</w:t>
      </w:r>
      <w:proofErr w:type="spellEnd"/>
      <w:r w:rsidRPr="00727874">
        <w:rPr>
          <w:color w:val="000000"/>
          <w:lang w:val="en-GB"/>
        </w:rPr>
        <w:t xml:space="preserve">, </w:t>
      </w:r>
      <w:proofErr w:type="spellStart"/>
      <w:r w:rsidRPr="00727874">
        <w:rPr>
          <w:color w:val="000000"/>
          <w:lang w:val="en-GB"/>
        </w:rPr>
        <w:t>Vigna</w:t>
      </w:r>
      <w:proofErr w:type="spellEnd"/>
      <w:r w:rsidR="005349C6">
        <w:rPr>
          <w:color w:val="000000"/>
          <w:lang w:val="en-GB"/>
        </w:rPr>
        <w:t>,</w:t>
      </w:r>
      <w:r w:rsidRPr="00727874">
        <w:rPr>
          <w:color w:val="000000"/>
          <w:lang w:val="en-GB"/>
        </w:rPr>
        <w:t xml:space="preserve"> </w:t>
      </w:r>
      <w:r w:rsidR="005349C6">
        <w:rPr>
          <w:color w:val="000000"/>
          <w:lang w:val="en-GB"/>
        </w:rPr>
        <w:t>and</w:t>
      </w:r>
      <w:r w:rsidRPr="00727874">
        <w:rPr>
          <w:color w:val="000000"/>
          <w:lang w:val="en-GB"/>
        </w:rPr>
        <w:t xml:space="preserve"> </w:t>
      </w:r>
      <w:proofErr w:type="spellStart"/>
      <w:r w:rsidRPr="00727874">
        <w:rPr>
          <w:color w:val="000000"/>
          <w:lang w:val="en-GB"/>
        </w:rPr>
        <w:t>Berings</w:t>
      </w:r>
      <w:proofErr w:type="spellEnd"/>
      <w:r w:rsidRPr="00727874">
        <w:rPr>
          <w:color w:val="000000"/>
          <w:lang w:val="en-GB"/>
        </w:rPr>
        <w:t xml:space="preserve"> </w:t>
      </w:r>
      <w:r w:rsidRPr="00727874">
        <w:rPr>
          <w:lang w:val="en-GB"/>
        </w:rPr>
        <w:t xml:space="preserve">(2012) found that academic motivation mediated the effects of conscientiousness on achievement at the university level. Conscientiousness and openness were also found to have indirect effects on academic achievement through self-efficacy in secondary school (Di </w:t>
      </w:r>
      <w:proofErr w:type="spellStart"/>
      <w:r w:rsidRPr="00727874">
        <w:rPr>
          <w:lang w:val="en-GB"/>
        </w:rPr>
        <w:t>Giunta</w:t>
      </w:r>
      <w:proofErr w:type="spellEnd"/>
      <w:r w:rsidR="00974E53">
        <w:rPr>
          <w:lang w:val="en-GB"/>
        </w:rPr>
        <w:t xml:space="preserve">, </w:t>
      </w:r>
      <w:proofErr w:type="spellStart"/>
      <w:r w:rsidR="00974E53">
        <w:rPr>
          <w:lang w:val="en-GB"/>
        </w:rPr>
        <w:t>Alessandri</w:t>
      </w:r>
      <w:proofErr w:type="spellEnd"/>
      <w:r w:rsidR="00974E53">
        <w:rPr>
          <w:lang w:val="en-GB"/>
        </w:rPr>
        <w:t xml:space="preserve">, </w:t>
      </w:r>
      <w:proofErr w:type="spellStart"/>
      <w:r w:rsidR="00974E53">
        <w:rPr>
          <w:lang w:val="en-GB"/>
        </w:rPr>
        <w:t>Gerbino</w:t>
      </w:r>
      <w:proofErr w:type="spellEnd"/>
      <w:r w:rsidR="00974E53">
        <w:rPr>
          <w:lang w:val="en-GB"/>
        </w:rPr>
        <w:t xml:space="preserve">, </w:t>
      </w:r>
      <w:proofErr w:type="spellStart"/>
      <w:r w:rsidR="00974E53">
        <w:rPr>
          <w:lang w:val="en-GB"/>
        </w:rPr>
        <w:t>Kanacri</w:t>
      </w:r>
      <w:proofErr w:type="spellEnd"/>
      <w:r w:rsidR="00974E53">
        <w:rPr>
          <w:lang w:val="en-GB"/>
        </w:rPr>
        <w:t xml:space="preserve">, </w:t>
      </w:r>
      <w:proofErr w:type="spellStart"/>
      <w:r w:rsidR="00974E53">
        <w:rPr>
          <w:lang w:val="en-GB"/>
        </w:rPr>
        <w:t>Zuffiano</w:t>
      </w:r>
      <w:proofErr w:type="spellEnd"/>
      <w:r w:rsidR="00974E53">
        <w:rPr>
          <w:lang w:val="en-GB"/>
        </w:rPr>
        <w:t xml:space="preserve">, &amp; </w:t>
      </w:r>
      <w:proofErr w:type="spellStart"/>
      <w:r w:rsidR="00974E53">
        <w:rPr>
          <w:lang w:val="en-GB"/>
        </w:rPr>
        <w:t>Caprara</w:t>
      </w:r>
      <w:proofErr w:type="spellEnd"/>
      <w:r w:rsidR="00974E53">
        <w:rPr>
          <w:lang w:val="en-GB"/>
        </w:rPr>
        <w:t xml:space="preserve">, </w:t>
      </w:r>
      <w:r w:rsidRPr="00727874">
        <w:rPr>
          <w:lang w:val="en-GB"/>
        </w:rPr>
        <w:t xml:space="preserve">2013; </w:t>
      </w:r>
      <w:proofErr w:type="spellStart"/>
      <w:r w:rsidRPr="00727874">
        <w:rPr>
          <w:shd w:val="clear" w:color="auto" w:fill="FFFFFF"/>
          <w:lang w:val="en-GB"/>
        </w:rPr>
        <w:t>Caprara</w:t>
      </w:r>
      <w:proofErr w:type="spellEnd"/>
      <w:r w:rsidRPr="00727874">
        <w:rPr>
          <w:shd w:val="clear" w:color="auto" w:fill="FFFFFF"/>
          <w:lang w:val="en-GB"/>
        </w:rPr>
        <w:t xml:space="preserve">, </w:t>
      </w:r>
      <w:proofErr w:type="spellStart"/>
      <w:r w:rsidRPr="00727874">
        <w:rPr>
          <w:shd w:val="clear" w:color="auto" w:fill="FFFFFF"/>
          <w:lang w:val="en-GB"/>
        </w:rPr>
        <w:t>Vecchione</w:t>
      </w:r>
      <w:proofErr w:type="spellEnd"/>
      <w:r w:rsidRPr="00727874">
        <w:rPr>
          <w:shd w:val="clear" w:color="auto" w:fill="FFFFFF"/>
          <w:lang w:val="en-GB"/>
        </w:rPr>
        <w:t xml:space="preserve">, </w:t>
      </w:r>
      <w:proofErr w:type="spellStart"/>
      <w:r w:rsidRPr="00727874">
        <w:rPr>
          <w:shd w:val="clear" w:color="auto" w:fill="FFFFFF"/>
          <w:lang w:val="en-GB"/>
        </w:rPr>
        <w:t>Alessandri</w:t>
      </w:r>
      <w:proofErr w:type="spellEnd"/>
      <w:r w:rsidRPr="00727874">
        <w:rPr>
          <w:shd w:val="clear" w:color="auto" w:fill="FFFFFF"/>
          <w:lang w:val="en-GB"/>
        </w:rPr>
        <w:t xml:space="preserve">, </w:t>
      </w:r>
      <w:proofErr w:type="spellStart"/>
      <w:r w:rsidRPr="00727874">
        <w:rPr>
          <w:shd w:val="clear" w:color="auto" w:fill="FFFFFF"/>
          <w:lang w:val="en-GB"/>
        </w:rPr>
        <w:t>Gerbino</w:t>
      </w:r>
      <w:proofErr w:type="spellEnd"/>
      <w:r w:rsidR="005349C6">
        <w:rPr>
          <w:shd w:val="clear" w:color="auto" w:fill="FFFFFF"/>
          <w:lang w:val="en-GB"/>
        </w:rPr>
        <w:t>,</w:t>
      </w:r>
      <w:r w:rsidRPr="00727874">
        <w:rPr>
          <w:shd w:val="clear" w:color="auto" w:fill="FFFFFF"/>
          <w:lang w:val="en-GB"/>
        </w:rPr>
        <w:t xml:space="preserve"> &amp; </w:t>
      </w:r>
      <w:proofErr w:type="spellStart"/>
      <w:r w:rsidRPr="00727874">
        <w:rPr>
          <w:shd w:val="clear" w:color="auto" w:fill="FFFFFF"/>
          <w:lang w:val="en-GB"/>
        </w:rPr>
        <w:t>Barbaranelli</w:t>
      </w:r>
      <w:proofErr w:type="spellEnd"/>
      <w:r w:rsidRPr="00727874">
        <w:rPr>
          <w:shd w:val="clear" w:color="auto" w:fill="FFFFFF"/>
          <w:lang w:val="en-GB"/>
        </w:rPr>
        <w:t>, 2011;</w:t>
      </w:r>
      <w:r w:rsidRPr="00727874">
        <w:rPr>
          <w:lang w:val="en-GB"/>
        </w:rPr>
        <w:t xml:space="preserve"> </w:t>
      </w:r>
      <w:r w:rsidRPr="00727874">
        <w:rPr>
          <w:rFonts w:eastAsia="Calibri"/>
          <w:lang w:val="en-GB"/>
        </w:rPr>
        <w:t xml:space="preserve">McIlroy, Poole, </w:t>
      </w:r>
      <w:proofErr w:type="spellStart"/>
      <w:r w:rsidRPr="00727874">
        <w:rPr>
          <w:rFonts w:eastAsia="Calibri"/>
          <w:lang w:val="en-GB"/>
        </w:rPr>
        <w:t>Ursavas</w:t>
      </w:r>
      <w:proofErr w:type="spellEnd"/>
      <w:r w:rsidR="005349C6">
        <w:rPr>
          <w:rFonts w:eastAsia="Calibri"/>
          <w:lang w:val="en-GB"/>
        </w:rPr>
        <w:t>,</w:t>
      </w:r>
      <w:r w:rsidRPr="00727874">
        <w:rPr>
          <w:rFonts w:eastAsia="Calibri"/>
          <w:lang w:val="en-GB"/>
        </w:rPr>
        <w:t xml:space="preserve"> </w:t>
      </w:r>
      <w:r w:rsidR="00A4117C">
        <w:rPr>
          <w:rFonts w:eastAsia="Calibri"/>
          <w:lang w:val="en-GB"/>
        </w:rPr>
        <w:t xml:space="preserve">&amp; </w:t>
      </w:r>
      <w:r w:rsidRPr="00727874">
        <w:rPr>
          <w:rFonts w:eastAsia="Calibri"/>
          <w:lang w:val="en-GB"/>
        </w:rPr>
        <w:t>Moriarty, 2015). A recent meta-analysis further clarified the effects of personality and self-efficacy on achievement, ind</w:t>
      </w:r>
      <w:r w:rsidR="00745D68">
        <w:rPr>
          <w:rFonts w:eastAsia="Calibri"/>
          <w:lang w:val="en-GB"/>
        </w:rPr>
        <w:t>i</w:t>
      </w:r>
      <w:r w:rsidRPr="00727874">
        <w:rPr>
          <w:rFonts w:eastAsia="Calibri"/>
          <w:lang w:val="en-GB"/>
        </w:rPr>
        <w:t>cating that self-efficacy mediates the relations of conscientiousness and emotional stability with academic performance (</w:t>
      </w:r>
      <w:proofErr w:type="spellStart"/>
      <w:r w:rsidRPr="00727874">
        <w:rPr>
          <w:rFonts w:eastAsia="Calibri"/>
          <w:lang w:val="en-GB"/>
        </w:rPr>
        <w:t>Stajkovic</w:t>
      </w:r>
      <w:proofErr w:type="spellEnd"/>
      <w:r w:rsidRPr="00727874">
        <w:rPr>
          <w:rFonts w:eastAsia="Calibri"/>
          <w:lang w:val="en-GB"/>
        </w:rPr>
        <w:t>, Bandura, Locke, Lee</w:t>
      </w:r>
      <w:r w:rsidR="005349C6">
        <w:rPr>
          <w:rFonts w:eastAsia="Calibri"/>
          <w:lang w:val="en-GB"/>
        </w:rPr>
        <w:t>,</w:t>
      </w:r>
      <w:r w:rsidRPr="00727874">
        <w:rPr>
          <w:rFonts w:eastAsia="Calibri"/>
          <w:lang w:val="en-GB"/>
        </w:rPr>
        <w:t xml:space="preserve"> &amp; </w:t>
      </w:r>
      <w:proofErr w:type="spellStart"/>
      <w:r w:rsidRPr="00727874">
        <w:rPr>
          <w:rFonts w:eastAsia="Calibri"/>
          <w:lang w:val="en-GB"/>
        </w:rPr>
        <w:t>Sergent</w:t>
      </w:r>
      <w:proofErr w:type="spellEnd"/>
      <w:r w:rsidRPr="00727874">
        <w:rPr>
          <w:rFonts w:eastAsia="Calibri"/>
          <w:lang w:val="en-GB"/>
        </w:rPr>
        <w:t xml:space="preserve">, 2018). </w:t>
      </w:r>
    </w:p>
    <w:p w14:paraId="27ACB2E4" w14:textId="0E252A86" w:rsidR="00727874" w:rsidRPr="00365C4C" w:rsidRDefault="00365C4C" w:rsidP="00727874">
      <w:pPr>
        <w:spacing w:line="360" w:lineRule="auto"/>
        <w:jc w:val="both"/>
        <w:rPr>
          <w:i/>
          <w:lang w:val="en-GB"/>
        </w:rPr>
      </w:pPr>
      <w:r>
        <w:rPr>
          <w:i/>
          <w:lang w:val="en-GB"/>
        </w:rPr>
        <w:t>The p</w:t>
      </w:r>
      <w:r w:rsidR="00727874" w:rsidRPr="00365C4C">
        <w:rPr>
          <w:i/>
          <w:lang w:val="en-GB"/>
        </w:rPr>
        <w:t>resent study</w:t>
      </w:r>
    </w:p>
    <w:p w14:paraId="56C21932" w14:textId="6D4CE3B3" w:rsidR="00D228CE" w:rsidRDefault="00D228CE" w:rsidP="00727874">
      <w:pPr>
        <w:spacing w:line="360" w:lineRule="auto"/>
        <w:jc w:val="both"/>
        <w:rPr>
          <w:lang w:val="en-GB"/>
        </w:rPr>
      </w:pPr>
      <w:r>
        <w:rPr>
          <w:lang w:val="en-GB"/>
        </w:rPr>
        <w:t>So far, the relationship between personality and academic performance has been explored either through self-efficacy or through learning strategies. However, drawing from the conceptual framework suggesting the effects of cognitive and motivational beliefs and strategies on academic achievement (</w:t>
      </w:r>
      <w:proofErr w:type="spellStart"/>
      <w:r>
        <w:rPr>
          <w:lang w:val="en-GB"/>
        </w:rPr>
        <w:t>Lončarić</w:t>
      </w:r>
      <w:proofErr w:type="spellEnd"/>
      <w:r>
        <w:rPr>
          <w:lang w:val="en-GB"/>
        </w:rPr>
        <w:t>, 2008</w:t>
      </w:r>
      <w:r w:rsidR="006209DB">
        <w:rPr>
          <w:lang w:val="en-GB"/>
        </w:rPr>
        <w:t>;</w:t>
      </w:r>
      <w:r>
        <w:rPr>
          <w:lang w:val="en-GB"/>
        </w:rPr>
        <w:t xml:space="preserve"> 2011), self-efficacy beliefs can also influence learning strategies, which can in turn influence academic achievement. The aim of the present study was therefore to examine the role of academic self-efficacy and motivational learning strategies in the relationship between personality and academic performance</w:t>
      </w:r>
      <w:r w:rsidR="00DE503A">
        <w:rPr>
          <w:lang w:val="en-GB"/>
        </w:rPr>
        <w:t>. A model of hypothesized relations is presented in Figure 1.</w:t>
      </w:r>
    </w:p>
    <w:p w14:paraId="6211E548" w14:textId="16D62B6F" w:rsidR="008930C4" w:rsidRPr="00727874" w:rsidRDefault="008930C4" w:rsidP="008930C4">
      <w:pPr>
        <w:rPr>
          <w:lang w:val="en-GB"/>
        </w:rPr>
      </w:pPr>
      <w:r w:rsidRPr="00727874">
        <w:rPr>
          <w:noProof/>
          <w:lang w:eastAsia="hr-HR"/>
        </w:rPr>
        <w:lastRenderedPageBreak/>
        <w:drawing>
          <wp:inline distT="0" distB="0" distL="0" distR="0" wp14:anchorId="05D6EF49" wp14:editId="1E16C3E4">
            <wp:extent cx="5708196" cy="3406797"/>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08196" cy="3406797"/>
                    </a:xfrm>
                    <a:prstGeom prst="rect">
                      <a:avLst/>
                    </a:prstGeom>
                    <a:noFill/>
                  </pic:spPr>
                </pic:pic>
              </a:graphicData>
            </a:graphic>
          </wp:inline>
        </w:drawing>
      </w:r>
    </w:p>
    <w:p w14:paraId="5FAE4A41" w14:textId="568EAA17" w:rsidR="008930C4" w:rsidRDefault="008930C4" w:rsidP="00EC3E7A">
      <w:pPr>
        <w:spacing w:line="276" w:lineRule="auto"/>
        <w:jc w:val="both"/>
        <w:rPr>
          <w:lang w:val="en-GB"/>
        </w:rPr>
      </w:pPr>
      <w:r w:rsidRPr="00727874">
        <w:rPr>
          <w:lang w:val="en-GB"/>
        </w:rPr>
        <w:t xml:space="preserve">Figure 1. </w:t>
      </w:r>
      <w:r w:rsidR="00EC3E7A">
        <w:rPr>
          <w:lang w:val="en-GB"/>
        </w:rPr>
        <w:t>Proposed model of the effects of personality traits</w:t>
      </w:r>
      <w:r w:rsidR="0026271A">
        <w:rPr>
          <w:lang w:val="en-GB"/>
        </w:rPr>
        <w:t xml:space="preserve"> on GPA through</w:t>
      </w:r>
      <w:r w:rsidR="00EC3E7A">
        <w:rPr>
          <w:lang w:val="en-GB"/>
        </w:rPr>
        <w:t xml:space="preserve"> </w:t>
      </w:r>
      <w:r w:rsidR="00ED289C" w:rsidRPr="0018698D">
        <w:rPr>
          <w:lang w:val="en-GB"/>
        </w:rPr>
        <w:t xml:space="preserve">academic </w:t>
      </w:r>
      <w:r w:rsidR="00ED289C">
        <w:rPr>
          <w:lang w:val="en-GB"/>
        </w:rPr>
        <w:t>self-</w:t>
      </w:r>
      <w:r w:rsidR="00ED289C" w:rsidRPr="0018698D">
        <w:rPr>
          <w:lang w:val="en-GB"/>
        </w:rPr>
        <w:t>efficacy</w:t>
      </w:r>
      <w:r w:rsidR="00EC3E7A">
        <w:rPr>
          <w:lang w:val="en-GB"/>
        </w:rPr>
        <w:t xml:space="preserve"> and </w:t>
      </w:r>
      <w:r w:rsidR="00C2145F">
        <w:rPr>
          <w:lang w:val="en-GB"/>
        </w:rPr>
        <w:t xml:space="preserve">two </w:t>
      </w:r>
      <w:r w:rsidR="00F1731B">
        <w:rPr>
          <w:lang w:val="en-GB"/>
        </w:rPr>
        <w:t>types</w:t>
      </w:r>
      <w:r w:rsidR="00C2145F">
        <w:rPr>
          <w:lang w:val="en-GB"/>
        </w:rPr>
        <w:t xml:space="preserve"> of </w:t>
      </w:r>
      <w:r w:rsidR="00EC3E7A">
        <w:rPr>
          <w:lang w:val="en-GB"/>
        </w:rPr>
        <w:t>motivational learning strategies</w:t>
      </w:r>
      <w:r w:rsidR="00B7257D">
        <w:rPr>
          <w:lang w:val="en-GB"/>
        </w:rPr>
        <w:t xml:space="preserve">: </w:t>
      </w:r>
      <w:r w:rsidR="00C2145F">
        <w:rPr>
          <w:lang w:val="en-GB"/>
        </w:rPr>
        <w:t>promoting learning process and protecting self-esteem</w:t>
      </w:r>
    </w:p>
    <w:p w14:paraId="0070AB05" w14:textId="4DA8DFDD" w:rsidR="00D228CE" w:rsidRDefault="00D228CE" w:rsidP="008930C4">
      <w:pPr>
        <w:rPr>
          <w:lang w:val="en-GB"/>
        </w:rPr>
      </w:pPr>
    </w:p>
    <w:p w14:paraId="7D6F3DC2" w14:textId="77777777" w:rsidR="00EC3E7A" w:rsidRDefault="00EC3E7A" w:rsidP="008930C4">
      <w:pPr>
        <w:rPr>
          <w:lang w:val="en-GB"/>
        </w:rPr>
      </w:pPr>
    </w:p>
    <w:p w14:paraId="0357B1A7" w14:textId="3F7574FF" w:rsidR="00D228CE" w:rsidRPr="007017F5" w:rsidRDefault="00D228CE" w:rsidP="00D228CE">
      <w:pPr>
        <w:spacing w:line="360" w:lineRule="auto"/>
        <w:jc w:val="both"/>
        <w:rPr>
          <w:lang w:val="en-GB"/>
        </w:rPr>
      </w:pPr>
      <w:r w:rsidRPr="007017F5">
        <w:rPr>
          <w:lang w:val="en-GB"/>
        </w:rPr>
        <w:t xml:space="preserve">We expected that </w:t>
      </w:r>
      <w:r>
        <w:rPr>
          <w:lang w:val="en-GB"/>
        </w:rPr>
        <w:t xml:space="preserve">a) personality traits, particularly conscientiousness and openness, would </w:t>
      </w:r>
      <w:r w:rsidR="006209DB">
        <w:rPr>
          <w:lang w:val="en-GB"/>
        </w:rPr>
        <w:t>have a significant</w:t>
      </w:r>
      <w:r>
        <w:rPr>
          <w:lang w:val="en-GB"/>
        </w:rPr>
        <w:t xml:space="preserve"> </w:t>
      </w:r>
      <w:r w:rsidR="006209DB">
        <w:rPr>
          <w:lang w:val="en-GB"/>
        </w:rPr>
        <w:t>effect on</w:t>
      </w:r>
      <w:r>
        <w:rPr>
          <w:lang w:val="en-GB"/>
        </w:rPr>
        <w:t xml:space="preserve"> </w:t>
      </w:r>
      <w:r w:rsidR="00ED289C" w:rsidRPr="0018698D">
        <w:rPr>
          <w:lang w:val="en-GB"/>
        </w:rPr>
        <w:t xml:space="preserve">academic </w:t>
      </w:r>
      <w:r w:rsidR="00ED289C">
        <w:rPr>
          <w:lang w:val="en-GB"/>
        </w:rPr>
        <w:t>self-</w:t>
      </w:r>
      <w:r w:rsidR="00ED289C" w:rsidRPr="0018698D">
        <w:rPr>
          <w:lang w:val="en-GB"/>
        </w:rPr>
        <w:t>efficacy</w:t>
      </w:r>
      <w:r>
        <w:rPr>
          <w:lang w:val="en-GB"/>
        </w:rPr>
        <w:t xml:space="preserve">, learning strategies and </w:t>
      </w:r>
      <w:r w:rsidR="0018698D">
        <w:rPr>
          <w:lang w:val="en-GB"/>
        </w:rPr>
        <w:t>g</w:t>
      </w:r>
      <w:r w:rsidR="0018698D" w:rsidRPr="00A92572">
        <w:rPr>
          <w:lang w:val="en-GB"/>
        </w:rPr>
        <w:t xml:space="preserve">rade point average </w:t>
      </w:r>
      <w:r w:rsidR="0018698D">
        <w:rPr>
          <w:lang w:val="en-GB"/>
        </w:rPr>
        <w:t>(GPA)</w:t>
      </w:r>
      <w:r>
        <w:rPr>
          <w:lang w:val="en-GB"/>
        </w:rPr>
        <w:t xml:space="preserve">. We also expected that b) </w:t>
      </w:r>
      <w:r w:rsidR="00ED289C" w:rsidRPr="0018698D">
        <w:rPr>
          <w:lang w:val="en-GB"/>
        </w:rPr>
        <w:t xml:space="preserve">academic </w:t>
      </w:r>
      <w:r w:rsidR="00ED289C">
        <w:rPr>
          <w:lang w:val="en-GB"/>
        </w:rPr>
        <w:t>self-</w:t>
      </w:r>
      <w:r w:rsidR="00ED289C" w:rsidRPr="0018698D">
        <w:rPr>
          <w:lang w:val="en-GB"/>
        </w:rPr>
        <w:t>efficacy</w:t>
      </w:r>
      <w:r>
        <w:rPr>
          <w:lang w:val="en-GB"/>
        </w:rPr>
        <w:t xml:space="preserve"> would </w:t>
      </w:r>
      <w:r w:rsidR="006209DB">
        <w:rPr>
          <w:lang w:val="en-GB"/>
        </w:rPr>
        <w:t>have a significant effect on</w:t>
      </w:r>
      <w:r>
        <w:rPr>
          <w:lang w:val="en-GB"/>
        </w:rPr>
        <w:t xml:space="preserve"> </w:t>
      </w:r>
      <w:r w:rsidR="00C2145F">
        <w:rPr>
          <w:lang w:val="en-GB"/>
        </w:rPr>
        <w:t xml:space="preserve">both </w:t>
      </w:r>
      <w:r w:rsidR="00F1731B">
        <w:rPr>
          <w:lang w:val="en-GB"/>
        </w:rPr>
        <w:t>types</w:t>
      </w:r>
      <w:r w:rsidR="00C2145F">
        <w:rPr>
          <w:lang w:val="en-GB"/>
        </w:rPr>
        <w:t xml:space="preserve"> of </w:t>
      </w:r>
      <w:r>
        <w:rPr>
          <w:lang w:val="en-GB"/>
        </w:rPr>
        <w:t>motivational learning strategies</w:t>
      </w:r>
      <w:r w:rsidR="00B7257D">
        <w:rPr>
          <w:lang w:val="en-GB"/>
        </w:rPr>
        <w:t>;</w:t>
      </w:r>
      <w:r w:rsidR="00C2145F">
        <w:rPr>
          <w:lang w:val="en-GB"/>
        </w:rPr>
        <w:t xml:space="preserve"> promoting learning process and protecting self-esteem</w:t>
      </w:r>
      <w:r>
        <w:rPr>
          <w:lang w:val="en-GB"/>
        </w:rPr>
        <w:t xml:space="preserve">. Further, we expected that c) </w:t>
      </w:r>
      <w:r w:rsidR="00ED289C" w:rsidRPr="0018698D">
        <w:rPr>
          <w:lang w:val="en-GB"/>
        </w:rPr>
        <w:t xml:space="preserve">academic </w:t>
      </w:r>
      <w:r w:rsidR="00ED289C">
        <w:rPr>
          <w:lang w:val="en-GB"/>
        </w:rPr>
        <w:t>self-</w:t>
      </w:r>
      <w:r w:rsidR="00ED289C" w:rsidRPr="0018698D">
        <w:rPr>
          <w:lang w:val="en-GB"/>
        </w:rPr>
        <w:t>efficacy</w:t>
      </w:r>
      <w:r>
        <w:rPr>
          <w:lang w:val="en-GB"/>
        </w:rPr>
        <w:t xml:space="preserve"> and motivational learning strategies would </w:t>
      </w:r>
      <w:r w:rsidR="006209DB">
        <w:rPr>
          <w:lang w:val="en-GB"/>
        </w:rPr>
        <w:t>have a significant effect on</w:t>
      </w:r>
      <w:r>
        <w:rPr>
          <w:lang w:val="en-GB"/>
        </w:rPr>
        <w:t xml:space="preserve"> GPA, and that d) </w:t>
      </w:r>
      <w:r w:rsidR="00ED289C" w:rsidRPr="0018698D">
        <w:rPr>
          <w:lang w:val="en-GB"/>
        </w:rPr>
        <w:t xml:space="preserve">academic </w:t>
      </w:r>
      <w:r w:rsidR="00ED289C">
        <w:rPr>
          <w:lang w:val="en-GB"/>
        </w:rPr>
        <w:t>self-</w:t>
      </w:r>
      <w:r w:rsidR="00ED289C" w:rsidRPr="0018698D">
        <w:rPr>
          <w:lang w:val="en-GB"/>
        </w:rPr>
        <w:t>efficacy</w:t>
      </w:r>
      <w:r>
        <w:rPr>
          <w:lang w:val="en-GB"/>
        </w:rPr>
        <w:t xml:space="preserve">, as well as motivational learning strategies would mediate the relationship between personality and GPA. Finally, we expected e) serial mediation, which means that personality traits have an effect on </w:t>
      </w:r>
      <w:r w:rsidR="00ED289C" w:rsidRPr="0018698D">
        <w:rPr>
          <w:lang w:val="en-GB"/>
        </w:rPr>
        <w:t xml:space="preserve">academic </w:t>
      </w:r>
      <w:r w:rsidR="00ED289C">
        <w:rPr>
          <w:lang w:val="en-GB"/>
        </w:rPr>
        <w:t>self-</w:t>
      </w:r>
      <w:r w:rsidR="00ED289C" w:rsidRPr="0018698D">
        <w:rPr>
          <w:lang w:val="en-GB"/>
        </w:rPr>
        <w:t>efficacy</w:t>
      </w:r>
      <w:r>
        <w:rPr>
          <w:lang w:val="en-GB"/>
        </w:rPr>
        <w:t xml:space="preserve">, which in turn </w:t>
      </w:r>
      <w:r w:rsidR="006209DB">
        <w:rPr>
          <w:lang w:val="en-GB"/>
        </w:rPr>
        <w:t>a</w:t>
      </w:r>
      <w:r>
        <w:rPr>
          <w:lang w:val="en-GB"/>
        </w:rPr>
        <w:t>ffects motivational learning strategies, which then have an effect on GPA.</w:t>
      </w:r>
      <w:r w:rsidR="00566EF8">
        <w:rPr>
          <w:lang w:val="en-GB"/>
        </w:rPr>
        <w:t xml:space="preserve"> All hypotheses were tested controlling for the effects of gender.</w:t>
      </w:r>
    </w:p>
    <w:p w14:paraId="169593E7" w14:textId="77777777" w:rsidR="00D228CE" w:rsidRPr="00727874" w:rsidRDefault="00D228CE" w:rsidP="008930C4">
      <w:pPr>
        <w:rPr>
          <w:lang w:val="en-GB"/>
        </w:rPr>
      </w:pPr>
    </w:p>
    <w:p w14:paraId="67E527B5" w14:textId="77777777" w:rsidR="00AA0BAA" w:rsidRPr="00773C04" w:rsidRDefault="00AA0BAA" w:rsidP="00AA0BAA">
      <w:pPr>
        <w:spacing w:line="360" w:lineRule="auto"/>
        <w:rPr>
          <w:b/>
          <w:lang w:val="en-GB"/>
        </w:rPr>
      </w:pPr>
      <w:r w:rsidRPr="00773C04">
        <w:rPr>
          <w:b/>
          <w:lang w:val="en-GB"/>
        </w:rPr>
        <w:t>Method</w:t>
      </w:r>
    </w:p>
    <w:p w14:paraId="5D31317B" w14:textId="77777777" w:rsidR="00AA0BAA" w:rsidRPr="00A03E56" w:rsidRDefault="00AA0BAA" w:rsidP="00AA0BAA">
      <w:pPr>
        <w:spacing w:line="360" w:lineRule="auto"/>
        <w:rPr>
          <w:i/>
          <w:lang w:val="en-GB"/>
        </w:rPr>
      </w:pPr>
      <w:r w:rsidRPr="00A03E56">
        <w:rPr>
          <w:i/>
          <w:lang w:val="en-GB"/>
        </w:rPr>
        <w:t>Participants and procedure</w:t>
      </w:r>
    </w:p>
    <w:p w14:paraId="434416A6" w14:textId="6D5359F8" w:rsidR="00AA0BAA" w:rsidRPr="00773C04" w:rsidRDefault="00110013" w:rsidP="00AA0BAA">
      <w:pPr>
        <w:spacing w:line="360" w:lineRule="auto"/>
        <w:jc w:val="both"/>
        <w:rPr>
          <w:lang w:val="en-GB"/>
        </w:rPr>
      </w:pPr>
      <w:r>
        <w:rPr>
          <w:lang w:val="en-GB"/>
        </w:rPr>
        <w:t>This research was part of a larger study</w:t>
      </w:r>
      <w:r w:rsidR="00B7257D">
        <w:rPr>
          <w:lang w:val="en-GB"/>
        </w:rPr>
        <w:t xml:space="preserve"> aimed at assessing learning competencies of students in the final year of elementary education, prior to the transition into high school. </w:t>
      </w:r>
      <w:r w:rsidR="00F628FA">
        <w:rPr>
          <w:lang w:val="en-GB"/>
        </w:rPr>
        <w:t xml:space="preserve">The sample consisted of </w:t>
      </w:r>
      <w:r w:rsidR="00AA0BAA" w:rsidRPr="00773C04">
        <w:rPr>
          <w:lang w:val="en-GB"/>
        </w:rPr>
        <w:t xml:space="preserve">511 eight-grade students from 36 elementary schools in Zagreb and Zagreb County </w:t>
      </w:r>
      <w:r w:rsidR="00F628FA">
        <w:rPr>
          <w:lang w:val="en-GB"/>
        </w:rPr>
        <w:lastRenderedPageBreak/>
        <w:t>participated in the study. S</w:t>
      </w:r>
      <w:r w:rsidR="00AA0BAA" w:rsidRPr="00773C04">
        <w:rPr>
          <w:lang w:val="en-GB"/>
        </w:rPr>
        <w:t>tudents were 14-15 years ol</w:t>
      </w:r>
      <w:r w:rsidR="00046D77">
        <w:rPr>
          <w:lang w:val="en-GB"/>
        </w:rPr>
        <w:t xml:space="preserve">d, 56% were female and 44% </w:t>
      </w:r>
      <w:r w:rsidR="00AA0BAA" w:rsidRPr="00773C04">
        <w:rPr>
          <w:lang w:val="en-GB"/>
        </w:rPr>
        <w:t xml:space="preserve">male. </w:t>
      </w:r>
      <w:r w:rsidR="00F628FA">
        <w:rPr>
          <w:lang w:val="en-GB"/>
        </w:rPr>
        <w:t>Sample</w:t>
      </w:r>
      <w:r w:rsidR="00AA0BAA" w:rsidRPr="00773C04">
        <w:rPr>
          <w:lang w:val="en-GB"/>
        </w:rPr>
        <w:t xml:space="preserve"> was stratified according to size and rural-urban location of the school.</w:t>
      </w:r>
    </w:p>
    <w:p w14:paraId="2625A56A" w14:textId="77777777" w:rsidR="00AA0BAA" w:rsidRPr="00773C04" w:rsidRDefault="00AA0BAA" w:rsidP="00A03E56">
      <w:pPr>
        <w:spacing w:after="240" w:line="360" w:lineRule="auto"/>
        <w:jc w:val="both"/>
        <w:rPr>
          <w:lang w:val="en-GB"/>
        </w:rPr>
      </w:pPr>
      <w:r w:rsidRPr="00773C04">
        <w:rPr>
          <w:lang w:val="en-GB"/>
        </w:rPr>
        <w:t xml:space="preserve">Prior to questionnaire administration, informed consent was obtained from students' parents and anonymity of data was ensured. The questionnaires were administered in paper-pencil form in schools during regular school classes. </w:t>
      </w:r>
    </w:p>
    <w:p w14:paraId="0D479573" w14:textId="77777777" w:rsidR="00AA0BAA" w:rsidRPr="00A03E56" w:rsidRDefault="00AA0BAA" w:rsidP="00AA0BAA">
      <w:pPr>
        <w:spacing w:line="360" w:lineRule="auto"/>
        <w:jc w:val="both"/>
        <w:rPr>
          <w:i/>
          <w:lang w:val="en-GB"/>
        </w:rPr>
      </w:pPr>
      <w:r w:rsidRPr="00A03E56">
        <w:rPr>
          <w:i/>
          <w:lang w:val="en-GB"/>
        </w:rPr>
        <w:t>Instruments</w:t>
      </w:r>
    </w:p>
    <w:p w14:paraId="416AD9DB" w14:textId="07A6D84A" w:rsidR="001F40CF" w:rsidRPr="001F40CF" w:rsidRDefault="001F40CF" w:rsidP="00AA0BAA">
      <w:pPr>
        <w:spacing w:line="360" w:lineRule="auto"/>
        <w:jc w:val="both"/>
        <w:rPr>
          <w:i/>
          <w:lang w:val="en-GB"/>
        </w:rPr>
      </w:pPr>
      <w:r>
        <w:rPr>
          <w:i/>
          <w:lang w:val="en-GB"/>
        </w:rPr>
        <w:t>Personality</w:t>
      </w:r>
    </w:p>
    <w:p w14:paraId="3848201F" w14:textId="7C7D071A" w:rsidR="001F40CF" w:rsidRDefault="001F40CF" w:rsidP="00AA0BAA">
      <w:pPr>
        <w:spacing w:line="360" w:lineRule="auto"/>
        <w:jc w:val="both"/>
        <w:rPr>
          <w:lang w:val="en-GB"/>
        </w:rPr>
      </w:pPr>
      <w:r>
        <w:rPr>
          <w:lang w:val="en-GB"/>
        </w:rPr>
        <w:t xml:space="preserve">The Big Five Inventory </w:t>
      </w:r>
      <w:r w:rsidR="00AA0BAA" w:rsidRPr="00773C04">
        <w:rPr>
          <w:lang w:val="en-GB"/>
        </w:rPr>
        <w:t>(BFI) (John &amp; Srivastava, 1999) was used to measure basic personality dimensions: extraversion (</w:t>
      </w:r>
      <w:r w:rsidR="00507634">
        <w:rPr>
          <w:lang w:val="en-GB"/>
        </w:rPr>
        <w:t xml:space="preserve">eight items, </w:t>
      </w:r>
      <w:r w:rsidR="00AA0BAA" w:rsidRPr="00773C04">
        <w:rPr>
          <w:lang w:val="en-GB"/>
        </w:rPr>
        <w:t>α = 0.73), agreeableness (</w:t>
      </w:r>
      <w:r w:rsidR="00507634">
        <w:rPr>
          <w:lang w:val="en-GB"/>
        </w:rPr>
        <w:t xml:space="preserve">nine items, </w:t>
      </w:r>
      <w:r w:rsidR="00AA0BAA" w:rsidRPr="00773C04">
        <w:rPr>
          <w:lang w:val="en-GB"/>
        </w:rPr>
        <w:t>α = 0.71), conscientiousness (</w:t>
      </w:r>
      <w:r w:rsidR="00507634">
        <w:rPr>
          <w:lang w:val="en-GB"/>
        </w:rPr>
        <w:t xml:space="preserve">nine items, </w:t>
      </w:r>
      <w:r w:rsidR="00AA0BAA" w:rsidRPr="00773C04">
        <w:rPr>
          <w:lang w:val="en-GB"/>
        </w:rPr>
        <w:t>α = 0.77), neuroticism (</w:t>
      </w:r>
      <w:r w:rsidR="00507634">
        <w:rPr>
          <w:lang w:val="en-GB"/>
        </w:rPr>
        <w:t xml:space="preserve">eight items, </w:t>
      </w:r>
      <w:r w:rsidR="00AA0BAA" w:rsidRPr="00773C04">
        <w:rPr>
          <w:lang w:val="en-GB"/>
        </w:rPr>
        <w:t>α = 0.73) and openness to experience (</w:t>
      </w:r>
      <w:r w:rsidR="00507634">
        <w:rPr>
          <w:lang w:val="en-GB"/>
        </w:rPr>
        <w:t xml:space="preserve">ten items, </w:t>
      </w:r>
      <w:r w:rsidR="00AA0BAA" w:rsidRPr="00773C04">
        <w:rPr>
          <w:lang w:val="en-GB"/>
        </w:rPr>
        <w:t xml:space="preserve">α = 0.71). </w:t>
      </w:r>
      <w:r w:rsidR="00AB10B6">
        <w:rPr>
          <w:lang w:val="en-GB"/>
        </w:rPr>
        <w:t xml:space="preserve">This instrument has been </w:t>
      </w:r>
      <w:r w:rsidR="00712AFF">
        <w:rPr>
          <w:lang w:val="en-GB"/>
        </w:rPr>
        <w:t xml:space="preserve">validated and </w:t>
      </w:r>
      <w:r w:rsidR="00C72876">
        <w:rPr>
          <w:lang w:val="en-GB"/>
        </w:rPr>
        <w:t>commonly</w:t>
      </w:r>
      <w:r w:rsidR="00AB10B6">
        <w:rPr>
          <w:lang w:val="en-GB"/>
        </w:rPr>
        <w:t xml:space="preserve"> used for research purposes in the Croatian context (</w:t>
      </w:r>
      <w:proofErr w:type="spellStart"/>
      <w:r w:rsidR="006F0640">
        <w:rPr>
          <w:lang w:val="en-GB"/>
        </w:rPr>
        <w:t>Kardum</w:t>
      </w:r>
      <w:proofErr w:type="spellEnd"/>
      <w:r w:rsidR="006F0640">
        <w:rPr>
          <w:lang w:val="en-GB"/>
        </w:rPr>
        <w:t xml:space="preserve"> et al., 2006</w:t>
      </w:r>
      <w:r w:rsidR="00AB10B6">
        <w:rPr>
          <w:lang w:val="en-GB"/>
        </w:rPr>
        <w:t xml:space="preserve">). </w:t>
      </w:r>
      <w:r w:rsidR="00AA0BAA" w:rsidRPr="00773C04">
        <w:rPr>
          <w:lang w:val="en-GB"/>
        </w:rPr>
        <w:t xml:space="preserve">The BFI includes 44 statements which participants endorse on a 5-point Likert-type scale from 1 = </w:t>
      </w:r>
      <w:r w:rsidR="00AA0BAA" w:rsidRPr="00773C04">
        <w:rPr>
          <w:i/>
          <w:lang w:val="en-GB"/>
        </w:rPr>
        <w:t>strongly disagree</w:t>
      </w:r>
      <w:r w:rsidR="00AA0BAA" w:rsidRPr="00773C04">
        <w:rPr>
          <w:lang w:val="en-GB"/>
        </w:rPr>
        <w:t xml:space="preserve"> to 5 = </w:t>
      </w:r>
      <w:r w:rsidR="00AA0BAA" w:rsidRPr="00773C04">
        <w:rPr>
          <w:i/>
          <w:lang w:val="en-GB"/>
        </w:rPr>
        <w:t>strongly agree</w:t>
      </w:r>
      <w:r w:rsidR="00AA0BAA" w:rsidRPr="00773C04">
        <w:rPr>
          <w:lang w:val="en-GB"/>
        </w:rPr>
        <w:t>. Sample items include “I see myself as someone who is talkative.” (extraversion), “I see myself as someone who is helpful and unselfish with others.” (agreeableness), “I see myself as someone who does things carefully and completely.” (conscientiousness), “I see myself as someone who is depressed, blue.” (neuroticism), and “I see myself as someone who is original, comes up with new ideas.” (openness to experience).</w:t>
      </w:r>
    </w:p>
    <w:p w14:paraId="5745341C" w14:textId="7E87159D" w:rsidR="001F40CF" w:rsidRPr="001F40CF" w:rsidRDefault="001F40CF" w:rsidP="00BE019A">
      <w:pPr>
        <w:spacing w:before="240" w:line="360" w:lineRule="auto"/>
        <w:jc w:val="both"/>
        <w:rPr>
          <w:i/>
          <w:lang w:val="en-GB"/>
        </w:rPr>
      </w:pPr>
      <w:r w:rsidRPr="001F40CF">
        <w:rPr>
          <w:i/>
          <w:lang w:val="en-GB"/>
        </w:rPr>
        <w:t>Academic self-efficacy</w:t>
      </w:r>
    </w:p>
    <w:p w14:paraId="56BF69A1" w14:textId="30AAFB69" w:rsidR="00AA0BAA" w:rsidRPr="00773C04" w:rsidRDefault="001F40CF" w:rsidP="0011319B">
      <w:pPr>
        <w:spacing w:after="240" w:line="360" w:lineRule="auto"/>
        <w:jc w:val="both"/>
        <w:rPr>
          <w:lang w:val="en-GB"/>
        </w:rPr>
      </w:pPr>
      <w:r>
        <w:rPr>
          <w:lang w:val="en-GB"/>
        </w:rPr>
        <w:t>A</w:t>
      </w:r>
      <w:r w:rsidR="00ED289C" w:rsidRPr="0018698D">
        <w:rPr>
          <w:lang w:val="en-GB"/>
        </w:rPr>
        <w:t xml:space="preserve">cademic </w:t>
      </w:r>
      <w:r w:rsidR="00ED289C">
        <w:rPr>
          <w:lang w:val="en-GB"/>
        </w:rPr>
        <w:t>self-</w:t>
      </w:r>
      <w:r w:rsidR="00ED289C" w:rsidRPr="0018698D">
        <w:rPr>
          <w:lang w:val="en-GB"/>
        </w:rPr>
        <w:t>efficacy</w:t>
      </w:r>
      <w:r w:rsidR="00AA0BAA" w:rsidRPr="00773C04">
        <w:rPr>
          <w:lang w:val="en-GB"/>
        </w:rPr>
        <w:t xml:space="preserve"> scale from the Patterns of Adaptive Learning Scales (PALS; Midgley </w:t>
      </w:r>
      <w:r w:rsidR="002E77F5">
        <w:rPr>
          <w:lang w:val="en-GB"/>
        </w:rPr>
        <w:t>et al</w:t>
      </w:r>
      <w:r w:rsidR="00AA0BAA" w:rsidRPr="00773C04">
        <w:rPr>
          <w:lang w:val="en-GB"/>
        </w:rPr>
        <w:t xml:space="preserve">., 2000) was used as a measure of academic self-efficacy. The scale includes 5 items on a 5-point Likert-type scale with responses ranging from 1 = </w:t>
      </w:r>
      <w:r w:rsidR="00BB5F8C">
        <w:rPr>
          <w:i/>
          <w:lang w:val="en-GB"/>
        </w:rPr>
        <w:t>n</w:t>
      </w:r>
      <w:r w:rsidR="00AA0BAA" w:rsidRPr="00773C04">
        <w:rPr>
          <w:i/>
          <w:lang w:val="en-GB"/>
        </w:rPr>
        <w:t xml:space="preserve">ot at all true </w:t>
      </w:r>
      <w:r w:rsidR="00AA0BAA" w:rsidRPr="00773C04">
        <w:rPr>
          <w:lang w:val="en-GB"/>
        </w:rPr>
        <w:t xml:space="preserve">to 5 = </w:t>
      </w:r>
      <w:r w:rsidR="00BB5F8C">
        <w:rPr>
          <w:i/>
          <w:lang w:val="en-GB"/>
        </w:rPr>
        <w:t>v</w:t>
      </w:r>
      <w:r w:rsidR="0062075B">
        <w:rPr>
          <w:i/>
          <w:lang w:val="en-GB"/>
        </w:rPr>
        <w:t>ery true</w:t>
      </w:r>
      <w:r w:rsidR="00AA0BAA" w:rsidRPr="00773C04">
        <w:rPr>
          <w:i/>
          <w:lang w:val="en-GB"/>
        </w:rPr>
        <w:t xml:space="preserve">. </w:t>
      </w:r>
      <w:r w:rsidR="00AA0BAA" w:rsidRPr="00773C04">
        <w:rPr>
          <w:lang w:val="en-GB"/>
        </w:rPr>
        <w:t>Sample items include “I can do almost all the work in class if I don't give up.” and “Even if the work is hard, I can learn it.”. Scale reliability on this sample is α = 0.86.</w:t>
      </w:r>
      <w:r w:rsidR="00E7577D">
        <w:rPr>
          <w:lang w:val="en-GB"/>
        </w:rPr>
        <w:t xml:space="preserve"> </w:t>
      </w:r>
      <w:r w:rsidR="00712AFF">
        <w:rPr>
          <w:lang w:val="en-GB"/>
        </w:rPr>
        <w:t xml:space="preserve">Croatian translation of </w:t>
      </w:r>
      <w:r w:rsidR="00BE019A">
        <w:rPr>
          <w:lang w:val="en-GB"/>
        </w:rPr>
        <w:t>t</w:t>
      </w:r>
      <w:r w:rsidR="00E7577D">
        <w:rPr>
          <w:lang w:val="en-GB"/>
        </w:rPr>
        <w:t xml:space="preserve">his scale </w:t>
      </w:r>
      <w:r w:rsidR="00AB10B6">
        <w:rPr>
          <w:lang w:val="en-GB"/>
        </w:rPr>
        <w:t xml:space="preserve">has been </w:t>
      </w:r>
      <w:r w:rsidR="00712AFF">
        <w:rPr>
          <w:lang w:val="en-GB"/>
        </w:rPr>
        <w:t xml:space="preserve">validated and </w:t>
      </w:r>
      <w:r w:rsidR="00AB10B6">
        <w:rPr>
          <w:lang w:val="en-GB"/>
        </w:rPr>
        <w:t>used for research purposes (</w:t>
      </w:r>
      <w:proofErr w:type="spellStart"/>
      <w:r w:rsidR="00AB10B6">
        <w:rPr>
          <w:lang w:val="en-GB"/>
        </w:rPr>
        <w:t>Rupčić</w:t>
      </w:r>
      <w:proofErr w:type="spellEnd"/>
      <w:r w:rsidR="00AB10B6">
        <w:rPr>
          <w:lang w:val="en-GB"/>
        </w:rPr>
        <w:t xml:space="preserve"> &amp; </w:t>
      </w:r>
      <w:proofErr w:type="spellStart"/>
      <w:r w:rsidR="00AB10B6">
        <w:rPr>
          <w:lang w:val="en-GB"/>
        </w:rPr>
        <w:t>Kolić-Vehovec</w:t>
      </w:r>
      <w:proofErr w:type="spellEnd"/>
      <w:r w:rsidR="00AB10B6">
        <w:rPr>
          <w:lang w:val="en-GB"/>
        </w:rPr>
        <w:t>, 2004).</w:t>
      </w:r>
    </w:p>
    <w:p w14:paraId="35F123A1" w14:textId="5D63DA72" w:rsidR="001F40CF" w:rsidRPr="001F40CF" w:rsidRDefault="001F40CF" w:rsidP="00AA0BAA">
      <w:pPr>
        <w:spacing w:line="360" w:lineRule="auto"/>
        <w:jc w:val="both"/>
        <w:rPr>
          <w:i/>
          <w:lang w:val="en-GB"/>
        </w:rPr>
      </w:pPr>
      <w:r>
        <w:rPr>
          <w:i/>
          <w:lang w:val="en-GB"/>
        </w:rPr>
        <w:t>Motivational learning strategies</w:t>
      </w:r>
    </w:p>
    <w:p w14:paraId="4358D9FF" w14:textId="1AB8940D" w:rsidR="006A4844" w:rsidRPr="00773C04" w:rsidRDefault="006B0FC5" w:rsidP="00AA0BAA">
      <w:pPr>
        <w:spacing w:line="360" w:lineRule="auto"/>
        <w:jc w:val="both"/>
        <w:rPr>
          <w:lang w:val="en-GB"/>
        </w:rPr>
      </w:pPr>
      <w:r>
        <w:rPr>
          <w:lang w:val="en-GB"/>
        </w:rPr>
        <w:t>M</w:t>
      </w:r>
      <w:r w:rsidRPr="00773C04">
        <w:rPr>
          <w:lang w:val="en-GB"/>
        </w:rPr>
        <w:t>otivational learning strategies</w:t>
      </w:r>
      <w:r w:rsidRPr="00773C04" w:rsidDel="006B0FC5">
        <w:rPr>
          <w:lang w:val="en-GB"/>
        </w:rPr>
        <w:t xml:space="preserve"> </w:t>
      </w:r>
      <w:r>
        <w:rPr>
          <w:lang w:val="en-GB"/>
        </w:rPr>
        <w:t xml:space="preserve">were measured by a subscale from the </w:t>
      </w:r>
      <w:r w:rsidR="00AA0BAA" w:rsidRPr="00773C04">
        <w:rPr>
          <w:lang w:val="en-GB"/>
        </w:rPr>
        <w:t>Self-regulatory Learning Strategies Scale (</w:t>
      </w:r>
      <w:proofErr w:type="spellStart"/>
      <w:r w:rsidR="00AA0BAA" w:rsidRPr="00773C04">
        <w:rPr>
          <w:lang w:val="en-GB"/>
        </w:rPr>
        <w:t>Lončarić</w:t>
      </w:r>
      <w:proofErr w:type="spellEnd"/>
      <w:r w:rsidR="00AA0BAA" w:rsidRPr="00773C04">
        <w:rPr>
          <w:lang w:val="en-GB"/>
        </w:rPr>
        <w:t>, 2014)</w:t>
      </w:r>
      <w:r w:rsidR="00F86EC0">
        <w:rPr>
          <w:lang w:val="en-GB"/>
        </w:rPr>
        <w:t>. Th</w:t>
      </w:r>
      <w:r>
        <w:rPr>
          <w:lang w:val="en-GB"/>
        </w:rPr>
        <w:t>is</w:t>
      </w:r>
      <w:r w:rsidR="00F86EC0">
        <w:rPr>
          <w:lang w:val="en-GB"/>
        </w:rPr>
        <w:t xml:space="preserve"> scale ha</w:t>
      </w:r>
      <w:r>
        <w:rPr>
          <w:lang w:val="en-GB"/>
        </w:rPr>
        <w:t>s</w:t>
      </w:r>
      <w:r w:rsidR="00F86EC0">
        <w:rPr>
          <w:lang w:val="en-GB"/>
        </w:rPr>
        <w:t xml:space="preserve"> been developed and validated on </w:t>
      </w:r>
      <w:r w:rsidR="00712AFF">
        <w:rPr>
          <w:lang w:val="en-GB"/>
        </w:rPr>
        <w:t xml:space="preserve">a </w:t>
      </w:r>
      <w:r w:rsidR="00F86EC0">
        <w:rPr>
          <w:lang w:val="en-GB"/>
        </w:rPr>
        <w:t xml:space="preserve">sample of Croatian students. The validation </w:t>
      </w:r>
      <w:r w:rsidR="00C567F8">
        <w:rPr>
          <w:lang w:val="en-GB"/>
        </w:rPr>
        <w:t>revealed</w:t>
      </w:r>
      <w:r w:rsidR="00F86EC0">
        <w:rPr>
          <w:lang w:val="en-GB"/>
        </w:rPr>
        <w:t xml:space="preserve"> the two-factor structure of the scale</w:t>
      </w:r>
      <w:r>
        <w:rPr>
          <w:lang w:val="en-GB"/>
        </w:rPr>
        <w:t>: motivational learning strategies aimed at promoting learning process and motivational learning strategies aimed at protecting self-esteem (</w:t>
      </w:r>
      <w:proofErr w:type="spellStart"/>
      <w:r>
        <w:rPr>
          <w:lang w:val="en-GB"/>
        </w:rPr>
        <w:t>Lončarić</w:t>
      </w:r>
      <w:proofErr w:type="spellEnd"/>
      <w:r>
        <w:rPr>
          <w:lang w:val="en-GB"/>
        </w:rPr>
        <w:t>, 2014)</w:t>
      </w:r>
      <w:r w:rsidR="00C72876">
        <w:rPr>
          <w:lang w:val="en-GB"/>
        </w:rPr>
        <w:t>. The scale has been frequently used in research on self-regulated learning in Croatia.</w:t>
      </w:r>
      <w:r w:rsidR="00AA0BAA" w:rsidRPr="00773C04">
        <w:rPr>
          <w:lang w:val="en-GB"/>
        </w:rPr>
        <w:t xml:space="preserve"> S</w:t>
      </w:r>
      <w:r w:rsidR="00F447FE">
        <w:rPr>
          <w:lang w:val="en-GB"/>
        </w:rPr>
        <w:t>ubscales measuring s</w:t>
      </w:r>
      <w:r w:rsidR="00AA0BAA" w:rsidRPr="00773C04">
        <w:rPr>
          <w:lang w:val="en-GB"/>
        </w:rPr>
        <w:t xml:space="preserve">trategies for promoting learning </w:t>
      </w:r>
      <w:r w:rsidR="00AA0BAA" w:rsidRPr="00773C04">
        <w:rPr>
          <w:lang w:val="en-GB"/>
        </w:rPr>
        <w:lastRenderedPageBreak/>
        <w:t xml:space="preserve">process include setting up goals, effort regulation and work/place/time management, while </w:t>
      </w:r>
      <w:r w:rsidR="00F447FE">
        <w:rPr>
          <w:lang w:val="en-GB"/>
        </w:rPr>
        <w:t xml:space="preserve">subscales measuring </w:t>
      </w:r>
      <w:r w:rsidR="00AA0BAA" w:rsidRPr="00773C04">
        <w:rPr>
          <w:lang w:val="en-GB"/>
        </w:rPr>
        <w:t xml:space="preserve">strategies for protecting self-esteem include self-handicapping, defensive pessimism and external attribution of failure. All scales use the five-point Likert-type response format ranging from 1 = </w:t>
      </w:r>
      <w:r w:rsidR="00AA0BAA" w:rsidRPr="00773C04">
        <w:rPr>
          <w:i/>
          <w:lang w:val="en-GB"/>
        </w:rPr>
        <w:t>strongly disagree</w:t>
      </w:r>
      <w:r w:rsidR="00AA0BAA" w:rsidRPr="00773C04">
        <w:rPr>
          <w:lang w:val="en-GB"/>
        </w:rPr>
        <w:t xml:space="preserve"> to 5 = </w:t>
      </w:r>
      <w:r w:rsidR="00AA0BAA" w:rsidRPr="00773C04">
        <w:rPr>
          <w:i/>
          <w:lang w:val="en-GB"/>
        </w:rPr>
        <w:t>strongly agree</w:t>
      </w:r>
      <w:r w:rsidR="00AA0BAA" w:rsidRPr="00773C04">
        <w:rPr>
          <w:lang w:val="en-GB"/>
        </w:rPr>
        <w:t xml:space="preserve">. Sample items for setting up goals, effort regulation and work/place/time management include “When I study, I determine exactly what I want to achieve by studying”, “As I solve a difficult task, I tell myself </w:t>
      </w:r>
      <w:r w:rsidR="00AA0BAA" w:rsidRPr="00773C04">
        <w:rPr>
          <w:i/>
          <w:lang w:val="en-GB"/>
        </w:rPr>
        <w:t>I can do it</w:t>
      </w:r>
      <w:r w:rsidR="00AA0BAA" w:rsidRPr="00773C04">
        <w:rPr>
          <w:lang w:val="en-GB"/>
        </w:rPr>
        <w:t xml:space="preserve"> and keep trying”, “Before studying, I make sure I can work in peace”, respectively. Setting up goals (α = 0.81) and effort regulation (α = 0.77) are five-item scales, while work/place/time management (α = 0.82) consists of six items. </w:t>
      </w:r>
      <w:r w:rsidR="006A4844">
        <w:rPr>
          <w:lang w:val="en-GB"/>
        </w:rPr>
        <w:t xml:space="preserve">The score for promoting learning process was calculated as a mean of the three subscale scores. </w:t>
      </w:r>
      <w:r w:rsidR="00AA0BAA" w:rsidRPr="00773C04">
        <w:rPr>
          <w:lang w:val="en-GB"/>
        </w:rPr>
        <w:t>Sample items for self-handicapping behaviour, defensive pessimism and external attribution of failure are “While others study for the exam, I’m having fun.”, “I always expect a poor grade so I don’t get surprised if I get it.” and “I got a bad grade because the teachers don’t know how to make the assignments interesting.”, respectively. Defensive pessimism (α = 0.79) and external attribution of failure (α = 0.88) are four-item scales, while self-handicapping behaviour scale (α = 0.82) consists of five items.</w:t>
      </w:r>
      <w:r w:rsidR="006A4844">
        <w:rPr>
          <w:lang w:val="en-GB"/>
        </w:rPr>
        <w:t xml:space="preserve"> The score for protecting self-esteem was calculated as a mean of these three subscale scores.</w:t>
      </w:r>
    </w:p>
    <w:p w14:paraId="1384F8FF" w14:textId="77777777" w:rsidR="006A4844" w:rsidRPr="00BE019A" w:rsidRDefault="006A4844" w:rsidP="00E53634">
      <w:pPr>
        <w:spacing w:before="240" w:line="360" w:lineRule="auto"/>
        <w:jc w:val="both"/>
        <w:rPr>
          <w:i/>
          <w:lang w:val="en-GB"/>
        </w:rPr>
      </w:pPr>
      <w:r w:rsidRPr="00BE019A">
        <w:rPr>
          <w:i/>
          <w:lang w:val="en-GB"/>
        </w:rPr>
        <w:t>Academic success</w:t>
      </w:r>
    </w:p>
    <w:p w14:paraId="72BA27B1" w14:textId="4538E960" w:rsidR="0077164E" w:rsidRPr="00773C04" w:rsidRDefault="00AA0BAA" w:rsidP="00AA0BAA">
      <w:pPr>
        <w:spacing w:line="360" w:lineRule="auto"/>
        <w:jc w:val="both"/>
        <w:rPr>
          <w:lang w:val="en-GB"/>
        </w:rPr>
      </w:pPr>
      <w:r w:rsidRPr="00773C04">
        <w:rPr>
          <w:lang w:val="en-GB"/>
        </w:rPr>
        <w:t xml:space="preserve">Grade point average (GPA) at the end of the first semester of eight grade was used as a measure of academic success. </w:t>
      </w:r>
      <w:r>
        <w:rPr>
          <w:lang w:val="en-GB"/>
        </w:rPr>
        <w:t xml:space="preserve">In </w:t>
      </w:r>
      <w:r w:rsidR="006209DB">
        <w:rPr>
          <w:lang w:val="en-GB"/>
        </w:rPr>
        <w:t xml:space="preserve">the </w:t>
      </w:r>
      <w:r>
        <w:rPr>
          <w:lang w:val="en-GB"/>
        </w:rPr>
        <w:t xml:space="preserve">Croatian educational system, GPA is expressed on a scale from 1 = </w:t>
      </w:r>
      <w:r w:rsidRPr="00141E3E">
        <w:rPr>
          <w:i/>
          <w:lang w:val="en-GB"/>
        </w:rPr>
        <w:t>insufficient</w:t>
      </w:r>
      <w:r>
        <w:rPr>
          <w:lang w:val="en-GB"/>
        </w:rPr>
        <w:t xml:space="preserve"> to 5 = </w:t>
      </w:r>
      <w:r w:rsidRPr="00141E3E">
        <w:rPr>
          <w:i/>
          <w:lang w:val="en-GB"/>
        </w:rPr>
        <w:t>excellent</w:t>
      </w:r>
      <w:r>
        <w:rPr>
          <w:lang w:val="en-GB"/>
        </w:rPr>
        <w:t>.</w:t>
      </w:r>
    </w:p>
    <w:p w14:paraId="510CD4AA" w14:textId="77777777" w:rsidR="00AA0BAA" w:rsidRPr="00A03E56" w:rsidRDefault="00AA0BAA" w:rsidP="00BE019A">
      <w:pPr>
        <w:spacing w:before="240" w:line="360" w:lineRule="auto"/>
        <w:jc w:val="both"/>
        <w:rPr>
          <w:i/>
          <w:lang w:val="en-GB"/>
        </w:rPr>
      </w:pPr>
      <w:r w:rsidRPr="00A03E56">
        <w:rPr>
          <w:i/>
          <w:lang w:val="en-GB"/>
        </w:rPr>
        <w:t>Data analysis</w:t>
      </w:r>
    </w:p>
    <w:p w14:paraId="7447623C" w14:textId="5E5D5599" w:rsidR="00AA0BAA" w:rsidRPr="00773C04" w:rsidRDefault="00731904" w:rsidP="00D36614">
      <w:pPr>
        <w:spacing w:after="240" w:line="360" w:lineRule="auto"/>
        <w:jc w:val="both"/>
        <w:rPr>
          <w:lang w:val="en-GB"/>
        </w:rPr>
      </w:pPr>
      <w:r>
        <w:rPr>
          <w:lang w:val="en-GB"/>
        </w:rPr>
        <w:t>M</w:t>
      </w:r>
      <w:r w:rsidR="00AA0BAA" w:rsidRPr="00773C04">
        <w:rPr>
          <w:lang w:val="en-GB"/>
        </w:rPr>
        <w:t>ajority of students (</w:t>
      </w:r>
      <w:r w:rsidR="00AA0BAA" w:rsidRPr="00773C04">
        <w:rPr>
          <w:i/>
          <w:lang w:val="en-GB"/>
        </w:rPr>
        <w:t>N</w:t>
      </w:r>
      <w:r w:rsidR="00AA0BAA" w:rsidRPr="00773C04">
        <w:rPr>
          <w:lang w:val="en-GB"/>
        </w:rPr>
        <w:t xml:space="preserve">=359; 70.3%) provided responses to all variables. </w:t>
      </w:r>
      <w:r>
        <w:rPr>
          <w:lang w:val="en-GB"/>
        </w:rPr>
        <w:t>M</w:t>
      </w:r>
      <w:r w:rsidR="00AA0BAA" w:rsidRPr="00773C04">
        <w:rPr>
          <w:lang w:val="en-GB"/>
        </w:rPr>
        <w:t xml:space="preserve">issing rates for individual variables were 7.2% (for </w:t>
      </w:r>
      <w:r w:rsidR="00AA0BAA" w:rsidRPr="00773C04">
        <w:rPr>
          <w:i/>
          <w:lang w:val="en-GB"/>
        </w:rPr>
        <w:t>Openness</w:t>
      </w:r>
      <w:r w:rsidR="00AA0BAA" w:rsidRPr="00773C04">
        <w:rPr>
          <w:lang w:val="en-GB"/>
        </w:rPr>
        <w:t xml:space="preserve">) or less, which resulted in an almost complete dataset (95.6% of all cells were completed). A complete-case analysis was conducted using PROCESS macro for IBM SPSS. In order to take into account the hierarchical nature of the sample and the fact that students were nested within schools, we calculated the intraclass correlation coefficient (ICC), which was .10, indicating that about 10% of variations in GPA </w:t>
      </w:r>
      <w:proofErr w:type="gramStart"/>
      <w:r w:rsidR="00AA0BAA" w:rsidRPr="00773C04">
        <w:rPr>
          <w:lang w:val="en-GB"/>
        </w:rPr>
        <w:t>can</w:t>
      </w:r>
      <w:proofErr w:type="gramEnd"/>
      <w:r w:rsidR="00AA0BAA" w:rsidRPr="00773C04">
        <w:rPr>
          <w:lang w:val="en-GB"/>
        </w:rPr>
        <w:t xml:space="preserve"> be explained by the fact that students attend different schools. Since IBM SPSS 20 and PROCESS macro do not support multileve</w:t>
      </w:r>
      <w:r w:rsidR="00D36614">
        <w:rPr>
          <w:lang w:val="en-GB"/>
        </w:rPr>
        <w:t>l serial mediation models, we ra</w:t>
      </w:r>
      <w:r w:rsidR="00AA0BAA" w:rsidRPr="00773C04">
        <w:rPr>
          <w:lang w:val="en-GB"/>
        </w:rPr>
        <w:t>n additional multilevel models with random intercept using mixed procedure in IBM SPSS, in order to replicate parts of the model d</w:t>
      </w:r>
      <w:r w:rsidR="00D36614">
        <w:rPr>
          <w:lang w:val="en-GB"/>
        </w:rPr>
        <w:t>epicted in Figure 1. (i.e. we ra</w:t>
      </w:r>
      <w:r w:rsidR="00AA0BAA" w:rsidRPr="00773C04">
        <w:rPr>
          <w:lang w:val="en-GB"/>
        </w:rPr>
        <w:t xml:space="preserve">n separate models with GPA, </w:t>
      </w:r>
      <w:r w:rsidR="00ED289C" w:rsidRPr="0018698D">
        <w:rPr>
          <w:lang w:val="en-GB"/>
        </w:rPr>
        <w:t xml:space="preserve">academic </w:t>
      </w:r>
      <w:r w:rsidR="00ED289C">
        <w:rPr>
          <w:lang w:val="en-GB"/>
        </w:rPr>
        <w:t>self-</w:t>
      </w:r>
      <w:r w:rsidR="00ED289C" w:rsidRPr="0018698D">
        <w:rPr>
          <w:lang w:val="en-GB"/>
        </w:rPr>
        <w:t>efficacy</w:t>
      </w:r>
      <w:r w:rsidR="00AA0BAA" w:rsidRPr="00773C04">
        <w:rPr>
          <w:lang w:val="en-GB"/>
        </w:rPr>
        <w:t xml:space="preserve">, promoting learning process and protecting self-esteem as outcome </w:t>
      </w:r>
      <w:r w:rsidR="00AA0BAA" w:rsidRPr="00773C04">
        <w:rPr>
          <w:lang w:val="en-GB"/>
        </w:rPr>
        <w:lastRenderedPageBreak/>
        <w:t>variables). These analyses resulted in similar parameter estimates as PROCESS macro</w:t>
      </w:r>
      <w:r w:rsidR="00AA0BAA" w:rsidRPr="00773C04">
        <w:rPr>
          <w:rStyle w:val="CommentReference"/>
          <w:lang w:val="en-GB"/>
        </w:rPr>
        <w:t>.</w:t>
      </w:r>
      <w:r w:rsidR="00AA0BAA" w:rsidRPr="001F6A9B">
        <w:rPr>
          <w:lang w:val="en-GB"/>
        </w:rPr>
        <w:t xml:space="preserve"> Given </w:t>
      </w:r>
      <w:r w:rsidR="00AA0BAA" w:rsidRPr="00773C04">
        <w:rPr>
          <w:lang w:val="en-GB"/>
        </w:rPr>
        <w:t xml:space="preserve">the similarity of the results obtained with multilevel and single-level analyses, we decided to report the findings obtained with PROCESS macro. </w:t>
      </w:r>
    </w:p>
    <w:p w14:paraId="71909586" w14:textId="3FBD58F2" w:rsidR="00AA0BAA" w:rsidRPr="00773C04" w:rsidRDefault="00AA0BAA" w:rsidP="00BE019A">
      <w:pPr>
        <w:spacing w:after="240" w:line="360" w:lineRule="auto"/>
        <w:jc w:val="both"/>
        <w:rPr>
          <w:lang w:val="en-GB"/>
        </w:rPr>
      </w:pPr>
      <w:r w:rsidRPr="00773C04">
        <w:rPr>
          <w:lang w:val="en-GB"/>
        </w:rPr>
        <w:t xml:space="preserve">According to recommendations provided by Preacher and Hayes (2008), mediational analysis was conducted based on bootstrap confidence intervals. Furthermore, as Hayes (2018) suggested that the resampling procedure should include several thousand samples in order to increase precision, we included 5000 samples in our analysis. Indirect effects are considered significant in case zero is not included in bootstrap intervals.  </w:t>
      </w:r>
      <w:r w:rsidR="00961884" w:rsidRPr="00961884">
        <w:rPr>
          <w:lang w:val="en-GB"/>
        </w:rPr>
        <w:t>In addition, a path analysis was performed to test the fit of the overall model shown in Figure 1.</w:t>
      </w:r>
      <w:r w:rsidRPr="00773C04">
        <w:rPr>
          <w:lang w:val="en-GB"/>
        </w:rPr>
        <w:t xml:space="preserve">   </w:t>
      </w:r>
    </w:p>
    <w:p w14:paraId="7185FE4C" w14:textId="7FDB1649" w:rsidR="00AA0BAA" w:rsidRPr="00773C04" w:rsidRDefault="00AA0BAA" w:rsidP="00AA0BAA">
      <w:pPr>
        <w:spacing w:line="360" w:lineRule="auto"/>
        <w:rPr>
          <w:b/>
          <w:lang w:val="en-GB"/>
        </w:rPr>
      </w:pPr>
      <w:r w:rsidRPr="00773C04">
        <w:rPr>
          <w:b/>
          <w:lang w:val="en-GB"/>
        </w:rPr>
        <w:t>Results</w:t>
      </w:r>
    </w:p>
    <w:p w14:paraId="3C799090" w14:textId="77777777" w:rsidR="00AA0BAA" w:rsidRPr="00773C04" w:rsidRDefault="00AA0BAA" w:rsidP="00AA0BAA">
      <w:pPr>
        <w:spacing w:line="360" w:lineRule="auto"/>
        <w:rPr>
          <w:i/>
          <w:lang w:val="en-GB"/>
        </w:rPr>
      </w:pPr>
      <w:r w:rsidRPr="00773C04">
        <w:rPr>
          <w:i/>
          <w:lang w:val="en-GB"/>
        </w:rPr>
        <w:t>Descriptive statistics</w:t>
      </w:r>
    </w:p>
    <w:p w14:paraId="1EABADF8" w14:textId="77777777" w:rsidR="00AA0BAA" w:rsidRPr="00773C04" w:rsidRDefault="00AA0BAA" w:rsidP="00AA0BAA">
      <w:pPr>
        <w:spacing w:line="360" w:lineRule="auto"/>
        <w:jc w:val="both"/>
        <w:rPr>
          <w:lang w:val="en-GB"/>
        </w:rPr>
      </w:pPr>
      <w:r w:rsidRPr="00773C04">
        <w:rPr>
          <w:lang w:val="en-GB"/>
        </w:rPr>
        <w:t xml:space="preserve">Descriptive statistics of all variables used in the study are presented in Table 1. On average, students report high levels of extraversion, agreeableness and openness, as well as moderate levels of conscientiousness and neuroticism. Furthermore, students are academically self-efficient and more inclined to use motivational strategies of promoting learning process than strategies of protecting self-esteem. The average GPA corresponds to grade 4 (i.e. </w:t>
      </w:r>
      <w:r w:rsidRPr="00773C04">
        <w:rPr>
          <w:i/>
          <w:lang w:val="en-GB"/>
        </w:rPr>
        <w:t>very good</w:t>
      </w:r>
      <w:r w:rsidRPr="00773C04">
        <w:rPr>
          <w:lang w:val="en-GB"/>
        </w:rPr>
        <w:t>). Girls were slightly overrepresented in the sample.</w:t>
      </w:r>
    </w:p>
    <w:p w14:paraId="3B3DCBC6" w14:textId="77777777" w:rsidR="00AA0BAA" w:rsidRPr="00773C04" w:rsidRDefault="00AA0BAA" w:rsidP="00AA0BAA">
      <w:pPr>
        <w:jc w:val="center"/>
        <w:rPr>
          <w:lang w:val="en-GB"/>
        </w:rPr>
      </w:pPr>
    </w:p>
    <w:p w14:paraId="4CBF4C1C" w14:textId="77777777" w:rsidR="00AA0BAA" w:rsidRPr="00773C04" w:rsidRDefault="00AA0BAA" w:rsidP="00AA0BAA">
      <w:pPr>
        <w:jc w:val="center"/>
        <w:rPr>
          <w:lang w:val="en-GB"/>
        </w:rPr>
      </w:pPr>
      <w:r w:rsidRPr="00773C04">
        <w:rPr>
          <w:lang w:val="en-GB"/>
        </w:rPr>
        <w:t>Table 1. Descriptive statistics of regressors, mediators and outcome</w:t>
      </w:r>
    </w:p>
    <w:p w14:paraId="61D7BE90" w14:textId="77777777" w:rsidR="00AA0BAA" w:rsidRPr="00773C04" w:rsidRDefault="00AA0BAA" w:rsidP="00AA0BAA">
      <w:pPr>
        <w:jc w:val="center"/>
        <w:rPr>
          <w:lang w:val="en-GB"/>
        </w:rPr>
      </w:pPr>
    </w:p>
    <w:tbl>
      <w:tblPr>
        <w:tblStyle w:val="TableGrid"/>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500"/>
        <w:gridCol w:w="990"/>
        <w:gridCol w:w="810"/>
        <w:gridCol w:w="1080"/>
      </w:tblGrid>
      <w:tr w:rsidR="00AA0BAA" w:rsidRPr="00773C04" w14:paraId="66AE3E7D" w14:textId="77777777" w:rsidTr="002906AD">
        <w:trPr>
          <w:jc w:val="center"/>
        </w:trPr>
        <w:tc>
          <w:tcPr>
            <w:tcW w:w="4500" w:type="dxa"/>
          </w:tcPr>
          <w:p w14:paraId="2CB685D6" w14:textId="77777777" w:rsidR="00AA0BAA" w:rsidRPr="00773C04" w:rsidRDefault="00AA0BAA" w:rsidP="002906AD">
            <w:pPr>
              <w:rPr>
                <w:lang w:val="en-GB"/>
              </w:rPr>
            </w:pPr>
          </w:p>
        </w:tc>
        <w:tc>
          <w:tcPr>
            <w:tcW w:w="990" w:type="dxa"/>
          </w:tcPr>
          <w:p w14:paraId="71392F51" w14:textId="77777777" w:rsidR="00AA0BAA" w:rsidRPr="00773C04" w:rsidRDefault="00AA0BAA" w:rsidP="002906AD">
            <w:pPr>
              <w:rPr>
                <w:lang w:val="en-GB"/>
              </w:rPr>
            </w:pPr>
            <w:r w:rsidRPr="00773C04">
              <w:rPr>
                <w:lang w:val="en-GB"/>
              </w:rPr>
              <w:t>M / %</w:t>
            </w:r>
          </w:p>
        </w:tc>
        <w:tc>
          <w:tcPr>
            <w:tcW w:w="810" w:type="dxa"/>
          </w:tcPr>
          <w:p w14:paraId="39D928B1" w14:textId="77777777" w:rsidR="00AA0BAA" w:rsidRPr="00773C04" w:rsidRDefault="00AA0BAA" w:rsidP="002906AD">
            <w:pPr>
              <w:rPr>
                <w:lang w:val="en-GB"/>
              </w:rPr>
            </w:pPr>
            <w:r w:rsidRPr="00773C04">
              <w:rPr>
                <w:lang w:val="en-GB"/>
              </w:rPr>
              <w:t>SD</w:t>
            </w:r>
          </w:p>
        </w:tc>
        <w:tc>
          <w:tcPr>
            <w:tcW w:w="1080" w:type="dxa"/>
          </w:tcPr>
          <w:p w14:paraId="5AFAE84A" w14:textId="77777777" w:rsidR="00AA0BAA" w:rsidRPr="00773C04" w:rsidRDefault="00AA0BAA" w:rsidP="002906AD">
            <w:pPr>
              <w:rPr>
                <w:lang w:val="en-GB"/>
              </w:rPr>
            </w:pPr>
            <w:r w:rsidRPr="00773C04">
              <w:rPr>
                <w:lang w:val="en-GB"/>
              </w:rPr>
              <w:t>Range</w:t>
            </w:r>
          </w:p>
        </w:tc>
      </w:tr>
      <w:tr w:rsidR="00AA0BAA" w:rsidRPr="00773C04" w14:paraId="2BCE7412" w14:textId="77777777" w:rsidTr="002906AD">
        <w:trPr>
          <w:jc w:val="center"/>
        </w:trPr>
        <w:tc>
          <w:tcPr>
            <w:tcW w:w="4500" w:type="dxa"/>
            <w:tcBorders>
              <w:bottom w:val="nil"/>
            </w:tcBorders>
          </w:tcPr>
          <w:p w14:paraId="45A038EC" w14:textId="77777777" w:rsidR="00AA0BAA" w:rsidRPr="00773C04" w:rsidRDefault="00AA0BAA" w:rsidP="002906AD">
            <w:pPr>
              <w:rPr>
                <w:i/>
                <w:lang w:val="en-GB"/>
              </w:rPr>
            </w:pPr>
            <w:r w:rsidRPr="00773C04">
              <w:rPr>
                <w:i/>
                <w:lang w:val="en-GB"/>
              </w:rPr>
              <w:t>Regressors</w:t>
            </w:r>
          </w:p>
        </w:tc>
        <w:tc>
          <w:tcPr>
            <w:tcW w:w="990" w:type="dxa"/>
            <w:tcBorders>
              <w:bottom w:val="nil"/>
            </w:tcBorders>
          </w:tcPr>
          <w:p w14:paraId="2EB484B6" w14:textId="77777777" w:rsidR="00AA0BAA" w:rsidRPr="00773C04" w:rsidRDefault="00AA0BAA" w:rsidP="002906AD">
            <w:pPr>
              <w:tabs>
                <w:tab w:val="decimal" w:pos="181"/>
              </w:tabs>
              <w:rPr>
                <w:lang w:val="en-GB"/>
              </w:rPr>
            </w:pPr>
          </w:p>
        </w:tc>
        <w:tc>
          <w:tcPr>
            <w:tcW w:w="810" w:type="dxa"/>
            <w:tcBorders>
              <w:bottom w:val="nil"/>
            </w:tcBorders>
          </w:tcPr>
          <w:p w14:paraId="5E53FED3" w14:textId="77777777" w:rsidR="00AA0BAA" w:rsidRPr="00773C04" w:rsidRDefault="00AA0BAA" w:rsidP="002906AD">
            <w:pPr>
              <w:rPr>
                <w:lang w:val="en-GB"/>
              </w:rPr>
            </w:pPr>
          </w:p>
        </w:tc>
        <w:tc>
          <w:tcPr>
            <w:tcW w:w="1080" w:type="dxa"/>
            <w:tcBorders>
              <w:bottom w:val="nil"/>
            </w:tcBorders>
          </w:tcPr>
          <w:p w14:paraId="5763D425" w14:textId="77777777" w:rsidR="00AA0BAA" w:rsidRPr="00773C04" w:rsidRDefault="00AA0BAA" w:rsidP="002906AD">
            <w:pPr>
              <w:rPr>
                <w:lang w:val="en-GB"/>
              </w:rPr>
            </w:pPr>
          </w:p>
        </w:tc>
      </w:tr>
      <w:tr w:rsidR="00AA0BAA" w:rsidRPr="00773C04" w14:paraId="1139EF44" w14:textId="77777777" w:rsidTr="002906AD">
        <w:trPr>
          <w:trHeight w:val="211"/>
          <w:jc w:val="center"/>
        </w:trPr>
        <w:tc>
          <w:tcPr>
            <w:tcW w:w="4500" w:type="dxa"/>
            <w:tcBorders>
              <w:top w:val="nil"/>
              <w:bottom w:val="nil"/>
            </w:tcBorders>
          </w:tcPr>
          <w:p w14:paraId="2A47AE35" w14:textId="77777777" w:rsidR="00AA0BAA" w:rsidRPr="00773C04" w:rsidRDefault="00AA0BAA" w:rsidP="002906AD">
            <w:pPr>
              <w:ind w:left="157"/>
              <w:rPr>
                <w:lang w:val="en-GB"/>
              </w:rPr>
            </w:pPr>
            <w:r w:rsidRPr="00773C04">
              <w:rPr>
                <w:lang w:val="en-GB"/>
              </w:rPr>
              <w:t>Extraversion</w:t>
            </w:r>
          </w:p>
        </w:tc>
        <w:tc>
          <w:tcPr>
            <w:tcW w:w="990" w:type="dxa"/>
            <w:tcBorders>
              <w:top w:val="nil"/>
              <w:bottom w:val="nil"/>
            </w:tcBorders>
          </w:tcPr>
          <w:p w14:paraId="1AF2EEAA" w14:textId="77777777" w:rsidR="00AA0BAA" w:rsidRPr="00773C04" w:rsidRDefault="00AA0BAA" w:rsidP="002906AD">
            <w:pPr>
              <w:rPr>
                <w:lang w:val="en-GB"/>
              </w:rPr>
            </w:pPr>
            <w:r w:rsidRPr="00773C04">
              <w:rPr>
                <w:lang w:val="en-GB"/>
              </w:rPr>
              <w:t>30.1</w:t>
            </w:r>
          </w:p>
        </w:tc>
        <w:tc>
          <w:tcPr>
            <w:tcW w:w="810" w:type="dxa"/>
            <w:tcBorders>
              <w:top w:val="nil"/>
              <w:bottom w:val="nil"/>
            </w:tcBorders>
          </w:tcPr>
          <w:p w14:paraId="74BAA734" w14:textId="77777777" w:rsidR="00AA0BAA" w:rsidRPr="00773C04" w:rsidRDefault="00AA0BAA" w:rsidP="002906AD">
            <w:pPr>
              <w:rPr>
                <w:lang w:val="en-GB"/>
              </w:rPr>
            </w:pPr>
            <w:r w:rsidRPr="00773C04">
              <w:rPr>
                <w:lang w:val="en-GB"/>
              </w:rPr>
              <w:t>5.47</w:t>
            </w:r>
          </w:p>
        </w:tc>
        <w:tc>
          <w:tcPr>
            <w:tcW w:w="1080" w:type="dxa"/>
            <w:tcBorders>
              <w:top w:val="nil"/>
              <w:bottom w:val="nil"/>
            </w:tcBorders>
          </w:tcPr>
          <w:p w14:paraId="37AD5F9E" w14:textId="77777777" w:rsidR="00AA0BAA" w:rsidRPr="00773C04" w:rsidRDefault="00AA0BAA" w:rsidP="002906AD">
            <w:pPr>
              <w:rPr>
                <w:lang w:val="en-GB"/>
              </w:rPr>
            </w:pPr>
            <w:r w:rsidRPr="00773C04">
              <w:rPr>
                <w:lang w:val="en-GB"/>
              </w:rPr>
              <w:t>11 – 40</w:t>
            </w:r>
          </w:p>
        </w:tc>
      </w:tr>
      <w:tr w:rsidR="00AA0BAA" w:rsidRPr="00773C04" w14:paraId="008D6EED" w14:textId="77777777" w:rsidTr="002906AD">
        <w:trPr>
          <w:trHeight w:val="211"/>
          <w:jc w:val="center"/>
        </w:trPr>
        <w:tc>
          <w:tcPr>
            <w:tcW w:w="4500" w:type="dxa"/>
            <w:tcBorders>
              <w:top w:val="nil"/>
              <w:bottom w:val="nil"/>
            </w:tcBorders>
          </w:tcPr>
          <w:p w14:paraId="769CC663" w14:textId="77777777" w:rsidR="00AA0BAA" w:rsidRPr="00773C04" w:rsidRDefault="00AA0BAA" w:rsidP="002906AD">
            <w:pPr>
              <w:ind w:left="157"/>
              <w:rPr>
                <w:lang w:val="en-GB"/>
              </w:rPr>
            </w:pPr>
            <w:r w:rsidRPr="00773C04">
              <w:rPr>
                <w:lang w:val="en-GB"/>
              </w:rPr>
              <w:t>Agreeableness</w:t>
            </w:r>
          </w:p>
        </w:tc>
        <w:tc>
          <w:tcPr>
            <w:tcW w:w="990" w:type="dxa"/>
            <w:tcBorders>
              <w:top w:val="nil"/>
              <w:bottom w:val="nil"/>
            </w:tcBorders>
          </w:tcPr>
          <w:p w14:paraId="7773B720" w14:textId="77777777" w:rsidR="00AA0BAA" w:rsidRPr="00773C04" w:rsidRDefault="00AA0BAA" w:rsidP="002906AD">
            <w:pPr>
              <w:rPr>
                <w:lang w:val="en-GB"/>
              </w:rPr>
            </w:pPr>
            <w:r w:rsidRPr="00773C04">
              <w:rPr>
                <w:lang w:val="en-GB"/>
              </w:rPr>
              <w:t>31.7</w:t>
            </w:r>
          </w:p>
        </w:tc>
        <w:tc>
          <w:tcPr>
            <w:tcW w:w="810" w:type="dxa"/>
            <w:tcBorders>
              <w:top w:val="nil"/>
              <w:bottom w:val="nil"/>
            </w:tcBorders>
          </w:tcPr>
          <w:p w14:paraId="2D454DDF" w14:textId="77777777" w:rsidR="00AA0BAA" w:rsidRPr="00773C04" w:rsidRDefault="00AA0BAA" w:rsidP="002906AD">
            <w:pPr>
              <w:rPr>
                <w:lang w:val="en-GB"/>
              </w:rPr>
            </w:pPr>
            <w:r w:rsidRPr="00773C04">
              <w:rPr>
                <w:lang w:val="en-GB"/>
              </w:rPr>
              <w:t>5.53</w:t>
            </w:r>
          </w:p>
        </w:tc>
        <w:tc>
          <w:tcPr>
            <w:tcW w:w="1080" w:type="dxa"/>
            <w:tcBorders>
              <w:top w:val="nil"/>
              <w:bottom w:val="nil"/>
            </w:tcBorders>
          </w:tcPr>
          <w:p w14:paraId="56C9389B" w14:textId="77777777" w:rsidR="00AA0BAA" w:rsidRPr="00773C04" w:rsidRDefault="00AA0BAA" w:rsidP="002906AD">
            <w:pPr>
              <w:rPr>
                <w:lang w:val="en-GB"/>
              </w:rPr>
            </w:pPr>
            <w:r w:rsidRPr="00773C04">
              <w:rPr>
                <w:lang w:val="en-GB"/>
              </w:rPr>
              <w:t>15 – 45</w:t>
            </w:r>
          </w:p>
        </w:tc>
      </w:tr>
      <w:tr w:rsidR="00AA0BAA" w:rsidRPr="00773C04" w14:paraId="4265F0FF" w14:textId="77777777" w:rsidTr="002906AD">
        <w:trPr>
          <w:trHeight w:val="211"/>
          <w:jc w:val="center"/>
        </w:trPr>
        <w:tc>
          <w:tcPr>
            <w:tcW w:w="4500" w:type="dxa"/>
            <w:tcBorders>
              <w:top w:val="nil"/>
              <w:bottom w:val="nil"/>
            </w:tcBorders>
          </w:tcPr>
          <w:p w14:paraId="4CE51AB1" w14:textId="77777777" w:rsidR="00AA0BAA" w:rsidRPr="00773C04" w:rsidRDefault="00AA0BAA" w:rsidP="002906AD">
            <w:pPr>
              <w:ind w:left="157"/>
              <w:rPr>
                <w:lang w:val="en-GB"/>
              </w:rPr>
            </w:pPr>
            <w:r w:rsidRPr="00773C04">
              <w:rPr>
                <w:lang w:val="en-GB"/>
              </w:rPr>
              <w:t>Conscientiousness</w:t>
            </w:r>
          </w:p>
        </w:tc>
        <w:tc>
          <w:tcPr>
            <w:tcW w:w="990" w:type="dxa"/>
            <w:tcBorders>
              <w:top w:val="nil"/>
              <w:bottom w:val="nil"/>
            </w:tcBorders>
          </w:tcPr>
          <w:p w14:paraId="0C3DD2AB" w14:textId="77777777" w:rsidR="00AA0BAA" w:rsidRPr="00773C04" w:rsidRDefault="00AA0BAA" w:rsidP="002906AD">
            <w:pPr>
              <w:rPr>
                <w:lang w:val="en-GB"/>
              </w:rPr>
            </w:pPr>
            <w:r w:rsidRPr="00773C04">
              <w:rPr>
                <w:lang w:val="en-GB"/>
              </w:rPr>
              <w:t>30.1</w:t>
            </w:r>
          </w:p>
        </w:tc>
        <w:tc>
          <w:tcPr>
            <w:tcW w:w="810" w:type="dxa"/>
            <w:tcBorders>
              <w:top w:val="nil"/>
              <w:bottom w:val="nil"/>
            </w:tcBorders>
          </w:tcPr>
          <w:p w14:paraId="3AC7AB4F" w14:textId="77777777" w:rsidR="00AA0BAA" w:rsidRPr="00773C04" w:rsidRDefault="00AA0BAA" w:rsidP="002906AD">
            <w:pPr>
              <w:rPr>
                <w:lang w:val="en-GB"/>
              </w:rPr>
            </w:pPr>
            <w:r w:rsidRPr="00773C04">
              <w:rPr>
                <w:lang w:val="en-GB"/>
              </w:rPr>
              <w:t>6.08</w:t>
            </w:r>
          </w:p>
        </w:tc>
        <w:tc>
          <w:tcPr>
            <w:tcW w:w="1080" w:type="dxa"/>
            <w:tcBorders>
              <w:top w:val="nil"/>
              <w:bottom w:val="nil"/>
            </w:tcBorders>
          </w:tcPr>
          <w:p w14:paraId="1903D097" w14:textId="77777777" w:rsidR="00AA0BAA" w:rsidRPr="00773C04" w:rsidRDefault="00AA0BAA" w:rsidP="002906AD">
            <w:pPr>
              <w:rPr>
                <w:lang w:val="en-GB"/>
              </w:rPr>
            </w:pPr>
            <w:r w:rsidRPr="00773C04">
              <w:rPr>
                <w:lang w:val="en-GB"/>
              </w:rPr>
              <w:t>13 – 45</w:t>
            </w:r>
          </w:p>
        </w:tc>
      </w:tr>
      <w:tr w:rsidR="00AA0BAA" w:rsidRPr="00773C04" w14:paraId="3BA705E3" w14:textId="77777777" w:rsidTr="002906AD">
        <w:trPr>
          <w:trHeight w:val="211"/>
          <w:jc w:val="center"/>
        </w:trPr>
        <w:tc>
          <w:tcPr>
            <w:tcW w:w="4500" w:type="dxa"/>
            <w:tcBorders>
              <w:top w:val="nil"/>
              <w:bottom w:val="nil"/>
            </w:tcBorders>
          </w:tcPr>
          <w:p w14:paraId="5BDB2CB1" w14:textId="77777777" w:rsidR="00AA0BAA" w:rsidRPr="00773C04" w:rsidRDefault="00AA0BAA" w:rsidP="002906AD">
            <w:pPr>
              <w:ind w:left="157"/>
              <w:rPr>
                <w:lang w:val="en-GB"/>
              </w:rPr>
            </w:pPr>
            <w:r w:rsidRPr="00773C04">
              <w:rPr>
                <w:lang w:val="en-GB"/>
              </w:rPr>
              <w:t>Neuroticism</w:t>
            </w:r>
          </w:p>
        </w:tc>
        <w:tc>
          <w:tcPr>
            <w:tcW w:w="990" w:type="dxa"/>
            <w:tcBorders>
              <w:top w:val="nil"/>
              <w:bottom w:val="nil"/>
            </w:tcBorders>
          </w:tcPr>
          <w:p w14:paraId="024E7C23" w14:textId="77777777" w:rsidR="00AA0BAA" w:rsidRPr="00773C04" w:rsidRDefault="00AA0BAA" w:rsidP="002906AD">
            <w:pPr>
              <w:rPr>
                <w:lang w:val="en-GB"/>
              </w:rPr>
            </w:pPr>
            <w:r w:rsidRPr="00773C04">
              <w:rPr>
                <w:lang w:val="en-GB"/>
              </w:rPr>
              <w:t>22.1</w:t>
            </w:r>
          </w:p>
        </w:tc>
        <w:tc>
          <w:tcPr>
            <w:tcW w:w="810" w:type="dxa"/>
            <w:tcBorders>
              <w:top w:val="nil"/>
              <w:bottom w:val="nil"/>
            </w:tcBorders>
          </w:tcPr>
          <w:p w14:paraId="17FD0B88" w14:textId="77777777" w:rsidR="00AA0BAA" w:rsidRPr="00773C04" w:rsidRDefault="00AA0BAA" w:rsidP="002906AD">
            <w:pPr>
              <w:rPr>
                <w:lang w:val="en-GB"/>
              </w:rPr>
            </w:pPr>
            <w:r w:rsidRPr="00773C04">
              <w:rPr>
                <w:lang w:val="en-GB"/>
              </w:rPr>
              <w:t>5.59</w:t>
            </w:r>
          </w:p>
        </w:tc>
        <w:tc>
          <w:tcPr>
            <w:tcW w:w="1080" w:type="dxa"/>
            <w:tcBorders>
              <w:top w:val="nil"/>
              <w:bottom w:val="nil"/>
            </w:tcBorders>
          </w:tcPr>
          <w:p w14:paraId="61B01874" w14:textId="77777777" w:rsidR="00AA0BAA" w:rsidRPr="00773C04" w:rsidRDefault="00AA0BAA" w:rsidP="002906AD">
            <w:pPr>
              <w:rPr>
                <w:lang w:val="en-GB"/>
              </w:rPr>
            </w:pPr>
            <w:r w:rsidRPr="00773C04">
              <w:rPr>
                <w:lang w:val="en-GB"/>
              </w:rPr>
              <w:t>8 – 39</w:t>
            </w:r>
          </w:p>
        </w:tc>
      </w:tr>
      <w:tr w:rsidR="00AA0BAA" w:rsidRPr="00773C04" w14:paraId="592A9F04" w14:textId="77777777" w:rsidTr="002906AD">
        <w:trPr>
          <w:trHeight w:val="211"/>
          <w:jc w:val="center"/>
        </w:trPr>
        <w:tc>
          <w:tcPr>
            <w:tcW w:w="4500" w:type="dxa"/>
            <w:tcBorders>
              <w:top w:val="nil"/>
              <w:bottom w:val="nil"/>
            </w:tcBorders>
          </w:tcPr>
          <w:p w14:paraId="1199B6F3" w14:textId="77777777" w:rsidR="00AA0BAA" w:rsidRPr="00773C04" w:rsidRDefault="00AA0BAA" w:rsidP="002906AD">
            <w:pPr>
              <w:ind w:left="157"/>
              <w:rPr>
                <w:lang w:val="en-GB"/>
              </w:rPr>
            </w:pPr>
            <w:r w:rsidRPr="00773C04">
              <w:rPr>
                <w:lang w:val="en-GB"/>
              </w:rPr>
              <w:t>Openness</w:t>
            </w:r>
          </w:p>
        </w:tc>
        <w:tc>
          <w:tcPr>
            <w:tcW w:w="990" w:type="dxa"/>
            <w:tcBorders>
              <w:top w:val="nil"/>
              <w:bottom w:val="nil"/>
            </w:tcBorders>
          </w:tcPr>
          <w:p w14:paraId="510C47D1" w14:textId="77777777" w:rsidR="00AA0BAA" w:rsidRPr="00773C04" w:rsidRDefault="00AA0BAA" w:rsidP="002906AD">
            <w:pPr>
              <w:rPr>
                <w:lang w:val="en-GB"/>
              </w:rPr>
            </w:pPr>
            <w:r w:rsidRPr="00773C04">
              <w:rPr>
                <w:lang w:val="en-GB"/>
              </w:rPr>
              <w:t>35.6</w:t>
            </w:r>
          </w:p>
        </w:tc>
        <w:tc>
          <w:tcPr>
            <w:tcW w:w="810" w:type="dxa"/>
            <w:tcBorders>
              <w:top w:val="nil"/>
              <w:bottom w:val="nil"/>
            </w:tcBorders>
          </w:tcPr>
          <w:p w14:paraId="5F2BF7F6" w14:textId="77777777" w:rsidR="00AA0BAA" w:rsidRPr="00773C04" w:rsidRDefault="00AA0BAA" w:rsidP="002906AD">
            <w:pPr>
              <w:rPr>
                <w:lang w:val="en-GB"/>
              </w:rPr>
            </w:pPr>
            <w:r w:rsidRPr="00773C04">
              <w:rPr>
                <w:lang w:val="en-GB"/>
              </w:rPr>
              <w:t>6.14</w:t>
            </w:r>
          </w:p>
        </w:tc>
        <w:tc>
          <w:tcPr>
            <w:tcW w:w="1080" w:type="dxa"/>
            <w:tcBorders>
              <w:top w:val="nil"/>
              <w:bottom w:val="nil"/>
            </w:tcBorders>
          </w:tcPr>
          <w:p w14:paraId="34D48CCF" w14:textId="77777777" w:rsidR="00AA0BAA" w:rsidRPr="00773C04" w:rsidRDefault="00AA0BAA" w:rsidP="002906AD">
            <w:pPr>
              <w:rPr>
                <w:lang w:val="en-GB"/>
              </w:rPr>
            </w:pPr>
            <w:r w:rsidRPr="00773C04">
              <w:rPr>
                <w:lang w:val="en-GB"/>
              </w:rPr>
              <w:t>14 – 50</w:t>
            </w:r>
          </w:p>
        </w:tc>
      </w:tr>
      <w:tr w:rsidR="00AA0BAA" w:rsidRPr="00773C04" w14:paraId="30ACB641" w14:textId="77777777" w:rsidTr="002906AD">
        <w:trPr>
          <w:trHeight w:val="211"/>
          <w:jc w:val="center"/>
        </w:trPr>
        <w:tc>
          <w:tcPr>
            <w:tcW w:w="4500" w:type="dxa"/>
            <w:tcBorders>
              <w:top w:val="nil"/>
              <w:bottom w:val="nil"/>
            </w:tcBorders>
          </w:tcPr>
          <w:p w14:paraId="532330AC" w14:textId="77777777" w:rsidR="00AA0BAA" w:rsidRPr="00773C04" w:rsidRDefault="00AA0BAA" w:rsidP="002906AD">
            <w:pPr>
              <w:ind w:left="157"/>
              <w:rPr>
                <w:lang w:val="en-GB"/>
              </w:rPr>
            </w:pPr>
            <w:r w:rsidRPr="00773C04">
              <w:rPr>
                <w:lang w:val="en-GB"/>
              </w:rPr>
              <w:t>Gender (%)</w:t>
            </w:r>
          </w:p>
        </w:tc>
        <w:tc>
          <w:tcPr>
            <w:tcW w:w="990" w:type="dxa"/>
            <w:tcBorders>
              <w:top w:val="nil"/>
              <w:bottom w:val="nil"/>
            </w:tcBorders>
          </w:tcPr>
          <w:p w14:paraId="080F169F" w14:textId="77777777" w:rsidR="00AA0BAA" w:rsidRPr="00773C04" w:rsidRDefault="00AA0BAA" w:rsidP="002906AD">
            <w:pPr>
              <w:tabs>
                <w:tab w:val="decimal" w:pos="181"/>
              </w:tabs>
              <w:rPr>
                <w:lang w:val="en-GB"/>
              </w:rPr>
            </w:pPr>
          </w:p>
        </w:tc>
        <w:tc>
          <w:tcPr>
            <w:tcW w:w="810" w:type="dxa"/>
            <w:tcBorders>
              <w:top w:val="nil"/>
              <w:bottom w:val="nil"/>
            </w:tcBorders>
          </w:tcPr>
          <w:p w14:paraId="45E386F6" w14:textId="77777777" w:rsidR="00AA0BAA" w:rsidRPr="00773C04" w:rsidRDefault="00AA0BAA" w:rsidP="002906AD">
            <w:pPr>
              <w:rPr>
                <w:lang w:val="en-GB"/>
              </w:rPr>
            </w:pPr>
          </w:p>
        </w:tc>
        <w:tc>
          <w:tcPr>
            <w:tcW w:w="1080" w:type="dxa"/>
            <w:tcBorders>
              <w:top w:val="nil"/>
              <w:bottom w:val="nil"/>
            </w:tcBorders>
          </w:tcPr>
          <w:p w14:paraId="44BD63DC" w14:textId="77777777" w:rsidR="00AA0BAA" w:rsidRPr="00773C04" w:rsidRDefault="00AA0BAA" w:rsidP="002906AD">
            <w:pPr>
              <w:rPr>
                <w:lang w:val="en-GB"/>
              </w:rPr>
            </w:pPr>
          </w:p>
        </w:tc>
      </w:tr>
      <w:tr w:rsidR="00AA0BAA" w:rsidRPr="00773C04" w14:paraId="4A2D4B6C" w14:textId="77777777" w:rsidTr="002906AD">
        <w:trPr>
          <w:trHeight w:val="211"/>
          <w:jc w:val="center"/>
        </w:trPr>
        <w:tc>
          <w:tcPr>
            <w:tcW w:w="4500" w:type="dxa"/>
            <w:tcBorders>
              <w:top w:val="nil"/>
              <w:bottom w:val="nil"/>
            </w:tcBorders>
          </w:tcPr>
          <w:p w14:paraId="6CD8B274" w14:textId="77777777" w:rsidR="00AA0BAA" w:rsidRPr="00773C04" w:rsidRDefault="00AA0BAA" w:rsidP="002906AD">
            <w:pPr>
              <w:ind w:left="427"/>
              <w:rPr>
                <w:lang w:val="en-GB"/>
              </w:rPr>
            </w:pPr>
            <w:r w:rsidRPr="00773C04">
              <w:rPr>
                <w:lang w:val="en-GB"/>
              </w:rPr>
              <w:t>Females</w:t>
            </w:r>
          </w:p>
        </w:tc>
        <w:tc>
          <w:tcPr>
            <w:tcW w:w="990" w:type="dxa"/>
            <w:tcBorders>
              <w:top w:val="nil"/>
              <w:bottom w:val="nil"/>
            </w:tcBorders>
          </w:tcPr>
          <w:p w14:paraId="5042F9FC" w14:textId="77777777" w:rsidR="00AA0BAA" w:rsidRPr="00773C04" w:rsidRDefault="00AA0BAA" w:rsidP="002906AD">
            <w:pPr>
              <w:tabs>
                <w:tab w:val="decimal" w:pos="181"/>
              </w:tabs>
              <w:rPr>
                <w:lang w:val="en-GB"/>
              </w:rPr>
            </w:pPr>
            <w:r w:rsidRPr="00773C04">
              <w:rPr>
                <w:lang w:val="en-GB"/>
              </w:rPr>
              <w:t>56.0%</w:t>
            </w:r>
          </w:p>
        </w:tc>
        <w:tc>
          <w:tcPr>
            <w:tcW w:w="810" w:type="dxa"/>
            <w:tcBorders>
              <w:top w:val="nil"/>
              <w:bottom w:val="nil"/>
            </w:tcBorders>
          </w:tcPr>
          <w:p w14:paraId="347D1D7A" w14:textId="77777777" w:rsidR="00AA0BAA" w:rsidRPr="00773C04" w:rsidRDefault="00AA0BAA" w:rsidP="002906AD">
            <w:pPr>
              <w:rPr>
                <w:lang w:val="en-GB"/>
              </w:rPr>
            </w:pPr>
          </w:p>
        </w:tc>
        <w:tc>
          <w:tcPr>
            <w:tcW w:w="1080" w:type="dxa"/>
            <w:tcBorders>
              <w:top w:val="nil"/>
              <w:bottom w:val="nil"/>
            </w:tcBorders>
          </w:tcPr>
          <w:p w14:paraId="3EE09E7F" w14:textId="77777777" w:rsidR="00AA0BAA" w:rsidRPr="00773C04" w:rsidRDefault="00AA0BAA" w:rsidP="002906AD">
            <w:pPr>
              <w:rPr>
                <w:lang w:val="en-GB"/>
              </w:rPr>
            </w:pPr>
          </w:p>
        </w:tc>
      </w:tr>
      <w:tr w:rsidR="00AA0BAA" w:rsidRPr="00773C04" w14:paraId="326F3526" w14:textId="77777777" w:rsidTr="002906AD">
        <w:trPr>
          <w:trHeight w:val="211"/>
          <w:jc w:val="center"/>
        </w:trPr>
        <w:tc>
          <w:tcPr>
            <w:tcW w:w="4500" w:type="dxa"/>
            <w:tcBorders>
              <w:top w:val="nil"/>
              <w:bottom w:val="nil"/>
            </w:tcBorders>
          </w:tcPr>
          <w:p w14:paraId="46B34D8B" w14:textId="77777777" w:rsidR="00AA0BAA" w:rsidRPr="00773C04" w:rsidRDefault="00AA0BAA" w:rsidP="002906AD">
            <w:pPr>
              <w:ind w:left="427"/>
              <w:rPr>
                <w:lang w:val="en-GB"/>
              </w:rPr>
            </w:pPr>
            <w:r w:rsidRPr="00773C04">
              <w:rPr>
                <w:lang w:val="en-GB"/>
              </w:rPr>
              <w:t>Males</w:t>
            </w:r>
          </w:p>
        </w:tc>
        <w:tc>
          <w:tcPr>
            <w:tcW w:w="990" w:type="dxa"/>
            <w:tcBorders>
              <w:top w:val="nil"/>
              <w:bottom w:val="nil"/>
            </w:tcBorders>
          </w:tcPr>
          <w:p w14:paraId="67B2A922" w14:textId="77777777" w:rsidR="00AA0BAA" w:rsidRPr="00773C04" w:rsidRDefault="00AA0BAA" w:rsidP="002906AD">
            <w:pPr>
              <w:tabs>
                <w:tab w:val="decimal" w:pos="181"/>
              </w:tabs>
              <w:rPr>
                <w:lang w:val="en-GB"/>
              </w:rPr>
            </w:pPr>
            <w:r w:rsidRPr="00773C04">
              <w:rPr>
                <w:lang w:val="en-GB"/>
              </w:rPr>
              <w:t>44.0%</w:t>
            </w:r>
          </w:p>
        </w:tc>
        <w:tc>
          <w:tcPr>
            <w:tcW w:w="810" w:type="dxa"/>
            <w:tcBorders>
              <w:top w:val="nil"/>
              <w:bottom w:val="nil"/>
            </w:tcBorders>
          </w:tcPr>
          <w:p w14:paraId="4C0F5CCF" w14:textId="77777777" w:rsidR="00AA0BAA" w:rsidRPr="00773C04" w:rsidRDefault="00AA0BAA" w:rsidP="002906AD">
            <w:pPr>
              <w:rPr>
                <w:lang w:val="en-GB"/>
              </w:rPr>
            </w:pPr>
          </w:p>
        </w:tc>
        <w:tc>
          <w:tcPr>
            <w:tcW w:w="1080" w:type="dxa"/>
            <w:tcBorders>
              <w:top w:val="nil"/>
              <w:bottom w:val="nil"/>
            </w:tcBorders>
          </w:tcPr>
          <w:p w14:paraId="04685AC7" w14:textId="77777777" w:rsidR="00AA0BAA" w:rsidRPr="00773C04" w:rsidRDefault="00AA0BAA" w:rsidP="002906AD">
            <w:pPr>
              <w:rPr>
                <w:lang w:val="en-GB"/>
              </w:rPr>
            </w:pPr>
          </w:p>
        </w:tc>
      </w:tr>
      <w:tr w:rsidR="00AA0BAA" w:rsidRPr="00773C04" w14:paraId="1EC1D063" w14:textId="77777777" w:rsidTr="002906AD">
        <w:trPr>
          <w:trHeight w:val="211"/>
          <w:jc w:val="center"/>
        </w:trPr>
        <w:tc>
          <w:tcPr>
            <w:tcW w:w="4500" w:type="dxa"/>
            <w:tcBorders>
              <w:top w:val="nil"/>
              <w:bottom w:val="nil"/>
            </w:tcBorders>
          </w:tcPr>
          <w:p w14:paraId="6F56B6C3" w14:textId="77777777" w:rsidR="00AA0BAA" w:rsidRPr="00773C04" w:rsidRDefault="00AA0BAA" w:rsidP="002906AD">
            <w:pPr>
              <w:rPr>
                <w:lang w:val="en-GB"/>
              </w:rPr>
            </w:pPr>
            <w:r w:rsidRPr="00773C04">
              <w:rPr>
                <w:i/>
                <w:lang w:val="en-GB"/>
              </w:rPr>
              <w:t>Mediators</w:t>
            </w:r>
          </w:p>
        </w:tc>
        <w:tc>
          <w:tcPr>
            <w:tcW w:w="990" w:type="dxa"/>
            <w:tcBorders>
              <w:top w:val="nil"/>
              <w:bottom w:val="nil"/>
            </w:tcBorders>
          </w:tcPr>
          <w:p w14:paraId="6CAE4D60" w14:textId="77777777" w:rsidR="00AA0BAA" w:rsidRPr="00773C04" w:rsidRDefault="00AA0BAA" w:rsidP="002906AD">
            <w:pPr>
              <w:tabs>
                <w:tab w:val="decimal" w:pos="181"/>
              </w:tabs>
              <w:rPr>
                <w:lang w:val="en-GB"/>
              </w:rPr>
            </w:pPr>
          </w:p>
        </w:tc>
        <w:tc>
          <w:tcPr>
            <w:tcW w:w="810" w:type="dxa"/>
            <w:tcBorders>
              <w:top w:val="nil"/>
              <w:bottom w:val="nil"/>
            </w:tcBorders>
          </w:tcPr>
          <w:p w14:paraId="75DB437F" w14:textId="77777777" w:rsidR="00AA0BAA" w:rsidRPr="00773C04" w:rsidRDefault="00AA0BAA" w:rsidP="002906AD">
            <w:pPr>
              <w:rPr>
                <w:lang w:val="en-GB"/>
              </w:rPr>
            </w:pPr>
          </w:p>
        </w:tc>
        <w:tc>
          <w:tcPr>
            <w:tcW w:w="1080" w:type="dxa"/>
            <w:tcBorders>
              <w:top w:val="nil"/>
              <w:bottom w:val="nil"/>
            </w:tcBorders>
          </w:tcPr>
          <w:p w14:paraId="77B9676E" w14:textId="77777777" w:rsidR="00AA0BAA" w:rsidRPr="00773C04" w:rsidRDefault="00AA0BAA" w:rsidP="002906AD">
            <w:pPr>
              <w:rPr>
                <w:lang w:val="en-GB"/>
              </w:rPr>
            </w:pPr>
          </w:p>
        </w:tc>
      </w:tr>
      <w:tr w:rsidR="00AA0BAA" w:rsidRPr="00773C04" w14:paraId="126212A6" w14:textId="77777777" w:rsidTr="002906AD">
        <w:trPr>
          <w:trHeight w:val="211"/>
          <w:jc w:val="center"/>
        </w:trPr>
        <w:tc>
          <w:tcPr>
            <w:tcW w:w="4500" w:type="dxa"/>
            <w:tcBorders>
              <w:top w:val="nil"/>
              <w:bottom w:val="nil"/>
            </w:tcBorders>
          </w:tcPr>
          <w:p w14:paraId="0C642F53" w14:textId="0F414E49" w:rsidR="00AA0BAA" w:rsidRPr="00773C04" w:rsidRDefault="00ED289C" w:rsidP="002906AD">
            <w:pPr>
              <w:ind w:left="427"/>
              <w:rPr>
                <w:lang w:val="en-GB"/>
              </w:rPr>
            </w:pPr>
            <w:r>
              <w:rPr>
                <w:lang w:val="en-GB"/>
              </w:rPr>
              <w:t>A</w:t>
            </w:r>
            <w:r w:rsidRPr="0018698D">
              <w:rPr>
                <w:lang w:val="en-GB"/>
              </w:rPr>
              <w:t xml:space="preserve">cademic </w:t>
            </w:r>
            <w:r>
              <w:rPr>
                <w:lang w:val="en-GB"/>
              </w:rPr>
              <w:t>self-</w:t>
            </w:r>
            <w:r w:rsidRPr="0018698D">
              <w:rPr>
                <w:lang w:val="en-GB"/>
              </w:rPr>
              <w:t>efficacy</w:t>
            </w:r>
          </w:p>
        </w:tc>
        <w:tc>
          <w:tcPr>
            <w:tcW w:w="990" w:type="dxa"/>
            <w:tcBorders>
              <w:top w:val="nil"/>
              <w:bottom w:val="nil"/>
            </w:tcBorders>
          </w:tcPr>
          <w:p w14:paraId="7A782FF5" w14:textId="77777777" w:rsidR="00AA0BAA" w:rsidRPr="00773C04" w:rsidRDefault="00AA0BAA" w:rsidP="002906AD">
            <w:pPr>
              <w:rPr>
                <w:lang w:val="en-GB"/>
              </w:rPr>
            </w:pPr>
            <w:r w:rsidRPr="00773C04">
              <w:rPr>
                <w:lang w:val="en-GB"/>
              </w:rPr>
              <w:t>19.5</w:t>
            </w:r>
          </w:p>
        </w:tc>
        <w:tc>
          <w:tcPr>
            <w:tcW w:w="810" w:type="dxa"/>
            <w:tcBorders>
              <w:top w:val="nil"/>
              <w:bottom w:val="nil"/>
            </w:tcBorders>
          </w:tcPr>
          <w:p w14:paraId="6FD4BBAB" w14:textId="77777777" w:rsidR="00AA0BAA" w:rsidRPr="00773C04" w:rsidRDefault="00AA0BAA" w:rsidP="002906AD">
            <w:pPr>
              <w:rPr>
                <w:lang w:val="en-GB"/>
              </w:rPr>
            </w:pPr>
            <w:r w:rsidRPr="00773C04">
              <w:rPr>
                <w:lang w:val="en-GB"/>
              </w:rPr>
              <w:t>4.25</w:t>
            </w:r>
          </w:p>
        </w:tc>
        <w:tc>
          <w:tcPr>
            <w:tcW w:w="1080" w:type="dxa"/>
            <w:tcBorders>
              <w:top w:val="nil"/>
              <w:bottom w:val="nil"/>
            </w:tcBorders>
          </w:tcPr>
          <w:p w14:paraId="4F307E17" w14:textId="77777777" w:rsidR="00AA0BAA" w:rsidRPr="00773C04" w:rsidRDefault="00AA0BAA" w:rsidP="002906AD">
            <w:pPr>
              <w:rPr>
                <w:lang w:val="en-GB"/>
              </w:rPr>
            </w:pPr>
            <w:r w:rsidRPr="00773C04">
              <w:rPr>
                <w:lang w:val="en-GB"/>
              </w:rPr>
              <w:t>5 – 25</w:t>
            </w:r>
          </w:p>
        </w:tc>
      </w:tr>
      <w:tr w:rsidR="00AA0BAA" w:rsidRPr="00773C04" w14:paraId="29E516BC" w14:textId="77777777" w:rsidTr="002906AD">
        <w:trPr>
          <w:trHeight w:val="211"/>
          <w:jc w:val="center"/>
        </w:trPr>
        <w:tc>
          <w:tcPr>
            <w:tcW w:w="4500" w:type="dxa"/>
            <w:tcBorders>
              <w:top w:val="nil"/>
              <w:bottom w:val="nil"/>
            </w:tcBorders>
          </w:tcPr>
          <w:p w14:paraId="5772190F" w14:textId="77777777" w:rsidR="00AA0BAA" w:rsidRPr="00773C04" w:rsidRDefault="00AA0BAA" w:rsidP="002906AD">
            <w:pPr>
              <w:ind w:left="427"/>
              <w:rPr>
                <w:lang w:val="en-GB"/>
              </w:rPr>
            </w:pPr>
            <w:r w:rsidRPr="00773C04">
              <w:rPr>
                <w:lang w:val="en-GB"/>
              </w:rPr>
              <w:t>Promoting learning process</w:t>
            </w:r>
          </w:p>
        </w:tc>
        <w:tc>
          <w:tcPr>
            <w:tcW w:w="990" w:type="dxa"/>
            <w:tcBorders>
              <w:top w:val="nil"/>
              <w:bottom w:val="nil"/>
            </w:tcBorders>
          </w:tcPr>
          <w:p w14:paraId="4F383B7A" w14:textId="77777777" w:rsidR="00AA0BAA" w:rsidRPr="00773C04" w:rsidRDefault="00AA0BAA" w:rsidP="002906AD">
            <w:pPr>
              <w:rPr>
                <w:lang w:val="en-GB"/>
              </w:rPr>
            </w:pPr>
            <w:r w:rsidRPr="00773C04">
              <w:rPr>
                <w:lang w:val="en-GB"/>
              </w:rPr>
              <w:t>56.5</w:t>
            </w:r>
          </w:p>
        </w:tc>
        <w:tc>
          <w:tcPr>
            <w:tcW w:w="810" w:type="dxa"/>
            <w:tcBorders>
              <w:top w:val="nil"/>
              <w:bottom w:val="nil"/>
            </w:tcBorders>
          </w:tcPr>
          <w:p w14:paraId="3B4E87CB" w14:textId="77777777" w:rsidR="00AA0BAA" w:rsidRPr="00773C04" w:rsidRDefault="00AA0BAA" w:rsidP="002906AD">
            <w:pPr>
              <w:rPr>
                <w:lang w:val="en-GB"/>
              </w:rPr>
            </w:pPr>
            <w:r w:rsidRPr="00773C04">
              <w:rPr>
                <w:lang w:val="en-GB"/>
              </w:rPr>
              <w:t>12.16</w:t>
            </w:r>
          </w:p>
        </w:tc>
        <w:tc>
          <w:tcPr>
            <w:tcW w:w="1080" w:type="dxa"/>
            <w:tcBorders>
              <w:top w:val="nil"/>
              <w:bottom w:val="nil"/>
            </w:tcBorders>
          </w:tcPr>
          <w:p w14:paraId="4EBC53BB" w14:textId="77777777" w:rsidR="00AA0BAA" w:rsidRPr="00773C04" w:rsidRDefault="00AA0BAA" w:rsidP="002906AD">
            <w:pPr>
              <w:rPr>
                <w:lang w:val="en-GB"/>
              </w:rPr>
            </w:pPr>
            <w:r w:rsidRPr="00773C04">
              <w:rPr>
                <w:lang w:val="en-GB"/>
              </w:rPr>
              <w:t>16 – 80</w:t>
            </w:r>
          </w:p>
        </w:tc>
      </w:tr>
      <w:tr w:rsidR="00AA0BAA" w:rsidRPr="00773C04" w14:paraId="75092D40" w14:textId="77777777" w:rsidTr="002906AD">
        <w:trPr>
          <w:trHeight w:val="211"/>
          <w:jc w:val="center"/>
        </w:trPr>
        <w:tc>
          <w:tcPr>
            <w:tcW w:w="4500" w:type="dxa"/>
            <w:tcBorders>
              <w:top w:val="nil"/>
              <w:bottom w:val="nil"/>
            </w:tcBorders>
          </w:tcPr>
          <w:p w14:paraId="54A5F00E" w14:textId="77777777" w:rsidR="00AA0BAA" w:rsidRPr="00773C04" w:rsidRDefault="00AA0BAA" w:rsidP="002906AD">
            <w:pPr>
              <w:ind w:left="427"/>
              <w:rPr>
                <w:lang w:val="en-GB"/>
              </w:rPr>
            </w:pPr>
            <w:r w:rsidRPr="00773C04">
              <w:rPr>
                <w:lang w:val="en-GB"/>
              </w:rPr>
              <w:t>Protecting self-esteem</w:t>
            </w:r>
          </w:p>
        </w:tc>
        <w:tc>
          <w:tcPr>
            <w:tcW w:w="990" w:type="dxa"/>
            <w:tcBorders>
              <w:top w:val="nil"/>
              <w:bottom w:val="nil"/>
            </w:tcBorders>
          </w:tcPr>
          <w:p w14:paraId="7CF7270B" w14:textId="77777777" w:rsidR="00AA0BAA" w:rsidRPr="00773C04" w:rsidRDefault="00AA0BAA" w:rsidP="002906AD">
            <w:pPr>
              <w:rPr>
                <w:lang w:val="en-GB"/>
              </w:rPr>
            </w:pPr>
            <w:r w:rsidRPr="00773C04">
              <w:rPr>
                <w:lang w:val="en-GB"/>
              </w:rPr>
              <w:t>35.8</w:t>
            </w:r>
          </w:p>
        </w:tc>
        <w:tc>
          <w:tcPr>
            <w:tcW w:w="810" w:type="dxa"/>
            <w:tcBorders>
              <w:top w:val="nil"/>
              <w:bottom w:val="nil"/>
            </w:tcBorders>
          </w:tcPr>
          <w:p w14:paraId="30A1C8A8" w14:textId="77777777" w:rsidR="00AA0BAA" w:rsidRPr="00773C04" w:rsidRDefault="00AA0BAA" w:rsidP="002906AD">
            <w:pPr>
              <w:rPr>
                <w:lang w:val="en-GB"/>
              </w:rPr>
            </w:pPr>
            <w:r w:rsidRPr="00773C04">
              <w:rPr>
                <w:lang w:val="en-GB"/>
              </w:rPr>
              <w:t>10.73</w:t>
            </w:r>
          </w:p>
        </w:tc>
        <w:tc>
          <w:tcPr>
            <w:tcW w:w="1080" w:type="dxa"/>
            <w:tcBorders>
              <w:top w:val="nil"/>
              <w:bottom w:val="nil"/>
            </w:tcBorders>
          </w:tcPr>
          <w:p w14:paraId="499BB204" w14:textId="77777777" w:rsidR="00AA0BAA" w:rsidRPr="00773C04" w:rsidRDefault="00AA0BAA" w:rsidP="002906AD">
            <w:pPr>
              <w:rPr>
                <w:lang w:val="en-GB"/>
              </w:rPr>
            </w:pPr>
            <w:r w:rsidRPr="00773C04">
              <w:rPr>
                <w:lang w:val="en-GB"/>
              </w:rPr>
              <w:t>13 – 65</w:t>
            </w:r>
          </w:p>
        </w:tc>
      </w:tr>
      <w:tr w:rsidR="00AA0BAA" w:rsidRPr="00773C04" w14:paraId="0AF18C9B" w14:textId="77777777" w:rsidTr="002906AD">
        <w:trPr>
          <w:trHeight w:val="211"/>
          <w:jc w:val="center"/>
        </w:trPr>
        <w:tc>
          <w:tcPr>
            <w:tcW w:w="4500" w:type="dxa"/>
            <w:tcBorders>
              <w:top w:val="nil"/>
              <w:bottom w:val="nil"/>
            </w:tcBorders>
          </w:tcPr>
          <w:p w14:paraId="7C19DC5E" w14:textId="77777777" w:rsidR="00AA0BAA" w:rsidRPr="00773C04" w:rsidRDefault="00AA0BAA" w:rsidP="002906AD">
            <w:pPr>
              <w:rPr>
                <w:i/>
                <w:lang w:val="en-GB"/>
              </w:rPr>
            </w:pPr>
            <w:r w:rsidRPr="00773C04">
              <w:rPr>
                <w:i/>
                <w:lang w:val="en-GB"/>
              </w:rPr>
              <w:t>Outcome variable</w:t>
            </w:r>
          </w:p>
        </w:tc>
        <w:tc>
          <w:tcPr>
            <w:tcW w:w="990" w:type="dxa"/>
            <w:tcBorders>
              <w:top w:val="nil"/>
              <w:bottom w:val="nil"/>
            </w:tcBorders>
          </w:tcPr>
          <w:p w14:paraId="0728068D" w14:textId="77777777" w:rsidR="00AA0BAA" w:rsidRPr="00773C04" w:rsidRDefault="00AA0BAA" w:rsidP="002906AD">
            <w:pPr>
              <w:tabs>
                <w:tab w:val="decimal" w:pos="181"/>
              </w:tabs>
              <w:rPr>
                <w:lang w:val="en-GB"/>
              </w:rPr>
            </w:pPr>
          </w:p>
        </w:tc>
        <w:tc>
          <w:tcPr>
            <w:tcW w:w="810" w:type="dxa"/>
            <w:tcBorders>
              <w:top w:val="nil"/>
              <w:bottom w:val="nil"/>
            </w:tcBorders>
          </w:tcPr>
          <w:p w14:paraId="25900134" w14:textId="77777777" w:rsidR="00AA0BAA" w:rsidRPr="00773C04" w:rsidRDefault="00AA0BAA" w:rsidP="002906AD">
            <w:pPr>
              <w:rPr>
                <w:lang w:val="en-GB"/>
              </w:rPr>
            </w:pPr>
          </w:p>
        </w:tc>
        <w:tc>
          <w:tcPr>
            <w:tcW w:w="1080" w:type="dxa"/>
            <w:tcBorders>
              <w:top w:val="nil"/>
              <w:bottom w:val="nil"/>
            </w:tcBorders>
          </w:tcPr>
          <w:p w14:paraId="208AE14A" w14:textId="77777777" w:rsidR="00AA0BAA" w:rsidRPr="00773C04" w:rsidRDefault="00AA0BAA" w:rsidP="002906AD">
            <w:pPr>
              <w:rPr>
                <w:lang w:val="en-GB"/>
              </w:rPr>
            </w:pPr>
          </w:p>
        </w:tc>
      </w:tr>
      <w:tr w:rsidR="00AA0BAA" w:rsidRPr="00773C04" w14:paraId="75228A84" w14:textId="77777777" w:rsidTr="002906AD">
        <w:trPr>
          <w:trHeight w:val="211"/>
          <w:jc w:val="center"/>
        </w:trPr>
        <w:tc>
          <w:tcPr>
            <w:tcW w:w="4500" w:type="dxa"/>
            <w:tcBorders>
              <w:top w:val="nil"/>
            </w:tcBorders>
          </w:tcPr>
          <w:p w14:paraId="6FABDD0A" w14:textId="77777777" w:rsidR="00AA0BAA" w:rsidRPr="00773C04" w:rsidRDefault="00AA0BAA" w:rsidP="002906AD">
            <w:pPr>
              <w:ind w:left="427"/>
              <w:rPr>
                <w:rFonts w:eastAsia="Calibri"/>
                <w:lang w:val="en-GB"/>
              </w:rPr>
            </w:pPr>
            <w:r w:rsidRPr="00773C04">
              <w:rPr>
                <w:rFonts w:eastAsia="Calibri"/>
                <w:lang w:val="en-GB"/>
              </w:rPr>
              <w:t>GPA</w:t>
            </w:r>
          </w:p>
        </w:tc>
        <w:tc>
          <w:tcPr>
            <w:tcW w:w="990" w:type="dxa"/>
            <w:tcBorders>
              <w:top w:val="nil"/>
            </w:tcBorders>
          </w:tcPr>
          <w:p w14:paraId="2F4BB475" w14:textId="77777777" w:rsidR="00AA0BAA" w:rsidRPr="00773C04" w:rsidRDefault="00AA0BAA" w:rsidP="002906AD">
            <w:pPr>
              <w:tabs>
                <w:tab w:val="decimal" w:pos="181"/>
              </w:tabs>
              <w:rPr>
                <w:lang w:val="en-GB"/>
              </w:rPr>
            </w:pPr>
            <w:r w:rsidRPr="00773C04">
              <w:rPr>
                <w:lang w:val="en-GB"/>
              </w:rPr>
              <w:t>4.1</w:t>
            </w:r>
          </w:p>
        </w:tc>
        <w:tc>
          <w:tcPr>
            <w:tcW w:w="810" w:type="dxa"/>
            <w:tcBorders>
              <w:top w:val="nil"/>
            </w:tcBorders>
          </w:tcPr>
          <w:p w14:paraId="0656AEAB" w14:textId="77777777" w:rsidR="00AA0BAA" w:rsidRPr="00773C04" w:rsidRDefault="00AA0BAA" w:rsidP="002906AD">
            <w:pPr>
              <w:rPr>
                <w:lang w:val="en-GB"/>
              </w:rPr>
            </w:pPr>
            <w:r w:rsidRPr="00773C04">
              <w:rPr>
                <w:lang w:val="en-GB"/>
              </w:rPr>
              <w:t>0.71</w:t>
            </w:r>
          </w:p>
        </w:tc>
        <w:tc>
          <w:tcPr>
            <w:tcW w:w="1080" w:type="dxa"/>
            <w:tcBorders>
              <w:top w:val="nil"/>
            </w:tcBorders>
          </w:tcPr>
          <w:p w14:paraId="46779882" w14:textId="77777777" w:rsidR="00AA0BAA" w:rsidRPr="00773C04" w:rsidRDefault="00AA0BAA" w:rsidP="002906AD">
            <w:pPr>
              <w:rPr>
                <w:lang w:val="en-GB"/>
              </w:rPr>
            </w:pPr>
            <w:r w:rsidRPr="00773C04">
              <w:rPr>
                <w:lang w:val="en-GB"/>
              </w:rPr>
              <w:t>1 - 5</w:t>
            </w:r>
          </w:p>
        </w:tc>
      </w:tr>
    </w:tbl>
    <w:p w14:paraId="4928DB3F" w14:textId="77777777" w:rsidR="00AA0BAA" w:rsidRPr="00773C04" w:rsidRDefault="00AA0BAA" w:rsidP="00AA0BAA">
      <w:pPr>
        <w:rPr>
          <w:lang w:val="en-GB"/>
        </w:rPr>
      </w:pPr>
    </w:p>
    <w:p w14:paraId="3F6FCBF0" w14:textId="53AC389A" w:rsidR="00AA0BAA" w:rsidRPr="00773C04" w:rsidRDefault="00AA0BAA" w:rsidP="00AA0BAA">
      <w:pPr>
        <w:spacing w:line="360" w:lineRule="auto"/>
        <w:jc w:val="both"/>
        <w:rPr>
          <w:lang w:val="en-GB"/>
        </w:rPr>
      </w:pPr>
      <w:r w:rsidRPr="00773C04">
        <w:rPr>
          <w:lang w:val="en-GB"/>
        </w:rPr>
        <w:t xml:space="preserve">The correlations between regressors and potential mediators vary from negligible to medium in size (all </w:t>
      </w:r>
      <w:r w:rsidRPr="00773C04">
        <w:rPr>
          <w:i/>
          <w:lang w:val="en-GB"/>
        </w:rPr>
        <w:t>r</w:t>
      </w:r>
      <w:r w:rsidRPr="00773C04">
        <w:rPr>
          <w:lang w:val="en-GB"/>
        </w:rPr>
        <w:t xml:space="preserve"> values &lt; |.5|; Table 2), with all corresponding variance inflation factors (VIF) smaller </w:t>
      </w:r>
      <w:r w:rsidRPr="00773C04">
        <w:rPr>
          <w:lang w:val="en-GB"/>
        </w:rPr>
        <w:lastRenderedPageBreak/>
        <w:t>than two, meaning that there are no signs of multicollinearity. All regressors and mediators are in statistically significant bivariate relationships with the outcome</w:t>
      </w:r>
      <w:r w:rsidR="00507634">
        <w:rPr>
          <w:lang w:val="en-GB"/>
        </w:rPr>
        <w:t>.</w:t>
      </w:r>
      <w:r w:rsidRPr="00773C04">
        <w:rPr>
          <w:lang w:val="en-GB"/>
        </w:rPr>
        <w:t xml:space="preserve"> </w:t>
      </w:r>
      <w:r w:rsidR="00507634">
        <w:rPr>
          <w:lang w:val="en-GB"/>
        </w:rPr>
        <w:t xml:space="preserve">The effect sizes of these correlations vary from small to medium, </w:t>
      </w:r>
      <w:r w:rsidRPr="00773C04">
        <w:rPr>
          <w:lang w:val="en-GB"/>
        </w:rPr>
        <w:t xml:space="preserve">with </w:t>
      </w:r>
      <w:r w:rsidR="00ED289C" w:rsidRPr="0018698D">
        <w:rPr>
          <w:lang w:val="en-GB"/>
        </w:rPr>
        <w:t xml:space="preserve">academic </w:t>
      </w:r>
      <w:r w:rsidR="00ED289C">
        <w:rPr>
          <w:lang w:val="en-GB"/>
        </w:rPr>
        <w:t>self-</w:t>
      </w:r>
      <w:r w:rsidR="00ED289C" w:rsidRPr="0018698D">
        <w:rPr>
          <w:lang w:val="en-GB"/>
        </w:rPr>
        <w:t>efficacy</w:t>
      </w:r>
      <w:r w:rsidRPr="00773C04">
        <w:rPr>
          <w:lang w:val="en-GB"/>
        </w:rPr>
        <w:t xml:space="preserve"> and conscientiousness being the strongest correlates of GPA (Table 2).</w:t>
      </w:r>
    </w:p>
    <w:p w14:paraId="3EEF9E0A" w14:textId="7C79D1A2" w:rsidR="00AA0BAA" w:rsidRPr="00773C04" w:rsidRDefault="00AA0BAA" w:rsidP="00AA0BAA">
      <w:pPr>
        <w:spacing w:line="360" w:lineRule="auto"/>
        <w:jc w:val="both"/>
        <w:rPr>
          <w:lang w:val="en-GB"/>
        </w:rPr>
        <w:sectPr w:rsidR="00AA0BAA" w:rsidRPr="00773C04">
          <w:footerReference w:type="default" r:id="rId10"/>
          <w:pgSz w:w="11906" w:h="16838"/>
          <w:pgMar w:top="1417" w:right="1417" w:bottom="1417" w:left="1417" w:header="708" w:footer="708" w:gutter="0"/>
          <w:cols w:space="708"/>
          <w:docGrid w:linePitch="360"/>
        </w:sectPr>
      </w:pPr>
      <w:r w:rsidRPr="00773C04">
        <w:rPr>
          <w:lang w:val="en-GB"/>
        </w:rPr>
        <w:t xml:space="preserve">The results indicated that skewness ranged from − .89 to .24 and kurtosis ranged from − .19 to .79 and were within the normality criteria. </w:t>
      </w:r>
    </w:p>
    <w:p w14:paraId="098EB609" w14:textId="77777777" w:rsidR="00AA0BAA" w:rsidRPr="00773C04" w:rsidRDefault="00AA0BAA" w:rsidP="00AA0BAA">
      <w:pPr>
        <w:jc w:val="center"/>
        <w:rPr>
          <w:lang w:val="en-GB"/>
        </w:rPr>
      </w:pPr>
      <w:r w:rsidRPr="00773C04">
        <w:rPr>
          <w:lang w:val="en-GB"/>
        </w:rPr>
        <w:lastRenderedPageBreak/>
        <w:t xml:space="preserve">Table 2. Correlations between regressors, mediators and outcome (Pearson’s </w:t>
      </w:r>
      <w:r w:rsidRPr="00773C04">
        <w:rPr>
          <w:i/>
          <w:lang w:val="en-GB"/>
        </w:rPr>
        <w:t>r</w:t>
      </w:r>
      <w:r w:rsidRPr="00773C04">
        <w:rPr>
          <w:lang w:val="en-GB"/>
        </w:rPr>
        <w:t>)</w:t>
      </w:r>
    </w:p>
    <w:p w14:paraId="42EA26ED" w14:textId="77777777" w:rsidR="00AA0BAA" w:rsidRPr="00773C04" w:rsidRDefault="00AA0BAA" w:rsidP="00AA0BAA">
      <w:pPr>
        <w:jc w:val="center"/>
        <w:rPr>
          <w:lang w:val="en-GB"/>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517"/>
        <w:gridCol w:w="776"/>
        <w:gridCol w:w="803"/>
        <w:gridCol w:w="756"/>
        <w:gridCol w:w="884"/>
        <w:gridCol w:w="859"/>
        <w:gridCol w:w="816"/>
        <w:gridCol w:w="776"/>
        <w:gridCol w:w="816"/>
        <w:gridCol w:w="816"/>
      </w:tblGrid>
      <w:tr w:rsidR="00AA0BAA" w:rsidRPr="00773C04" w14:paraId="3C7D4AC7" w14:textId="77777777" w:rsidTr="002906AD">
        <w:trPr>
          <w:jc w:val="center"/>
        </w:trPr>
        <w:tc>
          <w:tcPr>
            <w:tcW w:w="0" w:type="auto"/>
          </w:tcPr>
          <w:p w14:paraId="2BE419A8" w14:textId="77777777" w:rsidR="00AA0BAA" w:rsidRPr="00773C04" w:rsidRDefault="00AA0BAA" w:rsidP="002906AD">
            <w:pPr>
              <w:rPr>
                <w:lang w:val="en-GB"/>
              </w:rPr>
            </w:pPr>
          </w:p>
        </w:tc>
        <w:tc>
          <w:tcPr>
            <w:tcW w:w="0" w:type="auto"/>
          </w:tcPr>
          <w:p w14:paraId="68B9076A" w14:textId="77777777" w:rsidR="00AA0BAA" w:rsidRPr="00773C04" w:rsidRDefault="00AA0BAA" w:rsidP="002906AD">
            <w:pPr>
              <w:tabs>
                <w:tab w:val="decimal" w:pos="226"/>
              </w:tabs>
              <w:jc w:val="center"/>
              <w:rPr>
                <w:lang w:val="en-GB"/>
              </w:rPr>
            </w:pPr>
            <w:r w:rsidRPr="00773C04">
              <w:rPr>
                <w:lang w:val="en-GB"/>
              </w:rPr>
              <w:t>(1)</w:t>
            </w:r>
          </w:p>
        </w:tc>
        <w:tc>
          <w:tcPr>
            <w:tcW w:w="0" w:type="auto"/>
          </w:tcPr>
          <w:p w14:paraId="1D5E4EFE" w14:textId="77777777" w:rsidR="00AA0BAA" w:rsidRPr="00773C04" w:rsidRDefault="00AA0BAA" w:rsidP="002906AD">
            <w:pPr>
              <w:jc w:val="center"/>
              <w:rPr>
                <w:lang w:val="en-GB"/>
              </w:rPr>
            </w:pPr>
            <w:r w:rsidRPr="00773C04">
              <w:rPr>
                <w:lang w:val="en-GB"/>
              </w:rPr>
              <w:t>(2)</w:t>
            </w:r>
          </w:p>
        </w:tc>
        <w:tc>
          <w:tcPr>
            <w:tcW w:w="0" w:type="auto"/>
          </w:tcPr>
          <w:p w14:paraId="460925D0" w14:textId="77777777" w:rsidR="00AA0BAA" w:rsidRPr="00773C04" w:rsidRDefault="00AA0BAA" w:rsidP="002906AD">
            <w:pPr>
              <w:jc w:val="center"/>
              <w:rPr>
                <w:lang w:val="en-GB"/>
              </w:rPr>
            </w:pPr>
            <w:r w:rsidRPr="00773C04">
              <w:rPr>
                <w:lang w:val="en-GB"/>
              </w:rPr>
              <w:t>(3)</w:t>
            </w:r>
          </w:p>
        </w:tc>
        <w:tc>
          <w:tcPr>
            <w:tcW w:w="0" w:type="auto"/>
          </w:tcPr>
          <w:p w14:paraId="67FC7799" w14:textId="77777777" w:rsidR="00AA0BAA" w:rsidRPr="00773C04" w:rsidRDefault="00AA0BAA" w:rsidP="002906AD">
            <w:pPr>
              <w:jc w:val="center"/>
              <w:rPr>
                <w:lang w:val="en-GB"/>
              </w:rPr>
            </w:pPr>
            <w:r w:rsidRPr="00773C04">
              <w:rPr>
                <w:lang w:val="en-GB"/>
              </w:rPr>
              <w:t>(4)</w:t>
            </w:r>
          </w:p>
        </w:tc>
        <w:tc>
          <w:tcPr>
            <w:tcW w:w="0" w:type="auto"/>
          </w:tcPr>
          <w:p w14:paraId="5B851D05" w14:textId="77777777" w:rsidR="00AA0BAA" w:rsidRPr="00773C04" w:rsidRDefault="00AA0BAA" w:rsidP="002906AD">
            <w:pPr>
              <w:jc w:val="center"/>
              <w:rPr>
                <w:lang w:val="en-GB"/>
              </w:rPr>
            </w:pPr>
            <w:r w:rsidRPr="00773C04">
              <w:rPr>
                <w:lang w:val="en-GB"/>
              </w:rPr>
              <w:t>(5)</w:t>
            </w:r>
          </w:p>
        </w:tc>
        <w:tc>
          <w:tcPr>
            <w:tcW w:w="0" w:type="auto"/>
          </w:tcPr>
          <w:p w14:paraId="1CB72CFF" w14:textId="77777777" w:rsidR="00AA0BAA" w:rsidRPr="00773C04" w:rsidRDefault="00AA0BAA" w:rsidP="002906AD">
            <w:pPr>
              <w:jc w:val="center"/>
              <w:rPr>
                <w:lang w:val="en-GB"/>
              </w:rPr>
            </w:pPr>
            <w:r w:rsidRPr="00773C04">
              <w:rPr>
                <w:lang w:val="en-GB"/>
              </w:rPr>
              <w:t>(6)</w:t>
            </w:r>
          </w:p>
        </w:tc>
        <w:tc>
          <w:tcPr>
            <w:tcW w:w="0" w:type="auto"/>
          </w:tcPr>
          <w:p w14:paraId="3A4606DB" w14:textId="77777777" w:rsidR="00AA0BAA" w:rsidRPr="00773C04" w:rsidRDefault="00AA0BAA" w:rsidP="002906AD">
            <w:pPr>
              <w:jc w:val="center"/>
              <w:rPr>
                <w:lang w:val="en-GB"/>
              </w:rPr>
            </w:pPr>
            <w:r w:rsidRPr="00773C04">
              <w:rPr>
                <w:lang w:val="en-GB"/>
              </w:rPr>
              <w:t>(7)</w:t>
            </w:r>
          </w:p>
        </w:tc>
        <w:tc>
          <w:tcPr>
            <w:tcW w:w="0" w:type="auto"/>
          </w:tcPr>
          <w:p w14:paraId="2B81DFB1" w14:textId="77777777" w:rsidR="00AA0BAA" w:rsidRPr="00773C04" w:rsidRDefault="00AA0BAA" w:rsidP="002906AD">
            <w:pPr>
              <w:jc w:val="center"/>
              <w:rPr>
                <w:lang w:val="en-GB"/>
              </w:rPr>
            </w:pPr>
            <w:r w:rsidRPr="00773C04">
              <w:rPr>
                <w:lang w:val="en-GB"/>
              </w:rPr>
              <w:t>(8)</w:t>
            </w:r>
          </w:p>
        </w:tc>
        <w:tc>
          <w:tcPr>
            <w:tcW w:w="0" w:type="auto"/>
          </w:tcPr>
          <w:p w14:paraId="306F64DD" w14:textId="77777777" w:rsidR="00AA0BAA" w:rsidRPr="00773C04" w:rsidRDefault="00AA0BAA" w:rsidP="002906AD">
            <w:pPr>
              <w:jc w:val="center"/>
              <w:rPr>
                <w:lang w:val="en-GB"/>
              </w:rPr>
            </w:pPr>
            <w:r w:rsidRPr="00773C04">
              <w:rPr>
                <w:lang w:val="en-GB"/>
              </w:rPr>
              <w:t>(9)</w:t>
            </w:r>
          </w:p>
        </w:tc>
      </w:tr>
      <w:tr w:rsidR="00AA0BAA" w:rsidRPr="00773C04" w14:paraId="26CBDA14" w14:textId="77777777" w:rsidTr="002906AD">
        <w:trPr>
          <w:trHeight w:val="211"/>
          <w:jc w:val="center"/>
        </w:trPr>
        <w:tc>
          <w:tcPr>
            <w:tcW w:w="0" w:type="auto"/>
            <w:tcBorders>
              <w:top w:val="nil"/>
              <w:bottom w:val="nil"/>
            </w:tcBorders>
          </w:tcPr>
          <w:p w14:paraId="2DAA7BA0" w14:textId="77777777" w:rsidR="00AA0BAA" w:rsidRPr="00773C04" w:rsidRDefault="00AA0BAA" w:rsidP="002906AD">
            <w:pPr>
              <w:rPr>
                <w:lang w:val="en-GB"/>
              </w:rPr>
            </w:pPr>
            <w:r w:rsidRPr="00773C04">
              <w:rPr>
                <w:i/>
                <w:lang w:val="en-GB"/>
              </w:rPr>
              <w:t>Regressors</w:t>
            </w:r>
          </w:p>
        </w:tc>
        <w:tc>
          <w:tcPr>
            <w:tcW w:w="0" w:type="auto"/>
            <w:tcBorders>
              <w:top w:val="nil"/>
              <w:bottom w:val="nil"/>
            </w:tcBorders>
          </w:tcPr>
          <w:p w14:paraId="00557FF9" w14:textId="77777777" w:rsidR="00AA0BAA" w:rsidRPr="00773C04" w:rsidRDefault="00AA0BAA" w:rsidP="002906AD">
            <w:pPr>
              <w:jc w:val="both"/>
              <w:rPr>
                <w:lang w:val="en-GB"/>
              </w:rPr>
            </w:pPr>
          </w:p>
        </w:tc>
        <w:tc>
          <w:tcPr>
            <w:tcW w:w="0" w:type="auto"/>
            <w:tcBorders>
              <w:top w:val="nil"/>
              <w:bottom w:val="nil"/>
            </w:tcBorders>
          </w:tcPr>
          <w:p w14:paraId="6B1B1493" w14:textId="77777777" w:rsidR="00AA0BAA" w:rsidRPr="00773C04" w:rsidRDefault="00AA0BAA" w:rsidP="002906AD">
            <w:pPr>
              <w:jc w:val="both"/>
              <w:rPr>
                <w:lang w:val="en-GB"/>
              </w:rPr>
            </w:pPr>
          </w:p>
        </w:tc>
        <w:tc>
          <w:tcPr>
            <w:tcW w:w="0" w:type="auto"/>
            <w:tcBorders>
              <w:top w:val="nil"/>
              <w:bottom w:val="nil"/>
            </w:tcBorders>
          </w:tcPr>
          <w:p w14:paraId="08F13030" w14:textId="77777777" w:rsidR="00AA0BAA" w:rsidRPr="00773C04" w:rsidRDefault="00AA0BAA" w:rsidP="002906AD">
            <w:pPr>
              <w:jc w:val="both"/>
              <w:rPr>
                <w:lang w:val="en-GB"/>
              </w:rPr>
            </w:pPr>
          </w:p>
        </w:tc>
        <w:tc>
          <w:tcPr>
            <w:tcW w:w="0" w:type="auto"/>
            <w:tcBorders>
              <w:top w:val="nil"/>
              <w:bottom w:val="nil"/>
            </w:tcBorders>
          </w:tcPr>
          <w:p w14:paraId="27D248C7" w14:textId="77777777" w:rsidR="00AA0BAA" w:rsidRPr="00773C04" w:rsidRDefault="00AA0BAA" w:rsidP="002906AD">
            <w:pPr>
              <w:jc w:val="both"/>
              <w:rPr>
                <w:lang w:val="en-GB"/>
              </w:rPr>
            </w:pPr>
          </w:p>
        </w:tc>
        <w:tc>
          <w:tcPr>
            <w:tcW w:w="0" w:type="auto"/>
            <w:tcBorders>
              <w:top w:val="nil"/>
              <w:bottom w:val="nil"/>
            </w:tcBorders>
          </w:tcPr>
          <w:p w14:paraId="493EBBA1" w14:textId="77777777" w:rsidR="00AA0BAA" w:rsidRPr="00773C04" w:rsidRDefault="00AA0BAA" w:rsidP="002906AD">
            <w:pPr>
              <w:jc w:val="both"/>
              <w:rPr>
                <w:lang w:val="en-GB"/>
              </w:rPr>
            </w:pPr>
          </w:p>
        </w:tc>
        <w:tc>
          <w:tcPr>
            <w:tcW w:w="0" w:type="auto"/>
            <w:tcBorders>
              <w:top w:val="nil"/>
              <w:bottom w:val="nil"/>
            </w:tcBorders>
          </w:tcPr>
          <w:p w14:paraId="06B0F851" w14:textId="77777777" w:rsidR="00AA0BAA" w:rsidRPr="00773C04" w:rsidRDefault="00AA0BAA" w:rsidP="002906AD">
            <w:pPr>
              <w:jc w:val="both"/>
              <w:rPr>
                <w:lang w:val="en-GB"/>
              </w:rPr>
            </w:pPr>
          </w:p>
        </w:tc>
        <w:tc>
          <w:tcPr>
            <w:tcW w:w="0" w:type="auto"/>
            <w:tcBorders>
              <w:top w:val="nil"/>
              <w:bottom w:val="nil"/>
            </w:tcBorders>
          </w:tcPr>
          <w:p w14:paraId="4E32F352" w14:textId="77777777" w:rsidR="00AA0BAA" w:rsidRPr="00773C04" w:rsidRDefault="00AA0BAA" w:rsidP="002906AD">
            <w:pPr>
              <w:jc w:val="both"/>
              <w:rPr>
                <w:lang w:val="en-GB"/>
              </w:rPr>
            </w:pPr>
          </w:p>
        </w:tc>
        <w:tc>
          <w:tcPr>
            <w:tcW w:w="0" w:type="auto"/>
            <w:tcBorders>
              <w:top w:val="nil"/>
              <w:bottom w:val="nil"/>
            </w:tcBorders>
          </w:tcPr>
          <w:p w14:paraId="13AD7DF6" w14:textId="77777777" w:rsidR="00AA0BAA" w:rsidRPr="00773C04" w:rsidRDefault="00AA0BAA" w:rsidP="002906AD">
            <w:pPr>
              <w:jc w:val="both"/>
              <w:rPr>
                <w:lang w:val="en-GB"/>
              </w:rPr>
            </w:pPr>
          </w:p>
        </w:tc>
        <w:tc>
          <w:tcPr>
            <w:tcW w:w="0" w:type="auto"/>
            <w:tcBorders>
              <w:top w:val="nil"/>
              <w:bottom w:val="nil"/>
            </w:tcBorders>
          </w:tcPr>
          <w:p w14:paraId="01C612CC" w14:textId="77777777" w:rsidR="00AA0BAA" w:rsidRPr="00773C04" w:rsidRDefault="00AA0BAA" w:rsidP="002906AD">
            <w:pPr>
              <w:jc w:val="both"/>
              <w:rPr>
                <w:lang w:val="en-GB"/>
              </w:rPr>
            </w:pPr>
          </w:p>
        </w:tc>
      </w:tr>
      <w:tr w:rsidR="00AA0BAA" w:rsidRPr="00773C04" w14:paraId="2AD8470C" w14:textId="77777777" w:rsidTr="002906AD">
        <w:trPr>
          <w:trHeight w:val="211"/>
          <w:jc w:val="center"/>
        </w:trPr>
        <w:tc>
          <w:tcPr>
            <w:tcW w:w="0" w:type="auto"/>
            <w:tcBorders>
              <w:top w:val="nil"/>
              <w:bottom w:val="nil"/>
            </w:tcBorders>
          </w:tcPr>
          <w:p w14:paraId="7579ED0F" w14:textId="77777777" w:rsidR="00AA0BAA" w:rsidRPr="00773C04" w:rsidRDefault="00AA0BAA" w:rsidP="002906AD">
            <w:pPr>
              <w:ind w:firstLine="321"/>
              <w:rPr>
                <w:lang w:val="en-GB"/>
              </w:rPr>
            </w:pPr>
            <w:r w:rsidRPr="00773C04">
              <w:rPr>
                <w:lang w:val="en-GB"/>
              </w:rPr>
              <w:t>(1) Extraversion</w:t>
            </w:r>
          </w:p>
        </w:tc>
        <w:tc>
          <w:tcPr>
            <w:tcW w:w="0" w:type="auto"/>
            <w:tcBorders>
              <w:top w:val="nil"/>
              <w:bottom w:val="nil"/>
            </w:tcBorders>
          </w:tcPr>
          <w:p w14:paraId="61884757" w14:textId="77777777" w:rsidR="00AA0BAA" w:rsidRPr="00773C04" w:rsidRDefault="00AA0BAA" w:rsidP="002906AD">
            <w:pPr>
              <w:jc w:val="both"/>
              <w:rPr>
                <w:lang w:val="en-GB"/>
              </w:rPr>
            </w:pPr>
          </w:p>
        </w:tc>
        <w:tc>
          <w:tcPr>
            <w:tcW w:w="0" w:type="auto"/>
            <w:tcBorders>
              <w:top w:val="nil"/>
              <w:bottom w:val="nil"/>
            </w:tcBorders>
          </w:tcPr>
          <w:p w14:paraId="4425CE37" w14:textId="77777777" w:rsidR="00AA0BAA" w:rsidRPr="00773C04" w:rsidRDefault="00AA0BAA" w:rsidP="002906AD">
            <w:pPr>
              <w:jc w:val="both"/>
              <w:rPr>
                <w:lang w:val="en-GB"/>
              </w:rPr>
            </w:pPr>
          </w:p>
        </w:tc>
        <w:tc>
          <w:tcPr>
            <w:tcW w:w="0" w:type="auto"/>
            <w:tcBorders>
              <w:top w:val="nil"/>
              <w:bottom w:val="nil"/>
            </w:tcBorders>
          </w:tcPr>
          <w:p w14:paraId="7964E640" w14:textId="77777777" w:rsidR="00AA0BAA" w:rsidRPr="00773C04" w:rsidRDefault="00AA0BAA" w:rsidP="002906AD">
            <w:pPr>
              <w:jc w:val="both"/>
              <w:rPr>
                <w:lang w:val="en-GB"/>
              </w:rPr>
            </w:pPr>
          </w:p>
        </w:tc>
        <w:tc>
          <w:tcPr>
            <w:tcW w:w="0" w:type="auto"/>
            <w:tcBorders>
              <w:top w:val="nil"/>
              <w:bottom w:val="nil"/>
            </w:tcBorders>
          </w:tcPr>
          <w:p w14:paraId="2EE21006" w14:textId="77777777" w:rsidR="00AA0BAA" w:rsidRPr="00773C04" w:rsidRDefault="00AA0BAA" w:rsidP="002906AD">
            <w:pPr>
              <w:jc w:val="both"/>
              <w:rPr>
                <w:lang w:val="en-GB"/>
              </w:rPr>
            </w:pPr>
          </w:p>
        </w:tc>
        <w:tc>
          <w:tcPr>
            <w:tcW w:w="0" w:type="auto"/>
            <w:tcBorders>
              <w:top w:val="nil"/>
              <w:bottom w:val="nil"/>
            </w:tcBorders>
          </w:tcPr>
          <w:p w14:paraId="318D89E0" w14:textId="77777777" w:rsidR="00AA0BAA" w:rsidRPr="00773C04" w:rsidRDefault="00AA0BAA" w:rsidP="002906AD">
            <w:pPr>
              <w:jc w:val="both"/>
              <w:rPr>
                <w:lang w:val="en-GB"/>
              </w:rPr>
            </w:pPr>
          </w:p>
        </w:tc>
        <w:tc>
          <w:tcPr>
            <w:tcW w:w="0" w:type="auto"/>
            <w:tcBorders>
              <w:top w:val="nil"/>
              <w:bottom w:val="nil"/>
            </w:tcBorders>
          </w:tcPr>
          <w:p w14:paraId="1DEF2C18" w14:textId="77777777" w:rsidR="00AA0BAA" w:rsidRPr="00773C04" w:rsidRDefault="00AA0BAA" w:rsidP="002906AD">
            <w:pPr>
              <w:jc w:val="both"/>
              <w:rPr>
                <w:lang w:val="en-GB"/>
              </w:rPr>
            </w:pPr>
          </w:p>
        </w:tc>
        <w:tc>
          <w:tcPr>
            <w:tcW w:w="0" w:type="auto"/>
            <w:tcBorders>
              <w:top w:val="nil"/>
              <w:bottom w:val="nil"/>
            </w:tcBorders>
          </w:tcPr>
          <w:p w14:paraId="7B7B66C3" w14:textId="77777777" w:rsidR="00AA0BAA" w:rsidRPr="00773C04" w:rsidRDefault="00AA0BAA" w:rsidP="002906AD">
            <w:pPr>
              <w:jc w:val="both"/>
              <w:rPr>
                <w:lang w:val="en-GB"/>
              </w:rPr>
            </w:pPr>
          </w:p>
        </w:tc>
        <w:tc>
          <w:tcPr>
            <w:tcW w:w="0" w:type="auto"/>
            <w:tcBorders>
              <w:top w:val="nil"/>
              <w:bottom w:val="nil"/>
            </w:tcBorders>
          </w:tcPr>
          <w:p w14:paraId="48224312" w14:textId="77777777" w:rsidR="00AA0BAA" w:rsidRPr="00773C04" w:rsidRDefault="00AA0BAA" w:rsidP="002906AD">
            <w:pPr>
              <w:jc w:val="both"/>
              <w:rPr>
                <w:lang w:val="en-GB"/>
              </w:rPr>
            </w:pPr>
          </w:p>
        </w:tc>
        <w:tc>
          <w:tcPr>
            <w:tcW w:w="0" w:type="auto"/>
            <w:tcBorders>
              <w:top w:val="nil"/>
              <w:bottom w:val="nil"/>
            </w:tcBorders>
          </w:tcPr>
          <w:p w14:paraId="6573E9AC" w14:textId="77777777" w:rsidR="00AA0BAA" w:rsidRPr="00773C04" w:rsidRDefault="00AA0BAA" w:rsidP="002906AD">
            <w:pPr>
              <w:jc w:val="both"/>
              <w:rPr>
                <w:lang w:val="en-GB"/>
              </w:rPr>
            </w:pPr>
          </w:p>
        </w:tc>
      </w:tr>
      <w:tr w:rsidR="00AA0BAA" w:rsidRPr="00773C04" w14:paraId="4D545FF4" w14:textId="77777777" w:rsidTr="002906AD">
        <w:trPr>
          <w:trHeight w:val="211"/>
          <w:jc w:val="center"/>
        </w:trPr>
        <w:tc>
          <w:tcPr>
            <w:tcW w:w="0" w:type="auto"/>
            <w:tcBorders>
              <w:top w:val="nil"/>
              <w:bottom w:val="nil"/>
            </w:tcBorders>
          </w:tcPr>
          <w:p w14:paraId="462A6FDA" w14:textId="77777777" w:rsidR="00AA0BAA" w:rsidRPr="00773C04" w:rsidRDefault="00AA0BAA" w:rsidP="002906AD">
            <w:pPr>
              <w:ind w:firstLine="321"/>
              <w:rPr>
                <w:lang w:val="en-GB"/>
              </w:rPr>
            </w:pPr>
            <w:r w:rsidRPr="00773C04">
              <w:rPr>
                <w:lang w:val="en-GB"/>
              </w:rPr>
              <w:t>(2) Agreeableness</w:t>
            </w:r>
          </w:p>
        </w:tc>
        <w:tc>
          <w:tcPr>
            <w:tcW w:w="0" w:type="auto"/>
            <w:tcBorders>
              <w:top w:val="nil"/>
              <w:bottom w:val="nil"/>
            </w:tcBorders>
          </w:tcPr>
          <w:p w14:paraId="6511C586" w14:textId="77777777" w:rsidR="00AA0BAA" w:rsidRPr="00773C04" w:rsidRDefault="00AA0BAA" w:rsidP="002906AD">
            <w:pPr>
              <w:tabs>
                <w:tab w:val="decimal" w:pos="400"/>
              </w:tabs>
              <w:jc w:val="both"/>
              <w:rPr>
                <w:color w:val="000000"/>
                <w:lang w:val="en-GB"/>
              </w:rPr>
            </w:pPr>
            <w:r w:rsidRPr="00773C04">
              <w:rPr>
                <w:color w:val="000000"/>
                <w:lang w:val="en-GB"/>
              </w:rPr>
              <w:t>.15</w:t>
            </w:r>
            <w:r w:rsidRPr="00773C04">
              <w:rPr>
                <w:color w:val="000000"/>
                <w:vertAlign w:val="superscript"/>
                <w:lang w:val="en-GB"/>
              </w:rPr>
              <w:t>**</w:t>
            </w:r>
          </w:p>
        </w:tc>
        <w:tc>
          <w:tcPr>
            <w:tcW w:w="0" w:type="auto"/>
            <w:tcBorders>
              <w:top w:val="nil"/>
              <w:bottom w:val="nil"/>
            </w:tcBorders>
          </w:tcPr>
          <w:p w14:paraId="75D3A2E2" w14:textId="77777777" w:rsidR="00AA0BAA" w:rsidRPr="00773C04" w:rsidRDefault="00AA0BAA" w:rsidP="002906AD">
            <w:pPr>
              <w:jc w:val="both"/>
              <w:rPr>
                <w:color w:val="000000"/>
                <w:lang w:val="en-GB"/>
              </w:rPr>
            </w:pPr>
          </w:p>
        </w:tc>
        <w:tc>
          <w:tcPr>
            <w:tcW w:w="0" w:type="auto"/>
            <w:tcBorders>
              <w:top w:val="nil"/>
              <w:bottom w:val="nil"/>
            </w:tcBorders>
          </w:tcPr>
          <w:p w14:paraId="531CA5F2" w14:textId="77777777" w:rsidR="00AA0BAA" w:rsidRPr="00773C04" w:rsidRDefault="00AA0BAA" w:rsidP="002906AD">
            <w:pPr>
              <w:jc w:val="both"/>
              <w:rPr>
                <w:color w:val="000000"/>
                <w:lang w:val="en-GB"/>
              </w:rPr>
            </w:pPr>
          </w:p>
        </w:tc>
        <w:tc>
          <w:tcPr>
            <w:tcW w:w="0" w:type="auto"/>
            <w:tcBorders>
              <w:top w:val="nil"/>
              <w:bottom w:val="nil"/>
            </w:tcBorders>
          </w:tcPr>
          <w:p w14:paraId="0D1719D9" w14:textId="77777777" w:rsidR="00AA0BAA" w:rsidRPr="00773C04" w:rsidRDefault="00AA0BAA" w:rsidP="002906AD">
            <w:pPr>
              <w:jc w:val="both"/>
              <w:rPr>
                <w:color w:val="000000"/>
                <w:lang w:val="en-GB"/>
              </w:rPr>
            </w:pPr>
          </w:p>
        </w:tc>
        <w:tc>
          <w:tcPr>
            <w:tcW w:w="0" w:type="auto"/>
            <w:tcBorders>
              <w:top w:val="nil"/>
              <w:bottom w:val="nil"/>
            </w:tcBorders>
          </w:tcPr>
          <w:p w14:paraId="4A4740A5" w14:textId="77777777" w:rsidR="00AA0BAA" w:rsidRPr="00773C04" w:rsidRDefault="00AA0BAA" w:rsidP="002906AD">
            <w:pPr>
              <w:jc w:val="both"/>
              <w:rPr>
                <w:color w:val="000000"/>
                <w:lang w:val="en-GB"/>
              </w:rPr>
            </w:pPr>
          </w:p>
        </w:tc>
        <w:tc>
          <w:tcPr>
            <w:tcW w:w="0" w:type="auto"/>
            <w:tcBorders>
              <w:top w:val="nil"/>
              <w:bottom w:val="nil"/>
            </w:tcBorders>
          </w:tcPr>
          <w:p w14:paraId="2A87D73B" w14:textId="77777777" w:rsidR="00AA0BAA" w:rsidRPr="00773C04" w:rsidRDefault="00AA0BAA" w:rsidP="002906AD">
            <w:pPr>
              <w:jc w:val="both"/>
              <w:rPr>
                <w:color w:val="000000"/>
                <w:lang w:val="en-GB"/>
              </w:rPr>
            </w:pPr>
          </w:p>
        </w:tc>
        <w:tc>
          <w:tcPr>
            <w:tcW w:w="0" w:type="auto"/>
            <w:tcBorders>
              <w:top w:val="nil"/>
              <w:bottom w:val="nil"/>
            </w:tcBorders>
          </w:tcPr>
          <w:p w14:paraId="3858AB61" w14:textId="77777777" w:rsidR="00AA0BAA" w:rsidRPr="00773C04" w:rsidRDefault="00AA0BAA" w:rsidP="002906AD">
            <w:pPr>
              <w:jc w:val="both"/>
              <w:rPr>
                <w:color w:val="000000"/>
                <w:lang w:val="en-GB"/>
              </w:rPr>
            </w:pPr>
          </w:p>
        </w:tc>
        <w:tc>
          <w:tcPr>
            <w:tcW w:w="0" w:type="auto"/>
            <w:tcBorders>
              <w:top w:val="nil"/>
              <w:bottom w:val="nil"/>
            </w:tcBorders>
          </w:tcPr>
          <w:p w14:paraId="3CB383E0" w14:textId="77777777" w:rsidR="00AA0BAA" w:rsidRPr="00773C04" w:rsidRDefault="00AA0BAA" w:rsidP="002906AD">
            <w:pPr>
              <w:jc w:val="both"/>
              <w:rPr>
                <w:color w:val="000000"/>
                <w:lang w:val="en-GB"/>
              </w:rPr>
            </w:pPr>
          </w:p>
        </w:tc>
        <w:tc>
          <w:tcPr>
            <w:tcW w:w="0" w:type="auto"/>
            <w:tcBorders>
              <w:top w:val="nil"/>
              <w:bottom w:val="nil"/>
            </w:tcBorders>
          </w:tcPr>
          <w:p w14:paraId="4DD707D5" w14:textId="77777777" w:rsidR="00AA0BAA" w:rsidRPr="00773C04" w:rsidRDefault="00AA0BAA" w:rsidP="002906AD">
            <w:pPr>
              <w:jc w:val="both"/>
              <w:rPr>
                <w:color w:val="000000"/>
                <w:lang w:val="en-GB"/>
              </w:rPr>
            </w:pPr>
          </w:p>
        </w:tc>
      </w:tr>
      <w:tr w:rsidR="00AA0BAA" w:rsidRPr="00773C04" w14:paraId="382BB544" w14:textId="77777777" w:rsidTr="002906AD">
        <w:trPr>
          <w:trHeight w:val="211"/>
          <w:jc w:val="center"/>
        </w:trPr>
        <w:tc>
          <w:tcPr>
            <w:tcW w:w="0" w:type="auto"/>
            <w:tcBorders>
              <w:top w:val="nil"/>
              <w:bottom w:val="nil"/>
            </w:tcBorders>
          </w:tcPr>
          <w:p w14:paraId="38F1EADC" w14:textId="77777777" w:rsidR="00AA0BAA" w:rsidRPr="00773C04" w:rsidRDefault="00AA0BAA" w:rsidP="002906AD">
            <w:pPr>
              <w:ind w:firstLine="321"/>
              <w:rPr>
                <w:lang w:val="en-GB"/>
              </w:rPr>
            </w:pPr>
            <w:r w:rsidRPr="00773C04">
              <w:rPr>
                <w:lang w:val="en-GB"/>
              </w:rPr>
              <w:t>(3) Conscientiousness</w:t>
            </w:r>
          </w:p>
        </w:tc>
        <w:tc>
          <w:tcPr>
            <w:tcW w:w="0" w:type="auto"/>
            <w:tcBorders>
              <w:top w:val="nil"/>
              <w:bottom w:val="nil"/>
            </w:tcBorders>
          </w:tcPr>
          <w:p w14:paraId="33CBBDE2" w14:textId="77777777" w:rsidR="00AA0BAA" w:rsidRPr="00773C04" w:rsidRDefault="00AA0BAA" w:rsidP="002906AD">
            <w:pPr>
              <w:tabs>
                <w:tab w:val="decimal" w:pos="400"/>
              </w:tabs>
              <w:jc w:val="both"/>
              <w:rPr>
                <w:color w:val="000000"/>
                <w:lang w:val="en-GB"/>
              </w:rPr>
            </w:pPr>
            <w:r w:rsidRPr="00773C04">
              <w:rPr>
                <w:color w:val="000000"/>
                <w:lang w:val="en-GB"/>
              </w:rPr>
              <w:t>.29</w:t>
            </w:r>
            <w:r w:rsidRPr="00773C04">
              <w:rPr>
                <w:color w:val="000000"/>
                <w:vertAlign w:val="superscript"/>
                <w:lang w:val="en-GB"/>
              </w:rPr>
              <w:t>**</w:t>
            </w:r>
          </w:p>
        </w:tc>
        <w:tc>
          <w:tcPr>
            <w:tcW w:w="0" w:type="auto"/>
            <w:tcBorders>
              <w:top w:val="nil"/>
              <w:bottom w:val="nil"/>
            </w:tcBorders>
          </w:tcPr>
          <w:p w14:paraId="2A405747" w14:textId="77777777" w:rsidR="00AA0BAA" w:rsidRPr="00773C04" w:rsidRDefault="00AA0BAA" w:rsidP="002906AD">
            <w:pPr>
              <w:tabs>
                <w:tab w:val="decimal" w:pos="426"/>
              </w:tabs>
              <w:jc w:val="both"/>
              <w:rPr>
                <w:color w:val="000000"/>
                <w:lang w:val="en-GB"/>
              </w:rPr>
            </w:pPr>
            <w:r w:rsidRPr="00773C04">
              <w:rPr>
                <w:color w:val="000000"/>
                <w:lang w:val="en-GB"/>
              </w:rPr>
              <w:t>.35</w:t>
            </w:r>
            <w:r w:rsidRPr="00773C04">
              <w:rPr>
                <w:color w:val="000000"/>
                <w:vertAlign w:val="superscript"/>
                <w:lang w:val="en-GB"/>
              </w:rPr>
              <w:t>**</w:t>
            </w:r>
          </w:p>
        </w:tc>
        <w:tc>
          <w:tcPr>
            <w:tcW w:w="0" w:type="auto"/>
            <w:tcBorders>
              <w:top w:val="nil"/>
              <w:bottom w:val="nil"/>
            </w:tcBorders>
          </w:tcPr>
          <w:p w14:paraId="0160FFE9" w14:textId="77777777" w:rsidR="00AA0BAA" w:rsidRPr="00773C04" w:rsidRDefault="00AA0BAA" w:rsidP="002906AD">
            <w:pPr>
              <w:jc w:val="both"/>
              <w:rPr>
                <w:color w:val="000000"/>
                <w:lang w:val="en-GB"/>
              </w:rPr>
            </w:pPr>
          </w:p>
        </w:tc>
        <w:tc>
          <w:tcPr>
            <w:tcW w:w="0" w:type="auto"/>
            <w:tcBorders>
              <w:top w:val="nil"/>
              <w:bottom w:val="nil"/>
            </w:tcBorders>
          </w:tcPr>
          <w:p w14:paraId="01463B35" w14:textId="77777777" w:rsidR="00AA0BAA" w:rsidRPr="00773C04" w:rsidRDefault="00AA0BAA" w:rsidP="002906AD">
            <w:pPr>
              <w:jc w:val="both"/>
              <w:rPr>
                <w:color w:val="000000"/>
                <w:lang w:val="en-GB"/>
              </w:rPr>
            </w:pPr>
          </w:p>
        </w:tc>
        <w:tc>
          <w:tcPr>
            <w:tcW w:w="0" w:type="auto"/>
            <w:tcBorders>
              <w:top w:val="nil"/>
              <w:bottom w:val="nil"/>
            </w:tcBorders>
          </w:tcPr>
          <w:p w14:paraId="7E59FE26" w14:textId="77777777" w:rsidR="00AA0BAA" w:rsidRPr="00773C04" w:rsidRDefault="00AA0BAA" w:rsidP="002906AD">
            <w:pPr>
              <w:jc w:val="both"/>
              <w:rPr>
                <w:color w:val="000000"/>
                <w:lang w:val="en-GB"/>
              </w:rPr>
            </w:pPr>
          </w:p>
        </w:tc>
        <w:tc>
          <w:tcPr>
            <w:tcW w:w="0" w:type="auto"/>
            <w:tcBorders>
              <w:top w:val="nil"/>
              <w:bottom w:val="nil"/>
            </w:tcBorders>
          </w:tcPr>
          <w:p w14:paraId="5D77EF59" w14:textId="77777777" w:rsidR="00AA0BAA" w:rsidRPr="00773C04" w:rsidRDefault="00AA0BAA" w:rsidP="002906AD">
            <w:pPr>
              <w:jc w:val="both"/>
              <w:rPr>
                <w:color w:val="000000"/>
                <w:lang w:val="en-GB"/>
              </w:rPr>
            </w:pPr>
          </w:p>
        </w:tc>
        <w:tc>
          <w:tcPr>
            <w:tcW w:w="0" w:type="auto"/>
            <w:tcBorders>
              <w:top w:val="nil"/>
              <w:bottom w:val="nil"/>
            </w:tcBorders>
          </w:tcPr>
          <w:p w14:paraId="5D261E72" w14:textId="77777777" w:rsidR="00AA0BAA" w:rsidRPr="00773C04" w:rsidRDefault="00AA0BAA" w:rsidP="002906AD">
            <w:pPr>
              <w:jc w:val="both"/>
              <w:rPr>
                <w:color w:val="000000"/>
                <w:lang w:val="en-GB"/>
              </w:rPr>
            </w:pPr>
          </w:p>
        </w:tc>
        <w:tc>
          <w:tcPr>
            <w:tcW w:w="0" w:type="auto"/>
            <w:tcBorders>
              <w:top w:val="nil"/>
              <w:bottom w:val="nil"/>
            </w:tcBorders>
          </w:tcPr>
          <w:p w14:paraId="1A6AD196" w14:textId="77777777" w:rsidR="00AA0BAA" w:rsidRPr="00773C04" w:rsidRDefault="00AA0BAA" w:rsidP="002906AD">
            <w:pPr>
              <w:jc w:val="both"/>
              <w:rPr>
                <w:color w:val="000000"/>
                <w:lang w:val="en-GB"/>
              </w:rPr>
            </w:pPr>
          </w:p>
        </w:tc>
        <w:tc>
          <w:tcPr>
            <w:tcW w:w="0" w:type="auto"/>
            <w:tcBorders>
              <w:top w:val="nil"/>
              <w:bottom w:val="nil"/>
            </w:tcBorders>
          </w:tcPr>
          <w:p w14:paraId="0EF716A0" w14:textId="77777777" w:rsidR="00AA0BAA" w:rsidRPr="00773C04" w:rsidRDefault="00AA0BAA" w:rsidP="002906AD">
            <w:pPr>
              <w:jc w:val="both"/>
              <w:rPr>
                <w:color w:val="000000"/>
                <w:lang w:val="en-GB"/>
              </w:rPr>
            </w:pPr>
          </w:p>
        </w:tc>
      </w:tr>
      <w:tr w:rsidR="00AA0BAA" w:rsidRPr="00773C04" w14:paraId="4A417422" w14:textId="77777777" w:rsidTr="002906AD">
        <w:trPr>
          <w:trHeight w:val="211"/>
          <w:jc w:val="center"/>
        </w:trPr>
        <w:tc>
          <w:tcPr>
            <w:tcW w:w="0" w:type="auto"/>
            <w:tcBorders>
              <w:top w:val="nil"/>
              <w:bottom w:val="nil"/>
            </w:tcBorders>
          </w:tcPr>
          <w:p w14:paraId="7FD5D3EE" w14:textId="77777777" w:rsidR="00AA0BAA" w:rsidRPr="00773C04" w:rsidRDefault="00AA0BAA" w:rsidP="002906AD">
            <w:pPr>
              <w:ind w:firstLine="321"/>
              <w:rPr>
                <w:lang w:val="en-GB"/>
              </w:rPr>
            </w:pPr>
            <w:r w:rsidRPr="00773C04">
              <w:rPr>
                <w:lang w:val="en-GB"/>
              </w:rPr>
              <w:t>(4) Neuroticism</w:t>
            </w:r>
          </w:p>
        </w:tc>
        <w:tc>
          <w:tcPr>
            <w:tcW w:w="0" w:type="auto"/>
            <w:tcBorders>
              <w:top w:val="nil"/>
              <w:bottom w:val="nil"/>
            </w:tcBorders>
          </w:tcPr>
          <w:p w14:paraId="493056AF" w14:textId="77777777" w:rsidR="00AA0BAA" w:rsidRPr="00773C04" w:rsidRDefault="00AA0BAA" w:rsidP="002906AD">
            <w:pPr>
              <w:tabs>
                <w:tab w:val="decimal" w:pos="400"/>
              </w:tabs>
              <w:jc w:val="both"/>
              <w:rPr>
                <w:color w:val="000000"/>
                <w:lang w:val="en-GB"/>
              </w:rPr>
            </w:pPr>
            <w:r w:rsidRPr="00773C04">
              <w:rPr>
                <w:color w:val="000000"/>
                <w:lang w:val="en-GB"/>
              </w:rPr>
              <w:t>-.36</w:t>
            </w:r>
            <w:r w:rsidRPr="00773C04">
              <w:rPr>
                <w:color w:val="000000"/>
                <w:vertAlign w:val="superscript"/>
                <w:lang w:val="en-GB"/>
              </w:rPr>
              <w:t>**</w:t>
            </w:r>
          </w:p>
        </w:tc>
        <w:tc>
          <w:tcPr>
            <w:tcW w:w="0" w:type="auto"/>
            <w:tcBorders>
              <w:top w:val="nil"/>
              <w:bottom w:val="nil"/>
            </w:tcBorders>
          </w:tcPr>
          <w:p w14:paraId="5E7A4FEA" w14:textId="77777777" w:rsidR="00AA0BAA" w:rsidRPr="00773C04" w:rsidRDefault="00AA0BAA" w:rsidP="002906AD">
            <w:pPr>
              <w:tabs>
                <w:tab w:val="decimal" w:pos="426"/>
              </w:tabs>
              <w:jc w:val="both"/>
              <w:rPr>
                <w:color w:val="000000"/>
                <w:lang w:val="en-GB"/>
              </w:rPr>
            </w:pPr>
            <w:r w:rsidRPr="00773C04">
              <w:rPr>
                <w:color w:val="000000"/>
                <w:lang w:val="en-GB"/>
              </w:rPr>
              <w:t>-.32</w:t>
            </w:r>
            <w:r w:rsidRPr="00773C04">
              <w:rPr>
                <w:color w:val="000000"/>
                <w:vertAlign w:val="superscript"/>
                <w:lang w:val="en-GB"/>
              </w:rPr>
              <w:t>**</w:t>
            </w:r>
          </w:p>
        </w:tc>
        <w:tc>
          <w:tcPr>
            <w:tcW w:w="0" w:type="auto"/>
            <w:tcBorders>
              <w:top w:val="nil"/>
              <w:bottom w:val="nil"/>
            </w:tcBorders>
          </w:tcPr>
          <w:p w14:paraId="1558A3C5" w14:textId="77777777" w:rsidR="00AA0BAA" w:rsidRPr="00773C04" w:rsidRDefault="00AA0BAA" w:rsidP="002906AD">
            <w:pPr>
              <w:tabs>
                <w:tab w:val="decimal" w:pos="360"/>
              </w:tabs>
              <w:jc w:val="both"/>
              <w:rPr>
                <w:color w:val="000000"/>
                <w:lang w:val="en-GB"/>
              </w:rPr>
            </w:pPr>
            <w:r w:rsidRPr="00773C04">
              <w:rPr>
                <w:color w:val="000000"/>
                <w:lang w:val="en-GB"/>
              </w:rPr>
              <w:t>-.38</w:t>
            </w:r>
            <w:r w:rsidRPr="00773C04">
              <w:rPr>
                <w:color w:val="000000"/>
                <w:vertAlign w:val="superscript"/>
                <w:lang w:val="en-GB"/>
              </w:rPr>
              <w:t>**</w:t>
            </w:r>
          </w:p>
        </w:tc>
        <w:tc>
          <w:tcPr>
            <w:tcW w:w="0" w:type="auto"/>
            <w:tcBorders>
              <w:top w:val="nil"/>
              <w:bottom w:val="nil"/>
            </w:tcBorders>
          </w:tcPr>
          <w:p w14:paraId="048F754B" w14:textId="77777777" w:rsidR="00AA0BAA" w:rsidRPr="00773C04" w:rsidRDefault="00AA0BAA" w:rsidP="002906AD">
            <w:pPr>
              <w:jc w:val="both"/>
              <w:rPr>
                <w:color w:val="000000"/>
                <w:lang w:val="en-GB"/>
              </w:rPr>
            </w:pPr>
          </w:p>
        </w:tc>
        <w:tc>
          <w:tcPr>
            <w:tcW w:w="0" w:type="auto"/>
            <w:tcBorders>
              <w:top w:val="nil"/>
              <w:bottom w:val="nil"/>
            </w:tcBorders>
          </w:tcPr>
          <w:p w14:paraId="0E935E9E" w14:textId="77777777" w:rsidR="00AA0BAA" w:rsidRPr="00773C04" w:rsidRDefault="00AA0BAA" w:rsidP="002906AD">
            <w:pPr>
              <w:jc w:val="both"/>
              <w:rPr>
                <w:color w:val="000000"/>
                <w:lang w:val="en-GB"/>
              </w:rPr>
            </w:pPr>
          </w:p>
        </w:tc>
        <w:tc>
          <w:tcPr>
            <w:tcW w:w="0" w:type="auto"/>
            <w:tcBorders>
              <w:top w:val="nil"/>
              <w:bottom w:val="nil"/>
            </w:tcBorders>
          </w:tcPr>
          <w:p w14:paraId="46A198DB" w14:textId="77777777" w:rsidR="00AA0BAA" w:rsidRPr="00773C04" w:rsidRDefault="00AA0BAA" w:rsidP="002906AD">
            <w:pPr>
              <w:jc w:val="both"/>
              <w:rPr>
                <w:color w:val="000000"/>
                <w:lang w:val="en-GB"/>
              </w:rPr>
            </w:pPr>
          </w:p>
        </w:tc>
        <w:tc>
          <w:tcPr>
            <w:tcW w:w="0" w:type="auto"/>
            <w:tcBorders>
              <w:top w:val="nil"/>
              <w:bottom w:val="nil"/>
            </w:tcBorders>
          </w:tcPr>
          <w:p w14:paraId="4071F202" w14:textId="77777777" w:rsidR="00AA0BAA" w:rsidRPr="00773C04" w:rsidRDefault="00AA0BAA" w:rsidP="002906AD">
            <w:pPr>
              <w:jc w:val="both"/>
              <w:rPr>
                <w:color w:val="000000"/>
                <w:lang w:val="en-GB"/>
              </w:rPr>
            </w:pPr>
          </w:p>
        </w:tc>
        <w:tc>
          <w:tcPr>
            <w:tcW w:w="0" w:type="auto"/>
            <w:tcBorders>
              <w:top w:val="nil"/>
              <w:bottom w:val="nil"/>
            </w:tcBorders>
          </w:tcPr>
          <w:p w14:paraId="6E5E1881" w14:textId="77777777" w:rsidR="00AA0BAA" w:rsidRPr="00773C04" w:rsidRDefault="00AA0BAA" w:rsidP="002906AD">
            <w:pPr>
              <w:jc w:val="both"/>
              <w:rPr>
                <w:color w:val="000000"/>
                <w:lang w:val="en-GB"/>
              </w:rPr>
            </w:pPr>
          </w:p>
        </w:tc>
        <w:tc>
          <w:tcPr>
            <w:tcW w:w="0" w:type="auto"/>
            <w:tcBorders>
              <w:top w:val="nil"/>
              <w:bottom w:val="nil"/>
            </w:tcBorders>
          </w:tcPr>
          <w:p w14:paraId="2ADF0EA4" w14:textId="77777777" w:rsidR="00AA0BAA" w:rsidRPr="00773C04" w:rsidRDefault="00AA0BAA" w:rsidP="002906AD">
            <w:pPr>
              <w:jc w:val="both"/>
              <w:rPr>
                <w:color w:val="000000"/>
                <w:lang w:val="en-GB"/>
              </w:rPr>
            </w:pPr>
          </w:p>
        </w:tc>
      </w:tr>
      <w:tr w:rsidR="00AA0BAA" w:rsidRPr="00773C04" w14:paraId="121FCBE9" w14:textId="77777777" w:rsidTr="002906AD">
        <w:trPr>
          <w:trHeight w:val="211"/>
          <w:jc w:val="center"/>
        </w:trPr>
        <w:tc>
          <w:tcPr>
            <w:tcW w:w="0" w:type="auto"/>
            <w:tcBorders>
              <w:top w:val="nil"/>
              <w:bottom w:val="nil"/>
            </w:tcBorders>
          </w:tcPr>
          <w:p w14:paraId="4C110BED" w14:textId="77777777" w:rsidR="00AA0BAA" w:rsidRPr="00773C04" w:rsidRDefault="00AA0BAA" w:rsidP="002906AD">
            <w:pPr>
              <w:ind w:firstLine="321"/>
              <w:rPr>
                <w:lang w:val="en-GB"/>
              </w:rPr>
            </w:pPr>
            <w:r w:rsidRPr="00773C04">
              <w:rPr>
                <w:lang w:val="en-GB"/>
              </w:rPr>
              <w:t>(5) Openness</w:t>
            </w:r>
          </w:p>
        </w:tc>
        <w:tc>
          <w:tcPr>
            <w:tcW w:w="0" w:type="auto"/>
            <w:tcBorders>
              <w:top w:val="nil"/>
              <w:bottom w:val="nil"/>
            </w:tcBorders>
          </w:tcPr>
          <w:p w14:paraId="45035931" w14:textId="77777777" w:rsidR="00AA0BAA" w:rsidRPr="00773C04" w:rsidRDefault="00AA0BAA" w:rsidP="002906AD">
            <w:pPr>
              <w:tabs>
                <w:tab w:val="decimal" w:pos="400"/>
              </w:tabs>
              <w:jc w:val="both"/>
              <w:rPr>
                <w:color w:val="000000"/>
                <w:lang w:val="en-GB"/>
              </w:rPr>
            </w:pPr>
            <w:r w:rsidRPr="00773C04">
              <w:rPr>
                <w:color w:val="000000"/>
                <w:lang w:val="en-GB"/>
              </w:rPr>
              <w:t>.31</w:t>
            </w:r>
            <w:r w:rsidRPr="00773C04">
              <w:rPr>
                <w:color w:val="000000"/>
                <w:vertAlign w:val="superscript"/>
                <w:lang w:val="en-GB"/>
              </w:rPr>
              <w:t>**</w:t>
            </w:r>
          </w:p>
        </w:tc>
        <w:tc>
          <w:tcPr>
            <w:tcW w:w="0" w:type="auto"/>
            <w:tcBorders>
              <w:top w:val="nil"/>
              <w:bottom w:val="nil"/>
            </w:tcBorders>
          </w:tcPr>
          <w:p w14:paraId="2C817B54" w14:textId="77777777" w:rsidR="00AA0BAA" w:rsidRPr="00773C04" w:rsidRDefault="00AA0BAA" w:rsidP="002906AD">
            <w:pPr>
              <w:tabs>
                <w:tab w:val="decimal" w:pos="426"/>
              </w:tabs>
              <w:jc w:val="both"/>
              <w:rPr>
                <w:color w:val="000000"/>
                <w:lang w:val="en-GB"/>
              </w:rPr>
            </w:pPr>
            <w:r w:rsidRPr="00773C04">
              <w:rPr>
                <w:color w:val="000000"/>
                <w:lang w:val="en-GB"/>
              </w:rPr>
              <w:t>.21</w:t>
            </w:r>
            <w:r w:rsidRPr="00773C04">
              <w:rPr>
                <w:color w:val="000000"/>
                <w:vertAlign w:val="superscript"/>
                <w:lang w:val="en-GB"/>
              </w:rPr>
              <w:t>**</w:t>
            </w:r>
          </w:p>
        </w:tc>
        <w:tc>
          <w:tcPr>
            <w:tcW w:w="0" w:type="auto"/>
            <w:tcBorders>
              <w:top w:val="nil"/>
              <w:bottom w:val="nil"/>
            </w:tcBorders>
          </w:tcPr>
          <w:p w14:paraId="7E6506C6" w14:textId="77777777" w:rsidR="00AA0BAA" w:rsidRPr="00773C04" w:rsidRDefault="00AA0BAA" w:rsidP="002906AD">
            <w:pPr>
              <w:tabs>
                <w:tab w:val="decimal" w:pos="360"/>
              </w:tabs>
              <w:jc w:val="both"/>
              <w:rPr>
                <w:color w:val="000000"/>
                <w:lang w:val="en-GB"/>
              </w:rPr>
            </w:pPr>
            <w:r w:rsidRPr="00773C04">
              <w:rPr>
                <w:color w:val="000000"/>
                <w:lang w:val="en-GB"/>
              </w:rPr>
              <w:t>.28</w:t>
            </w:r>
            <w:r w:rsidRPr="00773C04">
              <w:rPr>
                <w:color w:val="000000"/>
                <w:vertAlign w:val="superscript"/>
                <w:lang w:val="en-GB"/>
              </w:rPr>
              <w:t>**</w:t>
            </w:r>
          </w:p>
        </w:tc>
        <w:tc>
          <w:tcPr>
            <w:tcW w:w="0" w:type="auto"/>
            <w:tcBorders>
              <w:top w:val="nil"/>
              <w:bottom w:val="nil"/>
            </w:tcBorders>
          </w:tcPr>
          <w:p w14:paraId="04C1E227" w14:textId="77777777" w:rsidR="00AA0BAA" w:rsidRPr="00773C04" w:rsidRDefault="00AA0BAA" w:rsidP="002906AD">
            <w:pPr>
              <w:tabs>
                <w:tab w:val="decimal" w:pos="508"/>
              </w:tabs>
              <w:jc w:val="both"/>
              <w:rPr>
                <w:color w:val="000000"/>
                <w:lang w:val="en-GB"/>
              </w:rPr>
            </w:pPr>
            <w:r w:rsidRPr="00773C04">
              <w:rPr>
                <w:color w:val="000000"/>
                <w:lang w:val="en-GB"/>
              </w:rPr>
              <w:t>-.09</w:t>
            </w:r>
            <w:r w:rsidRPr="00773C04">
              <w:rPr>
                <w:color w:val="000000"/>
                <w:vertAlign w:val="superscript"/>
                <w:lang w:val="en-GB"/>
              </w:rPr>
              <w:t>*</w:t>
            </w:r>
          </w:p>
        </w:tc>
        <w:tc>
          <w:tcPr>
            <w:tcW w:w="0" w:type="auto"/>
            <w:tcBorders>
              <w:top w:val="nil"/>
              <w:bottom w:val="nil"/>
            </w:tcBorders>
          </w:tcPr>
          <w:p w14:paraId="1D0DAE56" w14:textId="77777777" w:rsidR="00AA0BAA" w:rsidRPr="00773C04" w:rsidRDefault="00AA0BAA" w:rsidP="002906AD">
            <w:pPr>
              <w:jc w:val="both"/>
              <w:rPr>
                <w:color w:val="000000"/>
                <w:lang w:val="en-GB"/>
              </w:rPr>
            </w:pPr>
          </w:p>
        </w:tc>
        <w:tc>
          <w:tcPr>
            <w:tcW w:w="0" w:type="auto"/>
            <w:tcBorders>
              <w:top w:val="nil"/>
              <w:bottom w:val="nil"/>
            </w:tcBorders>
          </w:tcPr>
          <w:p w14:paraId="30E5ED9D" w14:textId="77777777" w:rsidR="00AA0BAA" w:rsidRPr="00773C04" w:rsidRDefault="00AA0BAA" w:rsidP="002906AD">
            <w:pPr>
              <w:jc w:val="both"/>
              <w:rPr>
                <w:color w:val="000000"/>
                <w:lang w:val="en-GB"/>
              </w:rPr>
            </w:pPr>
          </w:p>
        </w:tc>
        <w:tc>
          <w:tcPr>
            <w:tcW w:w="0" w:type="auto"/>
            <w:tcBorders>
              <w:top w:val="nil"/>
              <w:bottom w:val="nil"/>
            </w:tcBorders>
          </w:tcPr>
          <w:p w14:paraId="7FD967BD" w14:textId="77777777" w:rsidR="00AA0BAA" w:rsidRPr="00773C04" w:rsidRDefault="00AA0BAA" w:rsidP="002906AD">
            <w:pPr>
              <w:jc w:val="both"/>
              <w:rPr>
                <w:color w:val="000000"/>
                <w:lang w:val="en-GB"/>
              </w:rPr>
            </w:pPr>
          </w:p>
        </w:tc>
        <w:tc>
          <w:tcPr>
            <w:tcW w:w="0" w:type="auto"/>
            <w:tcBorders>
              <w:top w:val="nil"/>
              <w:bottom w:val="nil"/>
            </w:tcBorders>
          </w:tcPr>
          <w:p w14:paraId="526DB758" w14:textId="77777777" w:rsidR="00AA0BAA" w:rsidRPr="00773C04" w:rsidRDefault="00AA0BAA" w:rsidP="002906AD">
            <w:pPr>
              <w:jc w:val="both"/>
              <w:rPr>
                <w:color w:val="000000"/>
                <w:lang w:val="en-GB"/>
              </w:rPr>
            </w:pPr>
          </w:p>
        </w:tc>
        <w:tc>
          <w:tcPr>
            <w:tcW w:w="0" w:type="auto"/>
            <w:tcBorders>
              <w:top w:val="nil"/>
              <w:bottom w:val="nil"/>
            </w:tcBorders>
          </w:tcPr>
          <w:p w14:paraId="561F8435" w14:textId="77777777" w:rsidR="00AA0BAA" w:rsidRPr="00773C04" w:rsidRDefault="00AA0BAA" w:rsidP="002906AD">
            <w:pPr>
              <w:jc w:val="both"/>
              <w:rPr>
                <w:color w:val="000000"/>
                <w:lang w:val="en-GB"/>
              </w:rPr>
            </w:pPr>
          </w:p>
        </w:tc>
      </w:tr>
      <w:tr w:rsidR="00AA0BAA" w:rsidRPr="00773C04" w14:paraId="73FECB12" w14:textId="77777777" w:rsidTr="002906AD">
        <w:trPr>
          <w:trHeight w:val="211"/>
          <w:jc w:val="center"/>
        </w:trPr>
        <w:tc>
          <w:tcPr>
            <w:tcW w:w="0" w:type="auto"/>
            <w:tcBorders>
              <w:top w:val="nil"/>
              <w:bottom w:val="nil"/>
            </w:tcBorders>
          </w:tcPr>
          <w:p w14:paraId="68DE5746" w14:textId="77777777" w:rsidR="00AA0BAA" w:rsidRPr="00773C04" w:rsidRDefault="00AA0BAA" w:rsidP="002906AD">
            <w:pPr>
              <w:ind w:firstLine="321"/>
              <w:rPr>
                <w:lang w:val="en-GB"/>
              </w:rPr>
            </w:pPr>
            <w:r w:rsidRPr="00773C04">
              <w:rPr>
                <w:lang w:val="en-GB"/>
              </w:rPr>
              <w:t>(6) Gender (male)</w:t>
            </w:r>
          </w:p>
        </w:tc>
        <w:tc>
          <w:tcPr>
            <w:tcW w:w="0" w:type="auto"/>
            <w:tcBorders>
              <w:top w:val="nil"/>
              <w:bottom w:val="nil"/>
            </w:tcBorders>
          </w:tcPr>
          <w:p w14:paraId="34C70A06" w14:textId="77777777" w:rsidR="00AA0BAA" w:rsidRPr="00773C04" w:rsidRDefault="00AA0BAA" w:rsidP="002906AD">
            <w:pPr>
              <w:tabs>
                <w:tab w:val="decimal" w:pos="400"/>
              </w:tabs>
              <w:jc w:val="both"/>
              <w:rPr>
                <w:color w:val="000000"/>
                <w:lang w:val="en-GB"/>
              </w:rPr>
            </w:pPr>
            <w:r w:rsidRPr="00773C04">
              <w:rPr>
                <w:color w:val="000000"/>
                <w:lang w:val="en-GB"/>
              </w:rPr>
              <w:t>-.11</w:t>
            </w:r>
            <w:r w:rsidRPr="00773C04">
              <w:rPr>
                <w:color w:val="000000"/>
                <w:vertAlign w:val="superscript"/>
                <w:lang w:val="en-GB"/>
              </w:rPr>
              <w:t>*</w:t>
            </w:r>
          </w:p>
        </w:tc>
        <w:tc>
          <w:tcPr>
            <w:tcW w:w="0" w:type="auto"/>
            <w:tcBorders>
              <w:top w:val="nil"/>
              <w:bottom w:val="nil"/>
            </w:tcBorders>
          </w:tcPr>
          <w:p w14:paraId="52D849BE" w14:textId="77777777" w:rsidR="00AA0BAA" w:rsidRPr="00773C04" w:rsidRDefault="00AA0BAA" w:rsidP="002906AD">
            <w:pPr>
              <w:tabs>
                <w:tab w:val="decimal" w:pos="426"/>
              </w:tabs>
              <w:jc w:val="both"/>
              <w:rPr>
                <w:color w:val="000000"/>
                <w:lang w:val="en-GB"/>
              </w:rPr>
            </w:pPr>
            <w:r w:rsidRPr="00773C04">
              <w:rPr>
                <w:color w:val="000000"/>
                <w:lang w:val="en-GB"/>
              </w:rPr>
              <w:t>-.19</w:t>
            </w:r>
            <w:r w:rsidRPr="00773C04">
              <w:rPr>
                <w:color w:val="000000"/>
                <w:vertAlign w:val="superscript"/>
                <w:lang w:val="en-GB"/>
              </w:rPr>
              <w:t>**</w:t>
            </w:r>
          </w:p>
        </w:tc>
        <w:tc>
          <w:tcPr>
            <w:tcW w:w="0" w:type="auto"/>
            <w:tcBorders>
              <w:top w:val="nil"/>
              <w:bottom w:val="nil"/>
            </w:tcBorders>
          </w:tcPr>
          <w:p w14:paraId="4E91D564" w14:textId="77777777" w:rsidR="00AA0BAA" w:rsidRPr="00773C04" w:rsidRDefault="00AA0BAA" w:rsidP="002906AD">
            <w:pPr>
              <w:tabs>
                <w:tab w:val="decimal" w:pos="360"/>
              </w:tabs>
              <w:jc w:val="both"/>
              <w:rPr>
                <w:color w:val="000000"/>
                <w:lang w:val="en-GB"/>
              </w:rPr>
            </w:pPr>
            <w:r w:rsidRPr="00773C04">
              <w:rPr>
                <w:color w:val="000000"/>
                <w:lang w:val="en-GB"/>
              </w:rPr>
              <w:t>-.01</w:t>
            </w:r>
          </w:p>
        </w:tc>
        <w:tc>
          <w:tcPr>
            <w:tcW w:w="0" w:type="auto"/>
            <w:tcBorders>
              <w:top w:val="nil"/>
              <w:bottom w:val="nil"/>
            </w:tcBorders>
          </w:tcPr>
          <w:p w14:paraId="4BB42F39" w14:textId="77777777" w:rsidR="00AA0BAA" w:rsidRPr="00773C04" w:rsidRDefault="00AA0BAA" w:rsidP="002906AD">
            <w:pPr>
              <w:tabs>
                <w:tab w:val="decimal" w:pos="508"/>
              </w:tabs>
              <w:jc w:val="both"/>
              <w:rPr>
                <w:color w:val="000000"/>
                <w:lang w:val="en-GB"/>
              </w:rPr>
            </w:pPr>
            <w:r w:rsidRPr="00773C04">
              <w:rPr>
                <w:color w:val="000000"/>
                <w:lang w:val="en-GB"/>
              </w:rPr>
              <w:t>-.23</w:t>
            </w:r>
            <w:r w:rsidRPr="00773C04">
              <w:rPr>
                <w:color w:val="000000"/>
                <w:vertAlign w:val="superscript"/>
                <w:lang w:val="en-GB"/>
              </w:rPr>
              <w:t>**</w:t>
            </w:r>
          </w:p>
        </w:tc>
        <w:tc>
          <w:tcPr>
            <w:tcW w:w="0" w:type="auto"/>
            <w:tcBorders>
              <w:top w:val="nil"/>
              <w:bottom w:val="nil"/>
            </w:tcBorders>
          </w:tcPr>
          <w:p w14:paraId="5A848C00" w14:textId="77777777" w:rsidR="00AA0BAA" w:rsidRPr="00773C04" w:rsidRDefault="00AA0BAA" w:rsidP="002906AD">
            <w:pPr>
              <w:tabs>
                <w:tab w:val="decimal" w:pos="482"/>
              </w:tabs>
              <w:jc w:val="both"/>
              <w:rPr>
                <w:color w:val="000000"/>
                <w:lang w:val="en-GB"/>
              </w:rPr>
            </w:pPr>
            <w:r w:rsidRPr="00773C04">
              <w:rPr>
                <w:color w:val="000000"/>
                <w:lang w:val="en-GB"/>
              </w:rPr>
              <w:t>-.21</w:t>
            </w:r>
            <w:r w:rsidRPr="00773C04">
              <w:rPr>
                <w:color w:val="000000"/>
                <w:vertAlign w:val="superscript"/>
                <w:lang w:val="en-GB"/>
              </w:rPr>
              <w:t>**</w:t>
            </w:r>
          </w:p>
        </w:tc>
        <w:tc>
          <w:tcPr>
            <w:tcW w:w="0" w:type="auto"/>
            <w:tcBorders>
              <w:top w:val="nil"/>
              <w:bottom w:val="nil"/>
            </w:tcBorders>
          </w:tcPr>
          <w:p w14:paraId="29FBC43A" w14:textId="77777777" w:rsidR="00AA0BAA" w:rsidRPr="00773C04" w:rsidRDefault="00AA0BAA" w:rsidP="002906AD">
            <w:pPr>
              <w:jc w:val="both"/>
              <w:rPr>
                <w:color w:val="000000"/>
                <w:lang w:val="en-GB"/>
              </w:rPr>
            </w:pPr>
          </w:p>
        </w:tc>
        <w:tc>
          <w:tcPr>
            <w:tcW w:w="0" w:type="auto"/>
            <w:tcBorders>
              <w:top w:val="nil"/>
              <w:bottom w:val="nil"/>
            </w:tcBorders>
          </w:tcPr>
          <w:p w14:paraId="3AA3B1F3" w14:textId="77777777" w:rsidR="00AA0BAA" w:rsidRPr="00773C04" w:rsidRDefault="00AA0BAA" w:rsidP="002906AD">
            <w:pPr>
              <w:jc w:val="both"/>
              <w:rPr>
                <w:color w:val="000000"/>
                <w:lang w:val="en-GB"/>
              </w:rPr>
            </w:pPr>
          </w:p>
        </w:tc>
        <w:tc>
          <w:tcPr>
            <w:tcW w:w="0" w:type="auto"/>
            <w:tcBorders>
              <w:top w:val="nil"/>
              <w:bottom w:val="nil"/>
            </w:tcBorders>
          </w:tcPr>
          <w:p w14:paraId="34EE78B1" w14:textId="77777777" w:rsidR="00AA0BAA" w:rsidRPr="00773C04" w:rsidRDefault="00AA0BAA" w:rsidP="002906AD">
            <w:pPr>
              <w:jc w:val="both"/>
              <w:rPr>
                <w:color w:val="000000"/>
                <w:lang w:val="en-GB"/>
              </w:rPr>
            </w:pPr>
          </w:p>
        </w:tc>
        <w:tc>
          <w:tcPr>
            <w:tcW w:w="0" w:type="auto"/>
            <w:tcBorders>
              <w:top w:val="nil"/>
              <w:bottom w:val="nil"/>
            </w:tcBorders>
          </w:tcPr>
          <w:p w14:paraId="3B98E7BB" w14:textId="77777777" w:rsidR="00AA0BAA" w:rsidRPr="00773C04" w:rsidRDefault="00AA0BAA" w:rsidP="002906AD">
            <w:pPr>
              <w:jc w:val="both"/>
              <w:rPr>
                <w:color w:val="000000"/>
                <w:lang w:val="en-GB"/>
              </w:rPr>
            </w:pPr>
          </w:p>
        </w:tc>
      </w:tr>
      <w:tr w:rsidR="00AA0BAA" w:rsidRPr="00773C04" w14:paraId="5C885230" w14:textId="77777777" w:rsidTr="002906AD">
        <w:trPr>
          <w:trHeight w:val="211"/>
          <w:jc w:val="center"/>
        </w:trPr>
        <w:tc>
          <w:tcPr>
            <w:tcW w:w="0" w:type="auto"/>
            <w:tcBorders>
              <w:top w:val="nil"/>
              <w:bottom w:val="nil"/>
            </w:tcBorders>
          </w:tcPr>
          <w:p w14:paraId="10C15F16" w14:textId="77777777" w:rsidR="00AA0BAA" w:rsidRPr="00773C04" w:rsidRDefault="00AA0BAA" w:rsidP="002906AD">
            <w:pPr>
              <w:rPr>
                <w:lang w:val="en-GB"/>
              </w:rPr>
            </w:pPr>
            <w:r w:rsidRPr="00773C04">
              <w:rPr>
                <w:i/>
                <w:lang w:val="en-GB"/>
              </w:rPr>
              <w:t>Mediators</w:t>
            </w:r>
          </w:p>
        </w:tc>
        <w:tc>
          <w:tcPr>
            <w:tcW w:w="0" w:type="auto"/>
            <w:tcBorders>
              <w:top w:val="nil"/>
              <w:bottom w:val="nil"/>
            </w:tcBorders>
          </w:tcPr>
          <w:p w14:paraId="6569980C" w14:textId="77777777" w:rsidR="00AA0BAA" w:rsidRPr="00773C04" w:rsidRDefault="00AA0BAA" w:rsidP="002906AD">
            <w:pPr>
              <w:tabs>
                <w:tab w:val="decimal" w:pos="400"/>
              </w:tabs>
              <w:jc w:val="both"/>
              <w:rPr>
                <w:color w:val="000000"/>
                <w:lang w:val="en-GB"/>
              </w:rPr>
            </w:pPr>
          </w:p>
        </w:tc>
        <w:tc>
          <w:tcPr>
            <w:tcW w:w="0" w:type="auto"/>
            <w:tcBorders>
              <w:top w:val="nil"/>
              <w:bottom w:val="nil"/>
            </w:tcBorders>
          </w:tcPr>
          <w:p w14:paraId="1EFAE206" w14:textId="77777777" w:rsidR="00AA0BAA" w:rsidRPr="00773C04" w:rsidRDefault="00AA0BAA" w:rsidP="002906AD">
            <w:pPr>
              <w:tabs>
                <w:tab w:val="decimal" w:pos="426"/>
              </w:tabs>
              <w:jc w:val="both"/>
              <w:rPr>
                <w:color w:val="000000"/>
                <w:lang w:val="en-GB"/>
              </w:rPr>
            </w:pPr>
          </w:p>
        </w:tc>
        <w:tc>
          <w:tcPr>
            <w:tcW w:w="0" w:type="auto"/>
            <w:tcBorders>
              <w:top w:val="nil"/>
              <w:bottom w:val="nil"/>
            </w:tcBorders>
          </w:tcPr>
          <w:p w14:paraId="19BDB59B" w14:textId="77777777" w:rsidR="00AA0BAA" w:rsidRPr="00773C04" w:rsidRDefault="00AA0BAA" w:rsidP="002906AD">
            <w:pPr>
              <w:tabs>
                <w:tab w:val="decimal" w:pos="360"/>
              </w:tabs>
              <w:jc w:val="both"/>
              <w:rPr>
                <w:color w:val="000000"/>
                <w:lang w:val="en-GB"/>
              </w:rPr>
            </w:pPr>
          </w:p>
        </w:tc>
        <w:tc>
          <w:tcPr>
            <w:tcW w:w="0" w:type="auto"/>
            <w:tcBorders>
              <w:top w:val="nil"/>
              <w:bottom w:val="nil"/>
            </w:tcBorders>
          </w:tcPr>
          <w:p w14:paraId="1DECC258" w14:textId="77777777" w:rsidR="00AA0BAA" w:rsidRPr="00773C04" w:rsidRDefault="00AA0BAA" w:rsidP="002906AD">
            <w:pPr>
              <w:tabs>
                <w:tab w:val="decimal" w:pos="508"/>
              </w:tabs>
              <w:jc w:val="both"/>
              <w:rPr>
                <w:color w:val="000000"/>
                <w:lang w:val="en-GB"/>
              </w:rPr>
            </w:pPr>
          </w:p>
        </w:tc>
        <w:tc>
          <w:tcPr>
            <w:tcW w:w="0" w:type="auto"/>
            <w:tcBorders>
              <w:top w:val="nil"/>
              <w:bottom w:val="nil"/>
            </w:tcBorders>
          </w:tcPr>
          <w:p w14:paraId="1EE864F1" w14:textId="77777777" w:rsidR="00AA0BAA" w:rsidRPr="00773C04" w:rsidRDefault="00AA0BAA" w:rsidP="002906AD">
            <w:pPr>
              <w:tabs>
                <w:tab w:val="decimal" w:pos="482"/>
              </w:tabs>
              <w:jc w:val="both"/>
              <w:rPr>
                <w:color w:val="000000"/>
                <w:lang w:val="en-GB"/>
              </w:rPr>
            </w:pPr>
          </w:p>
        </w:tc>
        <w:tc>
          <w:tcPr>
            <w:tcW w:w="0" w:type="auto"/>
            <w:tcBorders>
              <w:top w:val="nil"/>
              <w:bottom w:val="nil"/>
            </w:tcBorders>
          </w:tcPr>
          <w:p w14:paraId="54752327" w14:textId="77777777" w:rsidR="00AA0BAA" w:rsidRPr="00773C04" w:rsidRDefault="00AA0BAA" w:rsidP="002906AD">
            <w:pPr>
              <w:tabs>
                <w:tab w:val="decimal" w:pos="440"/>
              </w:tabs>
              <w:jc w:val="both"/>
              <w:rPr>
                <w:color w:val="000000"/>
                <w:lang w:val="en-GB"/>
              </w:rPr>
            </w:pPr>
          </w:p>
        </w:tc>
        <w:tc>
          <w:tcPr>
            <w:tcW w:w="0" w:type="auto"/>
            <w:tcBorders>
              <w:top w:val="nil"/>
              <w:bottom w:val="nil"/>
            </w:tcBorders>
          </w:tcPr>
          <w:p w14:paraId="2CD27273" w14:textId="77777777" w:rsidR="00AA0BAA" w:rsidRPr="00773C04" w:rsidRDefault="00AA0BAA" w:rsidP="002906AD">
            <w:pPr>
              <w:jc w:val="both"/>
              <w:rPr>
                <w:color w:val="000000"/>
                <w:lang w:val="en-GB"/>
              </w:rPr>
            </w:pPr>
          </w:p>
        </w:tc>
        <w:tc>
          <w:tcPr>
            <w:tcW w:w="0" w:type="auto"/>
            <w:tcBorders>
              <w:top w:val="nil"/>
              <w:bottom w:val="nil"/>
            </w:tcBorders>
          </w:tcPr>
          <w:p w14:paraId="207D731B" w14:textId="77777777" w:rsidR="00AA0BAA" w:rsidRPr="00773C04" w:rsidRDefault="00AA0BAA" w:rsidP="002906AD">
            <w:pPr>
              <w:jc w:val="both"/>
              <w:rPr>
                <w:color w:val="000000"/>
                <w:lang w:val="en-GB"/>
              </w:rPr>
            </w:pPr>
          </w:p>
        </w:tc>
        <w:tc>
          <w:tcPr>
            <w:tcW w:w="0" w:type="auto"/>
            <w:tcBorders>
              <w:top w:val="nil"/>
              <w:bottom w:val="nil"/>
            </w:tcBorders>
          </w:tcPr>
          <w:p w14:paraId="07B597AC" w14:textId="77777777" w:rsidR="00AA0BAA" w:rsidRPr="00773C04" w:rsidRDefault="00AA0BAA" w:rsidP="002906AD">
            <w:pPr>
              <w:jc w:val="both"/>
              <w:rPr>
                <w:color w:val="000000"/>
                <w:lang w:val="en-GB"/>
              </w:rPr>
            </w:pPr>
          </w:p>
        </w:tc>
      </w:tr>
      <w:tr w:rsidR="00AA0BAA" w:rsidRPr="00773C04" w14:paraId="2336DC0A" w14:textId="77777777" w:rsidTr="002906AD">
        <w:trPr>
          <w:trHeight w:val="211"/>
          <w:jc w:val="center"/>
        </w:trPr>
        <w:tc>
          <w:tcPr>
            <w:tcW w:w="0" w:type="auto"/>
            <w:tcBorders>
              <w:top w:val="nil"/>
              <w:bottom w:val="nil"/>
            </w:tcBorders>
          </w:tcPr>
          <w:p w14:paraId="74C5D7D2" w14:textId="7C8BCCF4" w:rsidR="00AA0BAA" w:rsidRPr="00773C04" w:rsidRDefault="00AA0BAA" w:rsidP="002906AD">
            <w:pPr>
              <w:ind w:firstLine="321"/>
              <w:rPr>
                <w:lang w:val="en-GB"/>
              </w:rPr>
            </w:pPr>
            <w:r w:rsidRPr="00773C04">
              <w:rPr>
                <w:lang w:val="en-GB"/>
              </w:rPr>
              <w:t xml:space="preserve">(7) </w:t>
            </w:r>
            <w:r w:rsidR="00ED289C">
              <w:rPr>
                <w:lang w:val="en-GB"/>
              </w:rPr>
              <w:t>A</w:t>
            </w:r>
            <w:r w:rsidR="00ED289C" w:rsidRPr="0018698D">
              <w:rPr>
                <w:lang w:val="en-GB"/>
              </w:rPr>
              <w:t xml:space="preserve">cademic </w:t>
            </w:r>
            <w:r w:rsidR="00ED289C">
              <w:rPr>
                <w:lang w:val="en-GB"/>
              </w:rPr>
              <w:t>self-</w:t>
            </w:r>
            <w:r w:rsidR="00ED289C" w:rsidRPr="0018698D">
              <w:rPr>
                <w:lang w:val="en-GB"/>
              </w:rPr>
              <w:t>efficacy</w:t>
            </w:r>
          </w:p>
        </w:tc>
        <w:tc>
          <w:tcPr>
            <w:tcW w:w="0" w:type="auto"/>
            <w:tcBorders>
              <w:top w:val="nil"/>
              <w:bottom w:val="nil"/>
            </w:tcBorders>
          </w:tcPr>
          <w:p w14:paraId="64F59211" w14:textId="77777777" w:rsidR="00AA0BAA" w:rsidRPr="00773C04" w:rsidRDefault="00AA0BAA" w:rsidP="002906AD">
            <w:pPr>
              <w:tabs>
                <w:tab w:val="decimal" w:pos="400"/>
              </w:tabs>
              <w:jc w:val="both"/>
              <w:rPr>
                <w:color w:val="000000"/>
                <w:lang w:val="en-GB"/>
              </w:rPr>
            </w:pPr>
            <w:r w:rsidRPr="00773C04">
              <w:rPr>
                <w:color w:val="000000"/>
                <w:lang w:val="en-GB"/>
              </w:rPr>
              <w:t>.25</w:t>
            </w:r>
            <w:r w:rsidRPr="00773C04">
              <w:rPr>
                <w:color w:val="000000"/>
                <w:vertAlign w:val="superscript"/>
                <w:lang w:val="en-GB"/>
              </w:rPr>
              <w:t>**</w:t>
            </w:r>
          </w:p>
        </w:tc>
        <w:tc>
          <w:tcPr>
            <w:tcW w:w="0" w:type="auto"/>
            <w:tcBorders>
              <w:top w:val="nil"/>
              <w:bottom w:val="nil"/>
            </w:tcBorders>
          </w:tcPr>
          <w:p w14:paraId="3BF17CE7" w14:textId="77777777" w:rsidR="00AA0BAA" w:rsidRPr="00773C04" w:rsidRDefault="00AA0BAA" w:rsidP="002906AD">
            <w:pPr>
              <w:tabs>
                <w:tab w:val="decimal" w:pos="426"/>
              </w:tabs>
              <w:jc w:val="both"/>
              <w:rPr>
                <w:color w:val="000000"/>
                <w:lang w:val="en-GB"/>
              </w:rPr>
            </w:pPr>
            <w:r w:rsidRPr="00773C04">
              <w:rPr>
                <w:color w:val="000000"/>
                <w:lang w:val="en-GB"/>
              </w:rPr>
              <w:t>.13</w:t>
            </w:r>
            <w:r w:rsidRPr="00773C04">
              <w:rPr>
                <w:color w:val="000000"/>
                <w:vertAlign w:val="superscript"/>
                <w:lang w:val="en-GB"/>
              </w:rPr>
              <w:t>**</w:t>
            </w:r>
          </w:p>
        </w:tc>
        <w:tc>
          <w:tcPr>
            <w:tcW w:w="0" w:type="auto"/>
            <w:tcBorders>
              <w:top w:val="nil"/>
              <w:bottom w:val="nil"/>
            </w:tcBorders>
          </w:tcPr>
          <w:p w14:paraId="3A5184E2" w14:textId="77777777" w:rsidR="00AA0BAA" w:rsidRPr="00773C04" w:rsidRDefault="00AA0BAA" w:rsidP="002906AD">
            <w:pPr>
              <w:tabs>
                <w:tab w:val="decimal" w:pos="360"/>
              </w:tabs>
              <w:jc w:val="both"/>
              <w:rPr>
                <w:color w:val="000000"/>
                <w:lang w:val="en-GB"/>
              </w:rPr>
            </w:pPr>
            <w:r w:rsidRPr="00773C04">
              <w:rPr>
                <w:color w:val="000000"/>
                <w:lang w:val="en-GB"/>
              </w:rPr>
              <w:t>.46</w:t>
            </w:r>
            <w:r w:rsidRPr="00773C04">
              <w:rPr>
                <w:color w:val="000000"/>
                <w:vertAlign w:val="superscript"/>
                <w:lang w:val="en-GB"/>
              </w:rPr>
              <w:t>**</w:t>
            </w:r>
          </w:p>
        </w:tc>
        <w:tc>
          <w:tcPr>
            <w:tcW w:w="0" w:type="auto"/>
            <w:tcBorders>
              <w:top w:val="nil"/>
              <w:bottom w:val="nil"/>
            </w:tcBorders>
          </w:tcPr>
          <w:p w14:paraId="64639935" w14:textId="77777777" w:rsidR="00AA0BAA" w:rsidRPr="00773C04" w:rsidRDefault="00AA0BAA" w:rsidP="002906AD">
            <w:pPr>
              <w:tabs>
                <w:tab w:val="decimal" w:pos="508"/>
              </w:tabs>
              <w:jc w:val="both"/>
              <w:rPr>
                <w:color w:val="000000"/>
                <w:lang w:val="en-GB"/>
              </w:rPr>
            </w:pPr>
            <w:r w:rsidRPr="00773C04">
              <w:rPr>
                <w:color w:val="000000"/>
                <w:lang w:val="en-GB"/>
              </w:rPr>
              <w:t>-.25</w:t>
            </w:r>
            <w:r w:rsidRPr="00773C04">
              <w:rPr>
                <w:color w:val="000000"/>
                <w:vertAlign w:val="superscript"/>
                <w:lang w:val="en-GB"/>
              </w:rPr>
              <w:t>**</w:t>
            </w:r>
          </w:p>
        </w:tc>
        <w:tc>
          <w:tcPr>
            <w:tcW w:w="0" w:type="auto"/>
            <w:tcBorders>
              <w:top w:val="nil"/>
              <w:bottom w:val="nil"/>
            </w:tcBorders>
          </w:tcPr>
          <w:p w14:paraId="5BF96E8D" w14:textId="77777777" w:rsidR="00AA0BAA" w:rsidRPr="00773C04" w:rsidRDefault="00AA0BAA" w:rsidP="002906AD">
            <w:pPr>
              <w:tabs>
                <w:tab w:val="decimal" w:pos="482"/>
              </w:tabs>
              <w:jc w:val="both"/>
              <w:rPr>
                <w:color w:val="000000"/>
                <w:lang w:val="en-GB"/>
              </w:rPr>
            </w:pPr>
            <w:r w:rsidRPr="00773C04">
              <w:rPr>
                <w:color w:val="000000"/>
                <w:lang w:val="en-GB"/>
              </w:rPr>
              <w:t>.32</w:t>
            </w:r>
            <w:r w:rsidRPr="00773C04">
              <w:rPr>
                <w:color w:val="000000"/>
                <w:vertAlign w:val="superscript"/>
                <w:lang w:val="en-GB"/>
              </w:rPr>
              <w:t>**</w:t>
            </w:r>
          </w:p>
        </w:tc>
        <w:tc>
          <w:tcPr>
            <w:tcW w:w="0" w:type="auto"/>
            <w:tcBorders>
              <w:top w:val="nil"/>
              <w:bottom w:val="nil"/>
            </w:tcBorders>
          </w:tcPr>
          <w:p w14:paraId="0B13116F" w14:textId="77777777" w:rsidR="00AA0BAA" w:rsidRPr="00773C04" w:rsidRDefault="00AA0BAA" w:rsidP="002906AD">
            <w:pPr>
              <w:tabs>
                <w:tab w:val="decimal" w:pos="440"/>
              </w:tabs>
              <w:jc w:val="both"/>
              <w:rPr>
                <w:color w:val="000000"/>
                <w:lang w:val="en-GB"/>
              </w:rPr>
            </w:pPr>
            <w:r w:rsidRPr="00773C04">
              <w:rPr>
                <w:color w:val="000000"/>
                <w:lang w:val="en-GB"/>
              </w:rPr>
              <w:t>.05</w:t>
            </w:r>
          </w:p>
        </w:tc>
        <w:tc>
          <w:tcPr>
            <w:tcW w:w="0" w:type="auto"/>
            <w:tcBorders>
              <w:top w:val="nil"/>
              <w:bottom w:val="nil"/>
            </w:tcBorders>
          </w:tcPr>
          <w:p w14:paraId="75908C9D" w14:textId="77777777" w:rsidR="00AA0BAA" w:rsidRPr="00773C04" w:rsidRDefault="00AA0BAA" w:rsidP="002906AD">
            <w:pPr>
              <w:jc w:val="both"/>
              <w:rPr>
                <w:color w:val="000000"/>
                <w:lang w:val="en-GB"/>
              </w:rPr>
            </w:pPr>
          </w:p>
        </w:tc>
        <w:tc>
          <w:tcPr>
            <w:tcW w:w="0" w:type="auto"/>
            <w:tcBorders>
              <w:top w:val="nil"/>
              <w:bottom w:val="nil"/>
            </w:tcBorders>
          </w:tcPr>
          <w:p w14:paraId="456F5334" w14:textId="77777777" w:rsidR="00AA0BAA" w:rsidRPr="00773C04" w:rsidRDefault="00AA0BAA" w:rsidP="002906AD">
            <w:pPr>
              <w:jc w:val="both"/>
              <w:rPr>
                <w:color w:val="000000"/>
                <w:lang w:val="en-GB"/>
              </w:rPr>
            </w:pPr>
          </w:p>
        </w:tc>
        <w:tc>
          <w:tcPr>
            <w:tcW w:w="0" w:type="auto"/>
            <w:tcBorders>
              <w:top w:val="nil"/>
              <w:bottom w:val="nil"/>
            </w:tcBorders>
          </w:tcPr>
          <w:p w14:paraId="5AD7C895" w14:textId="77777777" w:rsidR="00AA0BAA" w:rsidRPr="00773C04" w:rsidRDefault="00AA0BAA" w:rsidP="002906AD">
            <w:pPr>
              <w:jc w:val="both"/>
              <w:rPr>
                <w:color w:val="000000"/>
                <w:lang w:val="en-GB"/>
              </w:rPr>
            </w:pPr>
          </w:p>
        </w:tc>
      </w:tr>
      <w:tr w:rsidR="00AA0BAA" w:rsidRPr="00773C04" w14:paraId="337782C4" w14:textId="77777777" w:rsidTr="002906AD">
        <w:trPr>
          <w:trHeight w:val="211"/>
          <w:jc w:val="center"/>
        </w:trPr>
        <w:tc>
          <w:tcPr>
            <w:tcW w:w="0" w:type="auto"/>
            <w:tcBorders>
              <w:top w:val="nil"/>
              <w:bottom w:val="nil"/>
            </w:tcBorders>
          </w:tcPr>
          <w:p w14:paraId="0AA4324B" w14:textId="77777777" w:rsidR="00AA0BAA" w:rsidRPr="00773C04" w:rsidRDefault="00AA0BAA" w:rsidP="002906AD">
            <w:pPr>
              <w:ind w:firstLine="321"/>
              <w:rPr>
                <w:lang w:val="en-GB"/>
              </w:rPr>
            </w:pPr>
            <w:r w:rsidRPr="00773C04">
              <w:rPr>
                <w:lang w:val="en-GB"/>
              </w:rPr>
              <w:t>(8) Promoting learning process</w:t>
            </w:r>
          </w:p>
        </w:tc>
        <w:tc>
          <w:tcPr>
            <w:tcW w:w="0" w:type="auto"/>
            <w:tcBorders>
              <w:top w:val="nil"/>
              <w:bottom w:val="nil"/>
            </w:tcBorders>
          </w:tcPr>
          <w:p w14:paraId="582A25BC" w14:textId="77777777" w:rsidR="00AA0BAA" w:rsidRPr="00773C04" w:rsidRDefault="00AA0BAA" w:rsidP="002906AD">
            <w:pPr>
              <w:tabs>
                <w:tab w:val="decimal" w:pos="400"/>
              </w:tabs>
              <w:jc w:val="both"/>
              <w:rPr>
                <w:color w:val="000000"/>
                <w:lang w:val="en-GB"/>
              </w:rPr>
            </w:pPr>
            <w:r w:rsidRPr="00773C04">
              <w:rPr>
                <w:color w:val="000000"/>
                <w:lang w:val="en-GB"/>
              </w:rPr>
              <w:t>.11</w:t>
            </w:r>
            <w:r w:rsidRPr="00773C04">
              <w:rPr>
                <w:color w:val="000000"/>
                <w:vertAlign w:val="superscript"/>
                <w:lang w:val="en-GB"/>
              </w:rPr>
              <w:t>*</w:t>
            </w:r>
          </w:p>
        </w:tc>
        <w:tc>
          <w:tcPr>
            <w:tcW w:w="0" w:type="auto"/>
            <w:tcBorders>
              <w:top w:val="nil"/>
              <w:bottom w:val="nil"/>
            </w:tcBorders>
          </w:tcPr>
          <w:p w14:paraId="63F689DE" w14:textId="77777777" w:rsidR="00AA0BAA" w:rsidRPr="00773C04" w:rsidRDefault="00AA0BAA" w:rsidP="002906AD">
            <w:pPr>
              <w:tabs>
                <w:tab w:val="decimal" w:pos="426"/>
              </w:tabs>
              <w:jc w:val="both"/>
              <w:rPr>
                <w:color w:val="000000"/>
                <w:lang w:val="en-GB"/>
              </w:rPr>
            </w:pPr>
            <w:r w:rsidRPr="00773C04">
              <w:rPr>
                <w:color w:val="000000"/>
                <w:lang w:val="en-GB"/>
              </w:rPr>
              <w:t>.31</w:t>
            </w:r>
            <w:r w:rsidRPr="00773C04">
              <w:rPr>
                <w:color w:val="000000"/>
                <w:vertAlign w:val="superscript"/>
                <w:lang w:val="en-GB"/>
              </w:rPr>
              <w:t>**</w:t>
            </w:r>
          </w:p>
        </w:tc>
        <w:tc>
          <w:tcPr>
            <w:tcW w:w="0" w:type="auto"/>
            <w:tcBorders>
              <w:top w:val="nil"/>
              <w:bottom w:val="nil"/>
            </w:tcBorders>
          </w:tcPr>
          <w:p w14:paraId="0413EB0F" w14:textId="77777777" w:rsidR="00AA0BAA" w:rsidRPr="00773C04" w:rsidRDefault="00AA0BAA" w:rsidP="002906AD">
            <w:pPr>
              <w:tabs>
                <w:tab w:val="decimal" w:pos="360"/>
              </w:tabs>
              <w:jc w:val="both"/>
              <w:rPr>
                <w:color w:val="000000"/>
                <w:lang w:val="en-GB"/>
              </w:rPr>
            </w:pPr>
            <w:r w:rsidRPr="00773C04">
              <w:rPr>
                <w:color w:val="000000"/>
                <w:lang w:val="en-GB"/>
              </w:rPr>
              <w:t>.47</w:t>
            </w:r>
            <w:r w:rsidRPr="00773C04">
              <w:rPr>
                <w:color w:val="000000"/>
                <w:vertAlign w:val="superscript"/>
                <w:lang w:val="en-GB"/>
              </w:rPr>
              <w:t>**</w:t>
            </w:r>
          </w:p>
        </w:tc>
        <w:tc>
          <w:tcPr>
            <w:tcW w:w="0" w:type="auto"/>
            <w:tcBorders>
              <w:top w:val="nil"/>
              <w:bottom w:val="nil"/>
            </w:tcBorders>
          </w:tcPr>
          <w:p w14:paraId="0B2D5706" w14:textId="77777777" w:rsidR="00AA0BAA" w:rsidRPr="00773C04" w:rsidRDefault="00AA0BAA" w:rsidP="002906AD">
            <w:pPr>
              <w:tabs>
                <w:tab w:val="decimal" w:pos="508"/>
              </w:tabs>
              <w:jc w:val="both"/>
              <w:rPr>
                <w:color w:val="000000"/>
                <w:lang w:val="en-GB"/>
              </w:rPr>
            </w:pPr>
            <w:r w:rsidRPr="00773C04">
              <w:rPr>
                <w:color w:val="000000"/>
                <w:lang w:val="en-GB"/>
              </w:rPr>
              <w:t>-.14</w:t>
            </w:r>
            <w:r w:rsidRPr="00773C04">
              <w:rPr>
                <w:color w:val="000000"/>
                <w:vertAlign w:val="superscript"/>
                <w:lang w:val="en-GB"/>
              </w:rPr>
              <w:t>**</w:t>
            </w:r>
          </w:p>
        </w:tc>
        <w:tc>
          <w:tcPr>
            <w:tcW w:w="0" w:type="auto"/>
            <w:tcBorders>
              <w:top w:val="nil"/>
              <w:bottom w:val="nil"/>
            </w:tcBorders>
          </w:tcPr>
          <w:p w14:paraId="657039F9" w14:textId="77777777" w:rsidR="00AA0BAA" w:rsidRPr="00773C04" w:rsidRDefault="00AA0BAA" w:rsidP="002906AD">
            <w:pPr>
              <w:tabs>
                <w:tab w:val="decimal" w:pos="482"/>
              </w:tabs>
              <w:jc w:val="both"/>
              <w:rPr>
                <w:color w:val="000000"/>
                <w:lang w:val="en-GB"/>
              </w:rPr>
            </w:pPr>
            <w:r w:rsidRPr="00773C04">
              <w:rPr>
                <w:color w:val="000000"/>
                <w:lang w:val="en-GB"/>
              </w:rPr>
              <w:t>.25</w:t>
            </w:r>
            <w:r w:rsidRPr="00773C04">
              <w:rPr>
                <w:color w:val="000000"/>
                <w:vertAlign w:val="superscript"/>
                <w:lang w:val="en-GB"/>
              </w:rPr>
              <w:t>**</w:t>
            </w:r>
          </w:p>
        </w:tc>
        <w:tc>
          <w:tcPr>
            <w:tcW w:w="0" w:type="auto"/>
            <w:tcBorders>
              <w:top w:val="nil"/>
              <w:bottom w:val="nil"/>
            </w:tcBorders>
          </w:tcPr>
          <w:p w14:paraId="1D6CF986" w14:textId="77777777" w:rsidR="00AA0BAA" w:rsidRPr="00773C04" w:rsidRDefault="00AA0BAA" w:rsidP="002906AD">
            <w:pPr>
              <w:tabs>
                <w:tab w:val="decimal" w:pos="440"/>
              </w:tabs>
              <w:jc w:val="both"/>
              <w:rPr>
                <w:color w:val="000000"/>
                <w:lang w:val="en-GB"/>
              </w:rPr>
            </w:pPr>
            <w:r w:rsidRPr="00773C04">
              <w:rPr>
                <w:color w:val="000000"/>
                <w:lang w:val="en-GB"/>
              </w:rPr>
              <w:t>-.03</w:t>
            </w:r>
          </w:p>
        </w:tc>
        <w:tc>
          <w:tcPr>
            <w:tcW w:w="0" w:type="auto"/>
            <w:tcBorders>
              <w:top w:val="nil"/>
              <w:bottom w:val="nil"/>
            </w:tcBorders>
          </w:tcPr>
          <w:p w14:paraId="78AD4B04" w14:textId="77777777" w:rsidR="00AA0BAA" w:rsidRPr="00773C04" w:rsidRDefault="00AA0BAA" w:rsidP="002906AD">
            <w:pPr>
              <w:tabs>
                <w:tab w:val="decimal" w:pos="400"/>
              </w:tabs>
              <w:jc w:val="both"/>
              <w:rPr>
                <w:color w:val="000000"/>
                <w:lang w:val="en-GB"/>
              </w:rPr>
            </w:pPr>
            <w:r w:rsidRPr="00773C04">
              <w:rPr>
                <w:color w:val="000000"/>
                <w:lang w:val="en-GB"/>
              </w:rPr>
              <w:t>.33</w:t>
            </w:r>
            <w:r w:rsidRPr="00773C04">
              <w:rPr>
                <w:color w:val="000000"/>
                <w:vertAlign w:val="superscript"/>
                <w:lang w:val="en-GB"/>
              </w:rPr>
              <w:t>**</w:t>
            </w:r>
          </w:p>
        </w:tc>
        <w:tc>
          <w:tcPr>
            <w:tcW w:w="0" w:type="auto"/>
            <w:tcBorders>
              <w:top w:val="nil"/>
              <w:bottom w:val="nil"/>
            </w:tcBorders>
          </w:tcPr>
          <w:p w14:paraId="2B23C148" w14:textId="77777777" w:rsidR="00AA0BAA" w:rsidRPr="00773C04" w:rsidRDefault="00AA0BAA" w:rsidP="002906AD">
            <w:pPr>
              <w:jc w:val="both"/>
              <w:rPr>
                <w:color w:val="000000"/>
                <w:lang w:val="en-GB"/>
              </w:rPr>
            </w:pPr>
          </w:p>
        </w:tc>
        <w:tc>
          <w:tcPr>
            <w:tcW w:w="0" w:type="auto"/>
            <w:tcBorders>
              <w:top w:val="nil"/>
              <w:bottom w:val="nil"/>
            </w:tcBorders>
          </w:tcPr>
          <w:p w14:paraId="15BA9F21" w14:textId="77777777" w:rsidR="00AA0BAA" w:rsidRPr="00773C04" w:rsidRDefault="00AA0BAA" w:rsidP="002906AD">
            <w:pPr>
              <w:jc w:val="both"/>
              <w:rPr>
                <w:color w:val="000000"/>
                <w:lang w:val="en-GB"/>
              </w:rPr>
            </w:pPr>
          </w:p>
        </w:tc>
      </w:tr>
      <w:tr w:rsidR="00AA0BAA" w:rsidRPr="00773C04" w14:paraId="367E8FE9" w14:textId="77777777" w:rsidTr="002906AD">
        <w:trPr>
          <w:trHeight w:val="211"/>
          <w:jc w:val="center"/>
        </w:trPr>
        <w:tc>
          <w:tcPr>
            <w:tcW w:w="0" w:type="auto"/>
            <w:tcBorders>
              <w:top w:val="nil"/>
              <w:bottom w:val="nil"/>
            </w:tcBorders>
          </w:tcPr>
          <w:p w14:paraId="0AE06183" w14:textId="77777777" w:rsidR="00AA0BAA" w:rsidRPr="00773C04" w:rsidRDefault="00AA0BAA" w:rsidP="002906AD">
            <w:pPr>
              <w:ind w:firstLine="321"/>
              <w:rPr>
                <w:lang w:val="en-GB"/>
              </w:rPr>
            </w:pPr>
            <w:r w:rsidRPr="00773C04">
              <w:rPr>
                <w:lang w:val="en-GB"/>
              </w:rPr>
              <w:t>(9) Protecting self-esteem</w:t>
            </w:r>
          </w:p>
        </w:tc>
        <w:tc>
          <w:tcPr>
            <w:tcW w:w="0" w:type="auto"/>
            <w:tcBorders>
              <w:top w:val="nil"/>
              <w:bottom w:val="nil"/>
            </w:tcBorders>
          </w:tcPr>
          <w:p w14:paraId="5D099CEE" w14:textId="77777777" w:rsidR="00AA0BAA" w:rsidRPr="00773C04" w:rsidRDefault="00AA0BAA" w:rsidP="002906AD">
            <w:pPr>
              <w:tabs>
                <w:tab w:val="decimal" w:pos="400"/>
              </w:tabs>
              <w:jc w:val="both"/>
              <w:rPr>
                <w:color w:val="000000"/>
                <w:lang w:val="en-GB"/>
              </w:rPr>
            </w:pPr>
            <w:r w:rsidRPr="00773C04">
              <w:rPr>
                <w:color w:val="000000"/>
                <w:lang w:val="en-GB"/>
              </w:rPr>
              <w:t>-.13</w:t>
            </w:r>
            <w:r w:rsidRPr="00773C04">
              <w:rPr>
                <w:color w:val="000000"/>
                <w:vertAlign w:val="superscript"/>
                <w:lang w:val="en-GB"/>
              </w:rPr>
              <w:t>**</w:t>
            </w:r>
          </w:p>
        </w:tc>
        <w:tc>
          <w:tcPr>
            <w:tcW w:w="0" w:type="auto"/>
            <w:tcBorders>
              <w:top w:val="nil"/>
              <w:bottom w:val="nil"/>
            </w:tcBorders>
          </w:tcPr>
          <w:p w14:paraId="54D63518" w14:textId="77777777" w:rsidR="00AA0BAA" w:rsidRPr="00773C04" w:rsidRDefault="00AA0BAA" w:rsidP="002906AD">
            <w:pPr>
              <w:tabs>
                <w:tab w:val="decimal" w:pos="426"/>
              </w:tabs>
              <w:jc w:val="both"/>
              <w:rPr>
                <w:color w:val="000000"/>
                <w:lang w:val="en-GB"/>
              </w:rPr>
            </w:pPr>
            <w:r w:rsidRPr="00773C04">
              <w:rPr>
                <w:color w:val="000000"/>
                <w:lang w:val="en-GB"/>
              </w:rPr>
              <w:t>-.33</w:t>
            </w:r>
            <w:r w:rsidRPr="00773C04">
              <w:rPr>
                <w:color w:val="000000"/>
                <w:vertAlign w:val="superscript"/>
                <w:lang w:val="en-GB"/>
              </w:rPr>
              <w:t>**</w:t>
            </w:r>
          </w:p>
        </w:tc>
        <w:tc>
          <w:tcPr>
            <w:tcW w:w="0" w:type="auto"/>
            <w:tcBorders>
              <w:top w:val="nil"/>
              <w:bottom w:val="nil"/>
            </w:tcBorders>
          </w:tcPr>
          <w:p w14:paraId="38BFC35E" w14:textId="77777777" w:rsidR="00AA0BAA" w:rsidRPr="00773C04" w:rsidRDefault="00AA0BAA" w:rsidP="002906AD">
            <w:pPr>
              <w:tabs>
                <w:tab w:val="decimal" w:pos="360"/>
              </w:tabs>
              <w:jc w:val="both"/>
              <w:rPr>
                <w:color w:val="000000"/>
                <w:lang w:val="en-GB"/>
              </w:rPr>
            </w:pPr>
            <w:r w:rsidRPr="00773C04">
              <w:rPr>
                <w:color w:val="000000"/>
                <w:lang w:val="en-GB"/>
              </w:rPr>
              <w:t>-.47</w:t>
            </w:r>
            <w:r w:rsidRPr="00773C04">
              <w:rPr>
                <w:color w:val="000000"/>
                <w:vertAlign w:val="superscript"/>
                <w:lang w:val="en-GB"/>
              </w:rPr>
              <w:t>**</w:t>
            </w:r>
          </w:p>
        </w:tc>
        <w:tc>
          <w:tcPr>
            <w:tcW w:w="0" w:type="auto"/>
            <w:tcBorders>
              <w:top w:val="nil"/>
              <w:bottom w:val="nil"/>
            </w:tcBorders>
          </w:tcPr>
          <w:p w14:paraId="2FB6CB56" w14:textId="77777777" w:rsidR="00AA0BAA" w:rsidRPr="00773C04" w:rsidRDefault="00AA0BAA" w:rsidP="002906AD">
            <w:pPr>
              <w:tabs>
                <w:tab w:val="decimal" w:pos="508"/>
              </w:tabs>
              <w:jc w:val="both"/>
              <w:rPr>
                <w:color w:val="000000"/>
                <w:lang w:val="en-GB"/>
              </w:rPr>
            </w:pPr>
            <w:r w:rsidRPr="00773C04">
              <w:rPr>
                <w:color w:val="000000"/>
                <w:lang w:val="en-GB"/>
              </w:rPr>
              <w:t>.31</w:t>
            </w:r>
            <w:r w:rsidRPr="00773C04">
              <w:rPr>
                <w:color w:val="000000"/>
                <w:vertAlign w:val="superscript"/>
                <w:lang w:val="en-GB"/>
              </w:rPr>
              <w:t>**</w:t>
            </w:r>
          </w:p>
        </w:tc>
        <w:tc>
          <w:tcPr>
            <w:tcW w:w="0" w:type="auto"/>
            <w:tcBorders>
              <w:top w:val="nil"/>
              <w:bottom w:val="nil"/>
            </w:tcBorders>
          </w:tcPr>
          <w:p w14:paraId="12A36216" w14:textId="77777777" w:rsidR="00AA0BAA" w:rsidRPr="00773C04" w:rsidRDefault="00AA0BAA" w:rsidP="002906AD">
            <w:pPr>
              <w:tabs>
                <w:tab w:val="decimal" w:pos="482"/>
              </w:tabs>
              <w:jc w:val="both"/>
              <w:rPr>
                <w:color w:val="000000"/>
                <w:lang w:val="en-GB"/>
              </w:rPr>
            </w:pPr>
            <w:r w:rsidRPr="00773C04">
              <w:rPr>
                <w:color w:val="000000"/>
                <w:lang w:val="en-GB"/>
              </w:rPr>
              <w:t>-.18</w:t>
            </w:r>
            <w:r w:rsidRPr="00773C04">
              <w:rPr>
                <w:color w:val="000000"/>
                <w:vertAlign w:val="superscript"/>
                <w:lang w:val="en-GB"/>
              </w:rPr>
              <w:t>**</w:t>
            </w:r>
          </w:p>
        </w:tc>
        <w:tc>
          <w:tcPr>
            <w:tcW w:w="0" w:type="auto"/>
            <w:tcBorders>
              <w:top w:val="nil"/>
              <w:bottom w:val="nil"/>
            </w:tcBorders>
          </w:tcPr>
          <w:p w14:paraId="20F6902E" w14:textId="77777777" w:rsidR="00AA0BAA" w:rsidRPr="00773C04" w:rsidRDefault="00AA0BAA" w:rsidP="002906AD">
            <w:pPr>
              <w:tabs>
                <w:tab w:val="decimal" w:pos="440"/>
              </w:tabs>
              <w:jc w:val="both"/>
              <w:rPr>
                <w:color w:val="000000"/>
                <w:lang w:val="en-GB"/>
              </w:rPr>
            </w:pPr>
            <w:r w:rsidRPr="00773C04">
              <w:rPr>
                <w:color w:val="000000"/>
                <w:lang w:val="en-GB"/>
              </w:rPr>
              <w:t>.03</w:t>
            </w:r>
          </w:p>
        </w:tc>
        <w:tc>
          <w:tcPr>
            <w:tcW w:w="0" w:type="auto"/>
            <w:tcBorders>
              <w:top w:val="nil"/>
              <w:bottom w:val="nil"/>
            </w:tcBorders>
          </w:tcPr>
          <w:p w14:paraId="2E05F24E" w14:textId="77777777" w:rsidR="00AA0BAA" w:rsidRPr="00773C04" w:rsidRDefault="00AA0BAA" w:rsidP="002906AD">
            <w:pPr>
              <w:tabs>
                <w:tab w:val="decimal" w:pos="400"/>
              </w:tabs>
              <w:jc w:val="both"/>
              <w:rPr>
                <w:color w:val="000000"/>
                <w:lang w:val="en-GB"/>
              </w:rPr>
            </w:pPr>
            <w:r w:rsidRPr="00773C04">
              <w:rPr>
                <w:color w:val="000000"/>
                <w:lang w:val="en-GB"/>
              </w:rPr>
              <w:t>-.38</w:t>
            </w:r>
            <w:r w:rsidRPr="00773C04">
              <w:rPr>
                <w:color w:val="000000"/>
                <w:vertAlign w:val="superscript"/>
                <w:lang w:val="en-GB"/>
              </w:rPr>
              <w:t>**</w:t>
            </w:r>
          </w:p>
        </w:tc>
        <w:tc>
          <w:tcPr>
            <w:tcW w:w="0" w:type="auto"/>
            <w:tcBorders>
              <w:top w:val="nil"/>
              <w:bottom w:val="nil"/>
            </w:tcBorders>
          </w:tcPr>
          <w:p w14:paraId="352D59A7" w14:textId="77777777" w:rsidR="00AA0BAA" w:rsidRPr="00773C04" w:rsidRDefault="00AA0BAA" w:rsidP="002906AD">
            <w:pPr>
              <w:tabs>
                <w:tab w:val="decimal" w:pos="440"/>
              </w:tabs>
              <w:jc w:val="both"/>
              <w:rPr>
                <w:color w:val="000000"/>
                <w:lang w:val="en-GB"/>
              </w:rPr>
            </w:pPr>
            <w:r w:rsidRPr="00773C04">
              <w:rPr>
                <w:color w:val="000000"/>
                <w:lang w:val="en-GB"/>
              </w:rPr>
              <w:t>-.39</w:t>
            </w:r>
            <w:r w:rsidRPr="00773C04">
              <w:rPr>
                <w:color w:val="000000"/>
                <w:vertAlign w:val="superscript"/>
                <w:lang w:val="en-GB"/>
              </w:rPr>
              <w:t>**</w:t>
            </w:r>
          </w:p>
        </w:tc>
        <w:tc>
          <w:tcPr>
            <w:tcW w:w="0" w:type="auto"/>
            <w:tcBorders>
              <w:top w:val="nil"/>
              <w:bottom w:val="nil"/>
            </w:tcBorders>
          </w:tcPr>
          <w:p w14:paraId="27D521CD" w14:textId="77777777" w:rsidR="00AA0BAA" w:rsidRPr="00773C04" w:rsidRDefault="00AA0BAA" w:rsidP="002906AD">
            <w:pPr>
              <w:tabs>
                <w:tab w:val="decimal" w:pos="440"/>
              </w:tabs>
              <w:jc w:val="both"/>
              <w:rPr>
                <w:color w:val="000000"/>
                <w:lang w:val="en-GB"/>
              </w:rPr>
            </w:pPr>
          </w:p>
        </w:tc>
      </w:tr>
      <w:tr w:rsidR="00AA0BAA" w:rsidRPr="00773C04" w14:paraId="48000474" w14:textId="77777777" w:rsidTr="002906AD">
        <w:trPr>
          <w:trHeight w:val="211"/>
          <w:jc w:val="center"/>
        </w:trPr>
        <w:tc>
          <w:tcPr>
            <w:tcW w:w="0" w:type="auto"/>
            <w:tcBorders>
              <w:top w:val="nil"/>
              <w:bottom w:val="nil"/>
            </w:tcBorders>
          </w:tcPr>
          <w:p w14:paraId="3063C0B3" w14:textId="77777777" w:rsidR="00AA0BAA" w:rsidRPr="00773C04" w:rsidRDefault="00AA0BAA" w:rsidP="002906AD">
            <w:pPr>
              <w:rPr>
                <w:lang w:val="en-GB"/>
              </w:rPr>
            </w:pPr>
            <w:r w:rsidRPr="00773C04">
              <w:rPr>
                <w:i/>
                <w:lang w:val="en-GB"/>
              </w:rPr>
              <w:t>Outcome variable</w:t>
            </w:r>
          </w:p>
        </w:tc>
        <w:tc>
          <w:tcPr>
            <w:tcW w:w="0" w:type="auto"/>
            <w:tcBorders>
              <w:top w:val="nil"/>
              <w:bottom w:val="nil"/>
            </w:tcBorders>
          </w:tcPr>
          <w:p w14:paraId="7DE471CF" w14:textId="77777777" w:rsidR="00AA0BAA" w:rsidRPr="00773C04" w:rsidRDefault="00AA0BAA" w:rsidP="002906AD">
            <w:pPr>
              <w:tabs>
                <w:tab w:val="decimal" w:pos="400"/>
              </w:tabs>
              <w:jc w:val="both"/>
              <w:rPr>
                <w:color w:val="000000"/>
                <w:lang w:val="en-GB"/>
              </w:rPr>
            </w:pPr>
          </w:p>
        </w:tc>
        <w:tc>
          <w:tcPr>
            <w:tcW w:w="0" w:type="auto"/>
            <w:tcBorders>
              <w:top w:val="nil"/>
              <w:bottom w:val="nil"/>
            </w:tcBorders>
          </w:tcPr>
          <w:p w14:paraId="3FEF09C9" w14:textId="77777777" w:rsidR="00AA0BAA" w:rsidRPr="00773C04" w:rsidRDefault="00AA0BAA" w:rsidP="002906AD">
            <w:pPr>
              <w:tabs>
                <w:tab w:val="decimal" w:pos="426"/>
              </w:tabs>
              <w:jc w:val="both"/>
              <w:rPr>
                <w:color w:val="000000"/>
                <w:lang w:val="en-GB"/>
              </w:rPr>
            </w:pPr>
          </w:p>
        </w:tc>
        <w:tc>
          <w:tcPr>
            <w:tcW w:w="0" w:type="auto"/>
            <w:tcBorders>
              <w:top w:val="nil"/>
              <w:bottom w:val="nil"/>
            </w:tcBorders>
          </w:tcPr>
          <w:p w14:paraId="505739F6" w14:textId="77777777" w:rsidR="00AA0BAA" w:rsidRPr="00773C04" w:rsidRDefault="00AA0BAA" w:rsidP="002906AD">
            <w:pPr>
              <w:tabs>
                <w:tab w:val="decimal" w:pos="360"/>
              </w:tabs>
              <w:jc w:val="both"/>
              <w:rPr>
                <w:color w:val="000000"/>
                <w:lang w:val="en-GB"/>
              </w:rPr>
            </w:pPr>
          </w:p>
        </w:tc>
        <w:tc>
          <w:tcPr>
            <w:tcW w:w="0" w:type="auto"/>
            <w:tcBorders>
              <w:top w:val="nil"/>
              <w:bottom w:val="nil"/>
            </w:tcBorders>
          </w:tcPr>
          <w:p w14:paraId="3D577952" w14:textId="77777777" w:rsidR="00AA0BAA" w:rsidRPr="00773C04" w:rsidRDefault="00AA0BAA" w:rsidP="002906AD">
            <w:pPr>
              <w:tabs>
                <w:tab w:val="decimal" w:pos="508"/>
              </w:tabs>
              <w:jc w:val="both"/>
              <w:rPr>
                <w:color w:val="000000"/>
                <w:lang w:val="en-GB"/>
              </w:rPr>
            </w:pPr>
          </w:p>
        </w:tc>
        <w:tc>
          <w:tcPr>
            <w:tcW w:w="0" w:type="auto"/>
            <w:tcBorders>
              <w:top w:val="nil"/>
              <w:bottom w:val="nil"/>
            </w:tcBorders>
          </w:tcPr>
          <w:p w14:paraId="5FD6084B" w14:textId="77777777" w:rsidR="00AA0BAA" w:rsidRPr="00773C04" w:rsidRDefault="00AA0BAA" w:rsidP="002906AD">
            <w:pPr>
              <w:tabs>
                <w:tab w:val="decimal" w:pos="482"/>
              </w:tabs>
              <w:jc w:val="both"/>
              <w:rPr>
                <w:color w:val="000000"/>
                <w:lang w:val="en-GB"/>
              </w:rPr>
            </w:pPr>
          </w:p>
        </w:tc>
        <w:tc>
          <w:tcPr>
            <w:tcW w:w="0" w:type="auto"/>
            <w:tcBorders>
              <w:top w:val="nil"/>
              <w:bottom w:val="nil"/>
            </w:tcBorders>
          </w:tcPr>
          <w:p w14:paraId="3109065B" w14:textId="77777777" w:rsidR="00AA0BAA" w:rsidRPr="00773C04" w:rsidRDefault="00AA0BAA" w:rsidP="002906AD">
            <w:pPr>
              <w:tabs>
                <w:tab w:val="decimal" w:pos="440"/>
              </w:tabs>
              <w:jc w:val="both"/>
              <w:rPr>
                <w:color w:val="000000"/>
                <w:lang w:val="en-GB"/>
              </w:rPr>
            </w:pPr>
          </w:p>
        </w:tc>
        <w:tc>
          <w:tcPr>
            <w:tcW w:w="0" w:type="auto"/>
            <w:tcBorders>
              <w:top w:val="nil"/>
              <w:bottom w:val="nil"/>
            </w:tcBorders>
          </w:tcPr>
          <w:p w14:paraId="4245941F" w14:textId="77777777" w:rsidR="00AA0BAA" w:rsidRPr="00773C04" w:rsidRDefault="00AA0BAA" w:rsidP="002906AD">
            <w:pPr>
              <w:tabs>
                <w:tab w:val="decimal" w:pos="400"/>
              </w:tabs>
              <w:jc w:val="both"/>
              <w:rPr>
                <w:color w:val="000000"/>
                <w:lang w:val="en-GB"/>
              </w:rPr>
            </w:pPr>
          </w:p>
        </w:tc>
        <w:tc>
          <w:tcPr>
            <w:tcW w:w="0" w:type="auto"/>
            <w:tcBorders>
              <w:top w:val="nil"/>
              <w:bottom w:val="nil"/>
            </w:tcBorders>
          </w:tcPr>
          <w:p w14:paraId="0250328C" w14:textId="77777777" w:rsidR="00AA0BAA" w:rsidRPr="00773C04" w:rsidRDefault="00AA0BAA" w:rsidP="002906AD">
            <w:pPr>
              <w:tabs>
                <w:tab w:val="decimal" w:pos="440"/>
              </w:tabs>
              <w:jc w:val="both"/>
              <w:rPr>
                <w:color w:val="000000"/>
                <w:lang w:val="en-GB"/>
              </w:rPr>
            </w:pPr>
          </w:p>
        </w:tc>
        <w:tc>
          <w:tcPr>
            <w:tcW w:w="0" w:type="auto"/>
            <w:tcBorders>
              <w:top w:val="nil"/>
              <w:bottom w:val="nil"/>
            </w:tcBorders>
          </w:tcPr>
          <w:p w14:paraId="59AFCAB2" w14:textId="77777777" w:rsidR="00AA0BAA" w:rsidRPr="00773C04" w:rsidRDefault="00AA0BAA" w:rsidP="002906AD">
            <w:pPr>
              <w:tabs>
                <w:tab w:val="decimal" w:pos="440"/>
              </w:tabs>
              <w:jc w:val="both"/>
              <w:rPr>
                <w:color w:val="000000"/>
                <w:lang w:val="en-GB"/>
              </w:rPr>
            </w:pPr>
          </w:p>
        </w:tc>
      </w:tr>
      <w:tr w:rsidR="00AA0BAA" w:rsidRPr="00773C04" w14:paraId="484B6939" w14:textId="77777777" w:rsidTr="002906AD">
        <w:trPr>
          <w:trHeight w:val="211"/>
          <w:jc w:val="center"/>
        </w:trPr>
        <w:tc>
          <w:tcPr>
            <w:tcW w:w="0" w:type="auto"/>
            <w:tcBorders>
              <w:top w:val="nil"/>
            </w:tcBorders>
          </w:tcPr>
          <w:p w14:paraId="43B7B54D" w14:textId="77777777" w:rsidR="00AA0BAA" w:rsidRPr="00773C04" w:rsidRDefault="00AA0BAA" w:rsidP="002906AD">
            <w:pPr>
              <w:ind w:firstLine="321"/>
              <w:rPr>
                <w:lang w:val="en-GB"/>
              </w:rPr>
            </w:pPr>
            <w:r w:rsidRPr="00773C04">
              <w:rPr>
                <w:lang w:val="en-GB"/>
              </w:rPr>
              <w:t>(10) GPA</w:t>
            </w:r>
          </w:p>
        </w:tc>
        <w:tc>
          <w:tcPr>
            <w:tcW w:w="0" w:type="auto"/>
            <w:tcBorders>
              <w:top w:val="nil"/>
            </w:tcBorders>
          </w:tcPr>
          <w:p w14:paraId="79B318AC" w14:textId="77777777" w:rsidR="00AA0BAA" w:rsidRPr="00773C04" w:rsidRDefault="00AA0BAA" w:rsidP="002906AD">
            <w:pPr>
              <w:tabs>
                <w:tab w:val="decimal" w:pos="400"/>
              </w:tabs>
              <w:jc w:val="both"/>
              <w:rPr>
                <w:color w:val="000000"/>
                <w:lang w:val="en-GB"/>
              </w:rPr>
            </w:pPr>
            <w:r w:rsidRPr="00773C04">
              <w:rPr>
                <w:color w:val="000000"/>
                <w:lang w:val="en-GB"/>
              </w:rPr>
              <w:t>.17</w:t>
            </w:r>
            <w:r w:rsidRPr="00773C04">
              <w:rPr>
                <w:color w:val="000000"/>
                <w:vertAlign w:val="superscript"/>
                <w:lang w:val="en-GB"/>
              </w:rPr>
              <w:t>**</w:t>
            </w:r>
          </w:p>
        </w:tc>
        <w:tc>
          <w:tcPr>
            <w:tcW w:w="0" w:type="auto"/>
            <w:tcBorders>
              <w:top w:val="nil"/>
            </w:tcBorders>
          </w:tcPr>
          <w:p w14:paraId="66C6662F" w14:textId="77777777" w:rsidR="00AA0BAA" w:rsidRPr="00773C04" w:rsidRDefault="00AA0BAA" w:rsidP="002906AD">
            <w:pPr>
              <w:tabs>
                <w:tab w:val="decimal" w:pos="426"/>
              </w:tabs>
              <w:jc w:val="both"/>
              <w:rPr>
                <w:color w:val="000000"/>
                <w:lang w:val="en-GB"/>
              </w:rPr>
            </w:pPr>
            <w:r w:rsidRPr="00773C04">
              <w:rPr>
                <w:color w:val="000000"/>
                <w:lang w:val="en-GB"/>
              </w:rPr>
              <w:t>.12</w:t>
            </w:r>
            <w:r w:rsidRPr="00773C04">
              <w:rPr>
                <w:color w:val="000000"/>
                <w:vertAlign w:val="superscript"/>
                <w:lang w:val="en-GB"/>
              </w:rPr>
              <w:t>**</w:t>
            </w:r>
          </w:p>
        </w:tc>
        <w:tc>
          <w:tcPr>
            <w:tcW w:w="0" w:type="auto"/>
            <w:tcBorders>
              <w:top w:val="nil"/>
            </w:tcBorders>
          </w:tcPr>
          <w:p w14:paraId="644B01E6" w14:textId="77777777" w:rsidR="00AA0BAA" w:rsidRPr="00773C04" w:rsidRDefault="00AA0BAA" w:rsidP="002906AD">
            <w:pPr>
              <w:tabs>
                <w:tab w:val="decimal" w:pos="360"/>
              </w:tabs>
              <w:jc w:val="both"/>
              <w:rPr>
                <w:color w:val="000000"/>
                <w:lang w:val="en-GB"/>
              </w:rPr>
            </w:pPr>
            <w:r w:rsidRPr="00773C04">
              <w:rPr>
                <w:color w:val="000000"/>
                <w:lang w:val="en-GB"/>
              </w:rPr>
              <w:t>.36</w:t>
            </w:r>
            <w:r w:rsidRPr="00773C04">
              <w:rPr>
                <w:color w:val="000000"/>
                <w:vertAlign w:val="superscript"/>
                <w:lang w:val="en-GB"/>
              </w:rPr>
              <w:t>**</w:t>
            </w:r>
          </w:p>
        </w:tc>
        <w:tc>
          <w:tcPr>
            <w:tcW w:w="0" w:type="auto"/>
            <w:tcBorders>
              <w:top w:val="nil"/>
            </w:tcBorders>
          </w:tcPr>
          <w:p w14:paraId="2C94B2D1" w14:textId="77777777" w:rsidR="00AA0BAA" w:rsidRPr="00773C04" w:rsidRDefault="00AA0BAA" w:rsidP="002906AD">
            <w:pPr>
              <w:tabs>
                <w:tab w:val="decimal" w:pos="508"/>
              </w:tabs>
              <w:jc w:val="both"/>
              <w:rPr>
                <w:color w:val="000000"/>
                <w:lang w:val="en-GB"/>
              </w:rPr>
            </w:pPr>
            <w:r w:rsidRPr="00773C04">
              <w:rPr>
                <w:color w:val="000000"/>
                <w:lang w:val="en-GB"/>
              </w:rPr>
              <w:t>-.09</w:t>
            </w:r>
            <w:r w:rsidRPr="00773C04">
              <w:rPr>
                <w:color w:val="000000"/>
                <w:vertAlign w:val="superscript"/>
                <w:lang w:val="en-GB"/>
              </w:rPr>
              <w:t>*</w:t>
            </w:r>
          </w:p>
        </w:tc>
        <w:tc>
          <w:tcPr>
            <w:tcW w:w="0" w:type="auto"/>
            <w:tcBorders>
              <w:top w:val="nil"/>
            </w:tcBorders>
          </w:tcPr>
          <w:p w14:paraId="5F9CC2BB" w14:textId="77777777" w:rsidR="00AA0BAA" w:rsidRPr="00773C04" w:rsidRDefault="00AA0BAA" w:rsidP="002906AD">
            <w:pPr>
              <w:tabs>
                <w:tab w:val="decimal" w:pos="482"/>
              </w:tabs>
              <w:jc w:val="both"/>
              <w:rPr>
                <w:color w:val="000000"/>
                <w:lang w:val="en-GB"/>
              </w:rPr>
            </w:pPr>
            <w:r w:rsidRPr="00773C04">
              <w:rPr>
                <w:color w:val="000000"/>
                <w:lang w:val="en-GB"/>
              </w:rPr>
              <w:t>.25</w:t>
            </w:r>
            <w:r w:rsidRPr="00773C04">
              <w:rPr>
                <w:color w:val="000000"/>
                <w:vertAlign w:val="superscript"/>
                <w:lang w:val="en-GB"/>
              </w:rPr>
              <w:t>**</w:t>
            </w:r>
          </w:p>
        </w:tc>
        <w:tc>
          <w:tcPr>
            <w:tcW w:w="0" w:type="auto"/>
            <w:tcBorders>
              <w:top w:val="nil"/>
            </w:tcBorders>
          </w:tcPr>
          <w:p w14:paraId="1BE772BA" w14:textId="77777777" w:rsidR="00AA0BAA" w:rsidRPr="00773C04" w:rsidRDefault="00AA0BAA" w:rsidP="002906AD">
            <w:pPr>
              <w:tabs>
                <w:tab w:val="decimal" w:pos="440"/>
              </w:tabs>
              <w:jc w:val="both"/>
              <w:rPr>
                <w:color w:val="000000"/>
                <w:lang w:val="en-GB"/>
              </w:rPr>
            </w:pPr>
            <w:r w:rsidRPr="00773C04">
              <w:rPr>
                <w:color w:val="000000"/>
                <w:lang w:val="en-GB"/>
              </w:rPr>
              <w:t>-.26</w:t>
            </w:r>
            <w:r w:rsidRPr="00773C04">
              <w:rPr>
                <w:color w:val="000000"/>
                <w:vertAlign w:val="superscript"/>
                <w:lang w:val="en-GB"/>
              </w:rPr>
              <w:t>**</w:t>
            </w:r>
          </w:p>
        </w:tc>
        <w:tc>
          <w:tcPr>
            <w:tcW w:w="0" w:type="auto"/>
            <w:tcBorders>
              <w:top w:val="nil"/>
            </w:tcBorders>
          </w:tcPr>
          <w:p w14:paraId="1929078A" w14:textId="77777777" w:rsidR="00AA0BAA" w:rsidRPr="00773C04" w:rsidRDefault="00AA0BAA" w:rsidP="002906AD">
            <w:pPr>
              <w:tabs>
                <w:tab w:val="decimal" w:pos="400"/>
              </w:tabs>
              <w:jc w:val="both"/>
              <w:rPr>
                <w:color w:val="000000"/>
                <w:lang w:val="en-GB"/>
              </w:rPr>
            </w:pPr>
            <w:r w:rsidRPr="00773C04">
              <w:rPr>
                <w:color w:val="000000"/>
                <w:lang w:val="en-GB"/>
              </w:rPr>
              <w:t>.46</w:t>
            </w:r>
            <w:r w:rsidRPr="00773C04">
              <w:rPr>
                <w:color w:val="000000"/>
                <w:vertAlign w:val="superscript"/>
                <w:lang w:val="en-GB"/>
              </w:rPr>
              <w:t>**</w:t>
            </w:r>
          </w:p>
        </w:tc>
        <w:tc>
          <w:tcPr>
            <w:tcW w:w="0" w:type="auto"/>
            <w:tcBorders>
              <w:top w:val="nil"/>
            </w:tcBorders>
          </w:tcPr>
          <w:p w14:paraId="5612F4ED" w14:textId="77777777" w:rsidR="00AA0BAA" w:rsidRPr="00773C04" w:rsidRDefault="00AA0BAA" w:rsidP="002906AD">
            <w:pPr>
              <w:tabs>
                <w:tab w:val="decimal" w:pos="440"/>
              </w:tabs>
              <w:jc w:val="both"/>
              <w:rPr>
                <w:color w:val="000000"/>
                <w:lang w:val="en-GB"/>
              </w:rPr>
            </w:pPr>
            <w:r w:rsidRPr="00773C04">
              <w:rPr>
                <w:color w:val="000000"/>
                <w:lang w:val="en-GB"/>
              </w:rPr>
              <w:t>.19</w:t>
            </w:r>
            <w:r w:rsidRPr="00773C04">
              <w:rPr>
                <w:color w:val="000000"/>
                <w:vertAlign w:val="superscript"/>
                <w:lang w:val="en-GB"/>
              </w:rPr>
              <w:t>**</w:t>
            </w:r>
          </w:p>
        </w:tc>
        <w:tc>
          <w:tcPr>
            <w:tcW w:w="0" w:type="auto"/>
            <w:tcBorders>
              <w:top w:val="nil"/>
            </w:tcBorders>
          </w:tcPr>
          <w:p w14:paraId="304AFFFD" w14:textId="77777777" w:rsidR="00AA0BAA" w:rsidRPr="00773C04" w:rsidRDefault="00AA0BAA" w:rsidP="002906AD">
            <w:pPr>
              <w:tabs>
                <w:tab w:val="decimal" w:pos="440"/>
              </w:tabs>
              <w:jc w:val="both"/>
              <w:rPr>
                <w:color w:val="000000"/>
                <w:lang w:val="en-GB"/>
              </w:rPr>
            </w:pPr>
            <w:r w:rsidRPr="00773C04">
              <w:rPr>
                <w:color w:val="000000"/>
                <w:lang w:val="en-GB"/>
              </w:rPr>
              <w:t>-.34</w:t>
            </w:r>
            <w:r w:rsidRPr="00773C04">
              <w:rPr>
                <w:color w:val="000000"/>
                <w:vertAlign w:val="superscript"/>
                <w:lang w:val="en-GB"/>
              </w:rPr>
              <w:t>**</w:t>
            </w:r>
          </w:p>
        </w:tc>
      </w:tr>
    </w:tbl>
    <w:p w14:paraId="10108128" w14:textId="77777777" w:rsidR="00AA0BAA" w:rsidRPr="00BE019A" w:rsidRDefault="00AA0BAA" w:rsidP="00AA0BAA">
      <w:pPr>
        <w:ind w:firstLine="1701"/>
        <w:rPr>
          <w:i/>
          <w:lang w:val="en-GB"/>
        </w:rPr>
      </w:pPr>
      <w:r w:rsidRPr="0070413D">
        <w:rPr>
          <w:i/>
          <w:lang w:val="en-GB"/>
        </w:rPr>
        <w:t>Note:</w:t>
      </w:r>
      <w:r w:rsidRPr="00BE019A">
        <w:rPr>
          <w:i/>
          <w:lang w:val="en-GB"/>
        </w:rPr>
        <w:t xml:space="preserve"> *</w:t>
      </w:r>
      <w:r w:rsidRPr="0070413D">
        <w:rPr>
          <w:i/>
          <w:lang w:val="en-GB"/>
        </w:rPr>
        <w:t>p</w:t>
      </w:r>
      <w:r w:rsidRPr="00BE019A">
        <w:rPr>
          <w:i/>
          <w:lang w:val="en-GB"/>
        </w:rPr>
        <w:t xml:space="preserve"> &lt; .05; **</w:t>
      </w:r>
      <w:r w:rsidRPr="0070413D">
        <w:rPr>
          <w:i/>
          <w:lang w:val="en-GB"/>
        </w:rPr>
        <w:t>p</w:t>
      </w:r>
      <w:r w:rsidRPr="00BE019A">
        <w:rPr>
          <w:i/>
          <w:lang w:val="en-GB"/>
        </w:rPr>
        <w:t xml:space="preserve"> &lt; .01.</w:t>
      </w:r>
    </w:p>
    <w:p w14:paraId="6437A004" w14:textId="77777777" w:rsidR="00AA0BAA" w:rsidRPr="00773C04" w:rsidRDefault="00AA0BAA" w:rsidP="00AA0BAA">
      <w:pPr>
        <w:ind w:firstLine="1701"/>
        <w:rPr>
          <w:lang w:val="en-GB"/>
        </w:rPr>
      </w:pPr>
    </w:p>
    <w:p w14:paraId="4502940B" w14:textId="77777777" w:rsidR="00AA0BAA" w:rsidRPr="00773C04" w:rsidRDefault="00AA0BAA" w:rsidP="00AA0BAA">
      <w:pPr>
        <w:ind w:firstLine="1701"/>
        <w:rPr>
          <w:lang w:val="en-GB"/>
        </w:rPr>
      </w:pPr>
    </w:p>
    <w:p w14:paraId="0EF634A1" w14:textId="77777777" w:rsidR="00AA0BAA" w:rsidRPr="00773C04" w:rsidRDefault="00AA0BAA" w:rsidP="00AA0BAA">
      <w:pPr>
        <w:ind w:firstLine="1701"/>
        <w:rPr>
          <w:lang w:val="en-GB"/>
        </w:rPr>
      </w:pPr>
    </w:p>
    <w:p w14:paraId="164DB4AC" w14:textId="77777777" w:rsidR="00AA0BAA" w:rsidRPr="00773C04" w:rsidRDefault="00AA0BAA" w:rsidP="00AA0BAA">
      <w:pPr>
        <w:ind w:firstLine="1701"/>
        <w:rPr>
          <w:lang w:val="en-GB"/>
        </w:rPr>
        <w:sectPr w:rsidR="00AA0BAA" w:rsidRPr="00773C04" w:rsidSect="002B72E5">
          <w:pgSz w:w="16838" w:h="11906" w:orient="landscape"/>
          <w:pgMar w:top="1417" w:right="1417" w:bottom="1417" w:left="1417" w:header="708" w:footer="708" w:gutter="0"/>
          <w:cols w:space="708"/>
          <w:docGrid w:linePitch="360"/>
        </w:sectPr>
      </w:pPr>
    </w:p>
    <w:p w14:paraId="3E18D618" w14:textId="77777777" w:rsidR="00AA0BAA" w:rsidRPr="00FF4265" w:rsidRDefault="00AA0BAA" w:rsidP="00AA0BAA">
      <w:pPr>
        <w:spacing w:before="240" w:line="360" w:lineRule="auto"/>
        <w:jc w:val="both"/>
        <w:rPr>
          <w:i/>
          <w:lang w:val="en-GB"/>
        </w:rPr>
      </w:pPr>
      <w:r w:rsidRPr="00773C04">
        <w:rPr>
          <w:i/>
          <w:lang w:val="en-GB"/>
        </w:rPr>
        <w:lastRenderedPageBreak/>
        <w:t>Mediation</w:t>
      </w:r>
      <w:r>
        <w:rPr>
          <w:i/>
          <w:lang w:val="en-GB"/>
        </w:rPr>
        <w:t xml:space="preserve"> analysis</w:t>
      </w:r>
      <w:r w:rsidRPr="00FF4265">
        <w:rPr>
          <w:i/>
          <w:lang w:val="en-GB"/>
        </w:rPr>
        <w:t xml:space="preserve"> of the relationship between personality and GPA </w:t>
      </w:r>
    </w:p>
    <w:p w14:paraId="74808E7D" w14:textId="5726E222" w:rsidR="0018698D" w:rsidRDefault="0018698D" w:rsidP="0018698D">
      <w:pPr>
        <w:spacing w:before="240" w:line="360" w:lineRule="auto"/>
        <w:jc w:val="both"/>
        <w:rPr>
          <w:lang w:val="en-GB"/>
        </w:rPr>
      </w:pPr>
      <w:r w:rsidRPr="00FF4265">
        <w:rPr>
          <w:lang w:val="en-GB"/>
        </w:rPr>
        <w:t xml:space="preserve">As can be seen from Table 3, significant </w:t>
      </w:r>
      <w:r w:rsidR="00816DFA">
        <w:rPr>
          <w:lang w:val="en-GB"/>
        </w:rPr>
        <w:t>regressors</w:t>
      </w:r>
      <w:r w:rsidRPr="00FF4265">
        <w:rPr>
          <w:lang w:val="en-GB"/>
        </w:rPr>
        <w:t xml:space="preserve"> o</w:t>
      </w:r>
      <w:r w:rsidR="00816DFA">
        <w:rPr>
          <w:lang w:val="en-GB"/>
        </w:rPr>
        <w:t>n</w:t>
      </w:r>
      <w:r w:rsidRPr="00FF4265">
        <w:rPr>
          <w:lang w:val="en-GB"/>
        </w:rPr>
        <w:t xml:space="preserve"> GPA include gender (</w:t>
      </w:r>
      <w:r w:rsidRPr="00FF4265">
        <w:rPr>
          <w:i/>
          <w:lang w:val="en-GB"/>
        </w:rPr>
        <w:t>β</w:t>
      </w:r>
      <w:r w:rsidRPr="001D6F40">
        <w:rPr>
          <w:lang w:val="en-GB"/>
        </w:rPr>
        <w:t>=-</w:t>
      </w:r>
      <w:r w:rsidRPr="00773C04">
        <w:rPr>
          <w:lang w:val="en-GB"/>
        </w:rPr>
        <w:t xml:space="preserve">.296; </w:t>
      </w:r>
      <w:r w:rsidRPr="00773C04">
        <w:rPr>
          <w:i/>
          <w:lang w:val="en-GB"/>
        </w:rPr>
        <w:t>p</w:t>
      </w:r>
      <w:r w:rsidRPr="00773C04">
        <w:rPr>
          <w:lang w:val="en-GB"/>
        </w:rPr>
        <w:t>&lt;0.01), conscientiousness (</w:t>
      </w:r>
      <w:r w:rsidRPr="00773C04">
        <w:rPr>
          <w:i/>
          <w:lang w:val="en-GB"/>
        </w:rPr>
        <w:t>β</w:t>
      </w:r>
      <w:r w:rsidRPr="00773C04">
        <w:rPr>
          <w:lang w:val="en-GB"/>
        </w:rPr>
        <w:t xml:space="preserve">=.149; </w:t>
      </w:r>
      <w:r w:rsidRPr="00773C04">
        <w:rPr>
          <w:i/>
          <w:lang w:val="en-GB"/>
        </w:rPr>
        <w:t>p</w:t>
      </w:r>
      <w:r w:rsidRPr="00773C04">
        <w:rPr>
          <w:lang w:val="en-GB"/>
        </w:rPr>
        <w:t xml:space="preserve">&lt;0.05), </w:t>
      </w:r>
      <w:r w:rsidR="00ED289C" w:rsidRPr="0018698D">
        <w:rPr>
          <w:lang w:val="en-GB"/>
        </w:rPr>
        <w:t xml:space="preserve">academic </w:t>
      </w:r>
      <w:r w:rsidR="00ED289C">
        <w:rPr>
          <w:lang w:val="en-GB"/>
        </w:rPr>
        <w:t>self-</w:t>
      </w:r>
      <w:r w:rsidR="00ED289C" w:rsidRPr="0018698D">
        <w:rPr>
          <w:lang w:val="en-GB"/>
        </w:rPr>
        <w:t>efficacy</w:t>
      </w:r>
      <w:r w:rsidRPr="00773C04">
        <w:rPr>
          <w:lang w:val="en-GB"/>
        </w:rPr>
        <w:t xml:space="preserve"> (</w:t>
      </w:r>
      <w:r w:rsidRPr="00773C04">
        <w:rPr>
          <w:i/>
          <w:lang w:val="en-GB"/>
        </w:rPr>
        <w:t>β</w:t>
      </w:r>
      <w:r w:rsidRPr="00773C04">
        <w:rPr>
          <w:lang w:val="en-GB"/>
        </w:rPr>
        <w:t xml:space="preserve">=.338; </w:t>
      </w:r>
      <w:r w:rsidRPr="00773C04">
        <w:rPr>
          <w:i/>
          <w:lang w:val="en-GB"/>
        </w:rPr>
        <w:t>p</w:t>
      </w:r>
      <w:r w:rsidRPr="00773C04">
        <w:rPr>
          <w:lang w:val="en-GB"/>
        </w:rPr>
        <w:t>&lt;0.01) and protecting self-esteem (</w:t>
      </w:r>
      <w:r w:rsidRPr="00773C04">
        <w:rPr>
          <w:i/>
          <w:lang w:val="en-GB"/>
        </w:rPr>
        <w:t>β</w:t>
      </w:r>
      <w:r w:rsidRPr="00773C04">
        <w:rPr>
          <w:lang w:val="en-GB"/>
        </w:rPr>
        <w:t xml:space="preserve">=-.178; </w:t>
      </w:r>
      <w:r w:rsidRPr="00773C04">
        <w:rPr>
          <w:i/>
          <w:lang w:val="en-GB"/>
        </w:rPr>
        <w:t>p</w:t>
      </w:r>
      <w:r w:rsidRPr="00773C04">
        <w:rPr>
          <w:lang w:val="en-GB"/>
        </w:rPr>
        <w:t>&lt;0.01). Girls have higher GPA than boys. More conscientious students and students who perceive themselves as academically efficient also have higher GPA. On the other hand, students who tend to use motivational learning strategies aimed at protecting self-esteem have lower GPA.</w:t>
      </w:r>
      <w:r>
        <w:rPr>
          <w:lang w:val="en-GB"/>
        </w:rPr>
        <w:t xml:space="preserve"> More than one-third of variance in GPA can be explained by the combination of these variables.</w:t>
      </w:r>
      <w:r w:rsidRPr="00773C04" w:rsidDel="00E50E13">
        <w:rPr>
          <w:lang w:val="en-GB"/>
        </w:rPr>
        <w:t xml:space="preserve"> </w:t>
      </w:r>
      <w:r w:rsidRPr="00773C04">
        <w:rPr>
          <w:lang w:val="en-GB"/>
        </w:rPr>
        <w:t xml:space="preserve">Furthermore, </w:t>
      </w:r>
      <w:r>
        <w:rPr>
          <w:lang w:val="en-GB"/>
        </w:rPr>
        <w:t>c</w:t>
      </w:r>
      <w:r w:rsidRPr="00615AED">
        <w:rPr>
          <w:lang w:val="en-GB"/>
        </w:rPr>
        <w:t xml:space="preserve">onscientious and </w:t>
      </w:r>
      <w:r>
        <w:rPr>
          <w:lang w:val="en-GB"/>
        </w:rPr>
        <w:t xml:space="preserve">open students report higher estimates of </w:t>
      </w:r>
      <w:r w:rsidR="00ED289C" w:rsidRPr="0018698D">
        <w:rPr>
          <w:lang w:val="en-GB"/>
        </w:rPr>
        <w:t xml:space="preserve">academic </w:t>
      </w:r>
      <w:r w:rsidR="00ED289C">
        <w:rPr>
          <w:lang w:val="en-GB"/>
        </w:rPr>
        <w:t>self-</w:t>
      </w:r>
      <w:r w:rsidR="00ED289C" w:rsidRPr="0018698D">
        <w:rPr>
          <w:lang w:val="en-GB"/>
        </w:rPr>
        <w:t>efficacy</w:t>
      </w:r>
      <w:r>
        <w:rPr>
          <w:lang w:val="en-GB"/>
        </w:rPr>
        <w:t xml:space="preserve"> (</w:t>
      </w:r>
      <w:r w:rsidRPr="002C72BA">
        <w:rPr>
          <w:i/>
          <w:lang w:val="en-GB"/>
        </w:rPr>
        <w:t>β</w:t>
      </w:r>
      <w:r w:rsidRPr="002C72BA">
        <w:rPr>
          <w:lang w:val="en-GB"/>
        </w:rPr>
        <w:t>=.</w:t>
      </w:r>
      <w:r w:rsidRPr="004D75D9">
        <w:rPr>
          <w:lang w:val="en-GB"/>
        </w:rPr>
        <w:t>433</w:t>
      </w:r>
      <w:r w:rsidRPr="002C72BA">
        <w:rPr>
          <w:lang w:val="en-GB"/>
        </w:rPr>
        <w:t xml:space="preserve">; </w:t>
      </w:r>
      <w:r w:rsidRPr="002C72BA">
        <w:rPr>
          <w:i/>
          <w:lang w:val="en-GB"/>
        </w:rPr>
        <w:t>p</w:t>
      </w:r>
      <w:r w:rsidRPr="002C72BA">
        <w:rPr>
          <w:lang w:val="en-GB"/>
        </w:rPr>
        <w:t>&lt;0.01</w:t>
      </w:r>
      <w:r>
        <w:rPr>
          <w:lang w:val="en-GB"/>
        </w:rPr>
        <w:t xml:space="preserve"> and </w:t>
      </w:r>
      <w:r w:rsidRPr="002C72BA">
        <w:rPr>
          <w:i/>
          <w:lang w:val="en-GB"/>
        </w:rPr>
        <w:t>β</w:t>
      </w:r>
      <w:r w:rsidRPr="002C72BA">
        <w:rPr>
          <w:lang w:val="en-GB"/>
        </w:rPr>
        <w:t>=.2</w:t>
      </w:r>
      <w:r>
        <w:rPr>
          <w:lang w:val="en-GB"/>
        </w:rPr>
        <w:t>02</w:t>
      </w:r>
      <w:r w:rsidRPr="002C72BA">
        <w:rPr>
          <w:lang w:val="en-GB"/>
        </w:rPr>
        <w:t xml:space="preserve">; </w:t>
      </w:r>
      <w:r w:rsidRPr="002C72BA">
        <w:rPr>
          <w:i/>
          <w:lang w:val="en-GB"/>
        </w:rPr>
        <w:t>p</w:t>
      </w:r>
      <w:r w:rsidRPr="002C72BA">
        <w:rPr>
          <w:lang w:val="en-GB"/>
        </w:rPr>
        <w:t>&lt;0.01</w:t>
      </w:r>
      <w:r>
        <w:rPr>
          <w:lang w:val="en-GB"/>
        </w:rPr>
        <w:t>, respectively). C</w:t>
      </w:r>
      <w:r w:rsidRPr="00615AED">
        <w:rPr>
          <w:lang w:val="en-GB"/>
        </w:rPr>
        <w:t xml:space="preserve">onscientious and </w:t>
      </w:r>
      <w:r>
        <w:rPr>
          <w:lang w:val="en-GB"/>
        </w:rPr>
        <w:t>agreeable students are more likely to use motivational learning strategies of p</w:t>
      </w:r>
      <w:r w:rsidRPr="00A929FF">
        <w:rPr>
          <w:lang w:val="en-GB"/>
        </w:rPr>
        <w:t>romoting learning process</w:t>
      </w:r>
      <w:r>
        <w:rPr>
          <w:lang w:val="en-GB"/>
        </w:rPr>
        <w:t xml:space="preserve"> (</w:t>
      </w:r>
      <w:r w:rsidRPr="002C72BA">
        <w:rPr>
          <w:i/>
          <w:lang w:val="en-GB"/>
        </w:rPr>
        <w:t>β</w:t>
      </w:r>
      <w:r w:rsidRPr="002C72BA">
        <w:rPr>
          <w:lang w:val="en-GB"/>
        </w:rPr>
        <w:t>=</w:t>
      </w:r>
      <w:r w:rsidRPr="002960C8">
        <w:rPr>
          <w:lang w:val="en-GB"/>
        </w:rPr>
        <w:t>.446</w:t>
      </w:r>
      <w:r w:rsidRPr="002C72BA">
        <w:rPr>
          <w:lang w:val="en-GB"/>
        </w:rPr>
        <w:t xml:space="preserve">; </w:t>
      </w:r>
      <w:r w:rsidRPr="002C72BA">
        <w:rPr>
          <w:i/>
          <w:lang w:val="en-GB"/>
        </w:rPr>
        <w:t>p</w:t>
      </w:r>
      <w:r w:rsidRPr="002C72BA">
        <w:rPr>
          <w:lang w:val="en-GB"/>
        </w:rPr>
        <w:t>&lt;0.01</w:t>
      </w:r>
      <w:r>
        <w:rPr>
          <w:lang w:val="en-GB"/>
        </w:rPr>
        <w:t xml:space="preserve">; and </w:t>
      </w:r>
      <w:r w:rsidRPr="002C72BA">
        <w:rPr>
          <w:i/>
          <w:lang w:val="en-GB"/>
        </w:rPr>
        <w:t>β</w:t>
      </w:r>
      <w:r w:rsidRPr="002C72BA">
        <w:rPr>
          <w:lang w:val="en-GB"/>
        </w:rPr>
        <w:t>=</w:t>
      </w:r>
      <w:r w:rsidRPr="002960C8">
        <w:rPr>
          <w:lang w:val="en-GB"/>
        </w:rPr>
        <w:t>.174</w:t>
      </w:r>
      <w:r w:rsidRPr="002C72BA">
        <w:rPr>
          <w:lang w:val="en-GB"/>
        </w:rPr>
        <w:t xml:space="preserve">; </w:t>
      </w:r>
      <w:r w:rsidRPr="002C72BA">
        <w:rPr>
          <w:i/>
          <w:lang w:val="en-GB"/>
        </w:rPr>
        <w:t>p</w:t>
      </w:r>
      <w:r w:rsidRPr="002C72BA">
        <w:rPr>
          <w:lang w:val="en-GB"/>
        </w:rPr>
        <w:t>&lt;0.01</w:t>
      </w:r>
      <w:r>
        <w:rPr>
          <w:lang w:val="en-GB"/>
        </w:rPr>
        <w:t>, respectively). On the other hand, c</w:t>
      </w:r>
      <w:r w:rsidRPr="00615AED">
        <w:rPr>
          <w:lang w:val="en-GB"/>
        </w:rPr>
        <w:t xml:space="preserve">onscientious and </w:t>
      </w:r>
      <w:r>
        <w:rPr>
          <w:lang w:val="en-GB"/>
        </w:rPr>
        <w:t xml:space="preserve">agreeable students, as well as the students of high </w:t>
      </w:r>
      <w:r w:rsidR="00ED289C" w:rsidRPr="0018698D">
        <w:rPr>
          <w:lang w:val="en-GB"/>
        </w:rPr>
        <w:t xml:space="preserve">academic </w:t>
      </w:r>
      <w:r w:rsidR="00ED289C">
        <w:rPr>
          <w:lang w:val="en-GB"/>
        </w:rPr>
        <w:t>self-</w:t>
      </w:r>
      <w:r w:rsidR="00ED289C" w:rsidRPr="0018698D">
        <w:rPr>
          <w:lang w:val="en-GB"/>
        </w:rPr>
        <w:t>efficacy</w:t>
      </w:r>
      <w:r>
        <w:rPr>
          <w:lang w:val="en-GB"/>
        </w:rPr>
        <w:t>, are more likely to avoid strategies of protecting self-esteem (</w:t>
      </w:r>
      <w:r w:rsidRPr="002C72BA">
        <w:rPr>
          <w:i/>
          <w:lang w:val="en-GB"/>
        </w:rPr>
        <w:t>β</w:t>
      </w:r>
      <w:r w:rsidRPr="002C72BA">
        <w:rPr>
          <w:lang w:val="en-GB"/>
        </w:rPr>
        <w:t>=-.</w:t>
      </w:r>
      <w:r w:rsidRPr="0052587C">
        <w:rPr>
          <w:lang w:val="en-GB"/>
        </w:rPr>
        <w:t>289</w:t>
      </w:r>
      <w:r w:rsidRPr="002C72BA">
        <w:rPr>
          <w:lang w:val="en-GB"/>
        </w:rPr>
        <w:t xml:space="preserve">; </w:t>
      </w:r>
      <w:r w:rsidRPr="002C72BA">
        <w:rPr>
          <w:i/>
          <w:lang w:val="en-GB"/>
        </w:rPr>
        <w:t>p</w:t>
      </w:r>
      <w:r w:rsidRPr="002C72BA">
        <w:rPr>
          <w:lang w:val="en-GB"/>
        </w:rPr>
        <w:t>&lt;0.01</w:t>
      </w:r>
      <w:r>
        <w:rPr>
          <w:lang w:val="en-GB"/>
        </w:rPr>
        <w:t xml:space="preserve">; </w:t>
      </w:r>
      <w:r w:rsidRPr="002C72BA">
        <w:rPr>
          <w:i/>
          <w:lang w:val="en-GB"/>
        </w:rPr>
        <w:t>β</w:t>
      </w:r>
      <w:r w:rsidRPr="002C72BA">
        <w:rPr>
          <w:lang w:val="en-GB"/>
        </w:rPr>
        <w:t>=</w:t>
      </w:r>
      <w:r w:rsidRPr="0052587C">
        <w:rPr>
          <w:lang w:val="en-GB"/>
        </w:rPr>
        <w:t>-.175</w:t>
      </w:r>
      <w:r w:rsidRPr="002C72BA">
        <w:rPr>
          <w:lang w:val="en-GB"/>
        </w:rPr>
        <w:t xml:space="preserve">; </w:t>
      </w:r>
      <w:r w:rsidRPr="002C72BA">
        <w:rPr>
          <w:i/>
          <w:lang w:val="en-GB"/>
        </w:rPr>
        <w:t>p</w:t>
      </w:r>
      <w:r w:rsidRPr="002C72BA">
        <w:rPr>
          <w:lang w:val="en-GB"/>
        </w:rPr>
        <w:t>&lt;0.01</w:t>
      </w:r>
      <w:r>
        <w:rPr>
          <w:lang w:val="en-GB"/>
        </w:rPr>
        <w:t xml:space="preserve">; and </w:t>
      </w:r>
      <w:r w:rsidRPr="002C72BA">
        <w:rPr>
          <w:i/>
          <w:lang w:val="en-GB"/>
        </w:rPr>
        <w:t>β</w:t>
      </w:r>
      <w:r w:rsidRPr="002C72BA">
        <w:rPr>
          <w:lang w:val="en-GB"/>
        </w:rPr>
        <w:t>=</w:t>
      </w:r>
      <w:r w:rsidRPr="0052587C">
        <w:rPr>
          <w:lang w:val="en-GB"/>
        </w:rPr>
        <w:t>-.228</w:t>
      </w:r>
      <w:r w:rsidRPr="002C72BA">
        <w:rPr>
          <w:lang w:val="en-GB"/>
        </w:rPr>
        <w:t xml:space="preserve">; </w:t>
      </w:r>
      <w:r w:rsidRPr="002C72BA">
        <w:rPr>
          <w:i/>
          <w:lang w:val="en-GB"/>
        </w:rPr>
        <w:t>p</w:t>
      </w:r>
      <w:r w:rsidRPr="002C72BA">
        <w:rPr>
          <w:lang w:val="en-GB"/>
        </w:rPr>
        <w:t>&lt;0.01</w:t>
      </w:r>
      <w:r>
        <w:rPr>
          <w:lang w:val="en-GB"/>
        </w:rPr>
        <w:t xml:space="preserve">, respectively). The corresponding linear regression models result in similar shares of explained variance for </w:t>
      </w:r>
      <w:r w:rsidR="00ED289C" w:rsidRPr="0018698D">
        <w:rPr>
          <w:lang w:val="en-GB"/>
        </w:rPr>
        <w:t xml:space="preserve">academic </w:t>
      </w:r>
      <w:r w:rsidR="00ED289C">
        <w:rPr>
          <w:lang w:val="en-GB"/>
        </w:rPr>
        <w:t>self-</w:t>
      </w:r>
      <w:r w:rsidR="00ED289C" w:rsidRPr="0018698D">
        <w:rPr>
          <w:lang w:val="en-GB"/>
        </w:rPr>
        <w:t>efficacy</w:t>
      </w:r>
      <w:r>
        <w:rPr>
          <w:lang w:val="en-GB"/>
        </w:rPr>
        <w:t>, strategies of p</w:t>
      </w:r>
      <w:r w:rsidRPr="00B879AE">
        <w:rPr>
          <w:lang w:val="en-GB"/>
        </w:rPr>
        <w:t>romoting learning process</w:t>
      </w:r>
      <w:r>
        <w:rPr>
          <w:lang w:val="en-GB"/>
        </w:rPr>
        <w:t xml:space="preserve"> and p</w:t>
      </w:r>
      <w:r w:rsidRPr="00B879AE">
        <w:rPr>
          <w:lang w:val="en-GB"/>
        </w:rPr>
        <w:t>rotecting self-esteem</w:t>
      </w:r>
      <w:r>
        <w:rPr>
          <w:lang w:val="en-GB"/>
        </w:rPr>
        <w:t xml:space="preserve"> (28%, 30% and 31%, respectively).</w:t>
      </w:r>
    </w:p>
    <w:p w14:paraId="30A1316E" w14:textId="77777777" w:rsidR="00D043AE" w:rsidRPr="00615AED" w:rsidRDefault="00D043AE" w:rsidP="00AA0BAA">
      <w:pPr>
        <w:spacing w:before="240" w:line="360" w:lineRule="auto"/>
        <w:jc w:val="both"/>
        <w:rPr>
          <w:lang w:val="en-GB"/>
        </w:rPr>
      </w:pPr>
    </w:p>
    <w:p w14:paraId="1986DC1E" w14:textId="77777777" w:rsidR="00AA0BAA" w:rsidRPr="00773C04" w:rsidRDefault="00AA0BAA" w:rsidP="00AA0BAA">
      <w:pPr>
        <w:spacing w:before="240" w:line="360" w:lineRule="auto"/>
        <w:jc w:val="both"/>
        <w:rPr>
          <w:lang w:val="en-GB"/>
        </w:rPr>
      </w:pPr>
    </w:p>
    <w:p w14:paraId="65B728CA" w14:textId="77777777" w:rsidR="00AA0BAA" w:rsidRDefault="00AA0BAA" w:rsidP="00731904">
      <w:pPr>
        <w:spacing w:before="240" w:after="160" w:line="360" w:lineRule="auto"/>
        <w:jc w:val="both"/>
        <w:rPr>
          <w:lang w:val="en-GB"/>
        </w:rPr>
        <w:sectPr w:rsidR="00AA0BAA" w:rsidSect="002906AD">
          <w:pgSz w:w="11906" w:h="16838"/>
          <w:pgMar w:top="1417" w:right="1417" w:bottom="1417" w:left="1417" w:header="708" w:footer="708" w:gutter="0"/>
          <w:cols w:space="708"/>
          <w:docGrid w:linePitch="360"/>
        </w:sectPr>
      </w:pPr>
    </w:p>
    <w:p w14:paraId="2ED4866B" w14:textId="77777777" w:rsidR="0018698D" w:rsidRPr="0018698D" w:rsidRDefault="0018698D" w:rsidP="0018698D">
      <w:pPr>
        <w:pStyle w:val="Caption"/>
        <w:keepNext/>
        <w:jc w:val="center"/>
        <w:rPr>
          <w:rFonts w:ascii="Times New Roman" w:hAnsi="Times New Roman" w:cs="Times New Roman"/>
          <w:i w:val="0"/>
          <w:color w:val="auto"/>
          <w:sz w:val="24"/>
          <w:szCs w:val="24"/>
          <w:lang w:val="en-GB"/>
        </w:rPr>
      </w:pPr>
      <w:bookmarkStart w:id="1" w:name="_Hlk57109735"/>
      <w:r w:rsidRPr="0018698D">
        <w:rPr>
          <w:rFonts w:ascii="Times New Roman" w:hAnsi="Times New Roman" w:cs="Times New Roman"/>
          <w:i w:val="0"/>
          <w:color w:val="auto"/>
          <w:sz w:val="24"/>
          <w:szCs w:val="24"/>
          <w:lang w:val="en-GB"/>
        </w:rPr>
        <w:lastRenderedPageBreak/>
        <w:t>Table 3. Direct effects in the tested model</w:t>
      </w:r>
    </w:p>
    <w:tbl>
      <w:tblPr>
        <w:tblStyle w:val="TableGrid"/>
        <w:tblW w:w="10206"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36"/>
        <w:gridCol w:w="1759"/>
        <w:gridCol w:w="1984"/>
        <w:gridCol w:w="1134"/>
        <w:gridCol w:w="851"/>
        <w:gridCol w:w="1842"/>
      </w:tblGrid>
      <w:tr w:rsidR="0018698D" w:rsidRPr="0018698D" w14:paraId="1F43210E" w14:textId="77777777" w:rsidTr="005D1083">
        <w:trPr>
          <w:jc w:val="center"/>
        </w:trPr>
        <w:tc>
          <w:tcPr>
            <w:tcW w:w="2636" w:type="dxa"/>
          </w:tcPr>
          <w:p w14:paraId="2A358E77" w14:textId="77777777" w:rsidR="0018698D" w:rsidRPr="0018698D" w:rsidRDefault="0018698D" w:rsidP="005D1083">
            <w:pPr>
              <w:jc w:val="center"/>
              <w:rPr>
                <w:b/>
                <w:lang w:val="en-GB"/>
              </w:rPr>
            </w:pPr>
          </w:p>
        </w:tc>
        <w:tc>
          <w:tcPr>
            <w:tcW w:w="7570" w:type="dxa"/>
            <w:gridSpan w:val="5"/>
            <w:vAlign w:val="center"/>
          </w:tcPr>
          <w:p w14:paraId="63A72BAB" w14:textId="77777777" w:rsidR="0018698D" w:rsidRPr="0018698D" w:rsidRDefault="0018698D" w:rsidP="005D1083">
            <w:pPr>
              <w:jc w:val="center"/>
              <w:rPr>
                <w:b/>
                <w:lang w:val="en-GB"/>
              </w:rPr>
            </w:pPr>
            <w:r w:rsidRPr="0018698D">
              <w:rPr>
                <w:b/>
                <w:lang w:val="en-GB"/>
              </w:rPr>
              <w:t>Outcome</w:t>
            </w:r>
          </w:p>
        </w:tc>
      </w:tr>
      <w:tr w:rsidR="0018698D" w:rsidRPr="0018698D" w14:paraId="2D83B928" w14:textId="77777777" w:rsidTr="005D1083">
        <w:trPr>
          <w:jc w:val="center"/>
        </w:trPr>
        <w:tc>
          <w:tcPr>
            <w:tcW w:w="2636" w:type="dxa"/>
            <w:vMerge w:val="restart"/>
          </w:tcPr>
          <w:p w14:paraId="6D57D912" w14:textId="4779EBA1" w:rsidR="0018698D" w:rsidRPr="0018698D" w:rsidRDefault="00816DFA" w:rsidP="005D1083">
            <w:pPr>
              <w:jc w:val="center"/>
              <w:rPr>
                <w:b/>
                <w:lang w:val="en-GB"/>
              </w:rPr>
            </w:pPr>
            <w:r>
              <w:rPr>
                <w:b/>
                <w:lang w:val="en-GB"/>
              </w:rPr>
              <w:t>Regressor</w:t>
            </w:r>
          </w:p>
        </w:tc>
        <w:tc>
          <w:tcPr>
            <w:tcW w:w="1759" w:type="dxa"/>
            <w:vAlign w:val="center"/>
          </w:tcPr>
          <w:p w14:paraId="5E2F7036" w14:textId="20903473" w:rsidR="0018698D" w:rsidRPr="00ED289C" w:rsidRDefault="00ED289C" w:rsidP="005D1083">
            <w:pPr>
              <w:jc w:val="center"/>
              <w:rPr>
                <w:b/>
                <w:lang w:val="en-GB"/>
              </w:rPr>
            </w:pPr>
            <w:r w:rsidRPr="00ED289C">
              <w:rPr>
                <w:b/>
                <w:lang w:val="en-GB"/>
              </w:rPr>
              <w:t>Academic self-efficacy</w:t>
            </w:r>
          </w:p>
        </w:tc>
        <w:tc>
          <w:tcPr>
            <w:tcW w:w="1984" w:type="dxa"/>
          </w:tcPr>
          <w:p w14:paraId="5CF0BE61" w14:textId="77777777" w:rsidR="0018698D" w:rsidRPr="0018698D" w:rsidRDefault="0018698D" w:rsidP="005D1083">
            <w:pPr>
              <w:jc w:val="center"/>
              <w:rPr>
                <w:b/>
                <w:lang w:val="en-GB"/>
              </w:rPr>
            </w:pPr>
            <w:r w:rsidRPr="0018698D">
              <w:rPr>
                <w:b/>
                <w:lang w:val="en-GB"/>
              </w:rPr>
              <w:t>Promoting learning process</w:t>
            </w:r>
          </w:p>
        </w:tc>
        <w:tc>
          <w:tcPr>
            <w:tcW w:w="1985" w:type="dxa"/>
            <w:gridSpan w:val="2"/>
          </w:tcPr>
          <w:p w14:paraId="1AC46542" w14:textId="77777777" w:rsidR="0018698D" w:rsidRPr="0018698D" w:rsidRDefault="0018698D" w:rsidP="005D1083">
            <w:pPr>
              <w:jc w:val="center"/>
              <w:rPr>
                <w:b/>
                <w:lang w:val="en-GB"/>
              </w:rPr>
            </w:pPr>
            <w:r w:rsidRPr="0018698D">
              <w:rPr>
                <w:b/>
                <w:lang w:val="en-GB"/>
              </w:rPr>
              <w:t>Protecting self-esteem</w:t>
            </w:r>
          </w:p>
        </w:tc>
        <w:tc>
          <w:tcPr>
            <w:tcW w:w="1842" w:type="dxa"/>
            <w:vAlign w:val="center"/>
          </w:tcPr>
          <w:p w14:paraId="7B6D5C88" w14:textId="77777777" w:rsidR="0018698D" w:rsidRPr="0018698D" w:rsidRDefault="0018698D" w:rsidP="005D1083">
            <w:pPr>
              <w:jc w:val="center"/>
              <w:rPr>
                <w:b/>
                <w:lang w:val="en-GB"/>
              </w:rPr>
            </w:pPr>
            <w:r w:rsidRPr="0018698D">
              <w:rPr>
                <w:b/>
                <w:lang w:val="en-GB"/>
              </w:rPr>
              <w:t>GPA</w:t>
            </w:r>
          </w:p>
        </w:tc>
      </w:tr>
      <w:tr w:rsidR="0018698D" w:rsidRPr="0018698D" w14:paraId="76A547A7" w14:textId="77777777" w:rsidTr="005D1083">
        <w:trPr>
          <w:jc w:val="center"/>
        </w:trPr>
        <w:tc>
          <w:tcPr>
            <w:tcW w:w="2636" w:type="dxa"/>
            <w:vMerge/>
            <w:vAlign w:val="center"/>
          </w:tcPr>
          <w:p w14:paraId="3162EECD" w14:textId="77777777" w:rsidR="0018698D" w:rsidRPr="0018698D" w:rsidRDefault="0018698D" w:rsidP="005D1083">
            <w:pPr>
              <w:rPr>
                <w:lang w:val="en-GB"/>
              </w:rPr>
            </w:pPr>
          </w:p>
        </w:tc>
        <w:tc>
          <w:tcPr>
            <w:tcW w:w="1759" w:type="dxa"/>
            <w:vAlign w:val="center"/>
          </w:tcPr>
          <w:p w14:paraId="3B6FFBF3" w14:textId="77777777" w:rsidR="0018698D" w:rsidRPr="0018698D" w:rsidRDefault="0018698D" w:rsidP="005D1083">
            <w:pPr>
              <w:jc w:val="center"/>
              <w:rPr>
                <w:b/>
                <w:lang w:val="en-GB"/>
              </w:rPr>
            </w:pPr>
            <w:r w:rsidRPr="0018698D">
              <w:rPr>
                <w:b/>
                <w:lang w:val="en-GB"/>
              </w:rPr>
              <w:t>β</w:t>
            </w:r>
          </w:p>
        </w:tc>
        <w:tc>
          <w:tcPr>
            <w:tcW w:w="1984" w:type="dxa"/>
            <w:vAlign w:val="center"/>
          </w:tcPr>
          <w:p w14:paraId="52216C13" w14:textId="77777777" w:rsidR="0018698D" w:rsidRPr="0018698D" w:rsidRDefault="0018698D" w:rsidP="005D1083">
            <w:pPr>
              <w:jc w:val="center"/>
              <w:rPr>
                <w:b/>
                <w:lang w:val="en-GB"/>
              </w:rPr>
            </w:pPr>
            <w:r w:rsidRPr="0018698D">
              <w:rPr>
                <w:b/>
                <w:lang w:val="en-GB"/>
              </w:rPr>
              <w:t>β</w:t>
            </w:r>
          </w:p>
        </w:tc>
        <w:tc>
          <w:tcPr>
            <w:tcW w:w="1134" w:type="dxa"/>
            <w:vAlign w:val="center"/>
          </w:tcPr>
          <w:p w14:paraId="673BE3BA" w14:textId="77777777" w:rsidR="0018698D" w:rsidRPr="0018698D" w:rsidRDefault="0018698D" w:rsidP="005D1083">
            <w:pPr>
              <w:tabs>
                <w:tab w:val="decimal" w:pos="1033"/>
              </w:tabs>
              <w:jc w:val="center"/>
              <w:rPr>
                <w:b/>
                <w:lang w:val="en-GB"/>
              </w:rPr>
            </w:pPr>
            <w:r w:rsidRPr="0018698D">
              <w:rPr>
                <w:b/>
                <w:lang w:val="en-GB"/>
              </w:rPr>
              <w:t>β</w:t>
            </w:r>
          </w:p>
        </w:tc>
        <w:tc>
          <w:tcPr>
            <w:tcW w:w="851" w:type="dxa"/>
            <w:vAlign w:val="center"/>
          </w:tcPr>
          <w:p w14:paraId="7F9C33B4" w14:textId="77777777" w:rsidR="0018698D" w:rsidRPr="0018698D" w:rsidRDefault="0018698D" w:rsidP="005D1083">
            <w:pPr>
              <w:tabs>
                <w:tab w:val="decimal" w:pos="570"/>
              </w:tabs>
              <w:jc w:val="center"/>
              <w:rPr>
                <w:b/>
                <w:lang w:val="en-GB"/>
              </w:rPr>
            </w:pPr>
          </w:p>
        </w:tc>
        <w:tc>
          <w:tcPr>
            <w:tcW w:w="1842" w:type="dxa"/>
            <w:vAlign w:val="center"/>
          </w:tcPr>
          <w:p w14:paraId="26787821" w14:textId="77777777" w:rsidR="0018698D" w:rsidRPr="0018698D" w:rsidRDefault="0018698D" w:rsidP="005D1083">
            <w:pPr>
              <w:jc w:val="center"/>
              <w:rPr>
                <w:b/>
                <w:lang w:val="en-GB"/>
              </w:rPr>
            </w:pPr>
            <w:r w:rsidRPr="0018698D">
              <w:rPr>
                <w:b/>
                <w:lang w:val="en-GB"/>
              </w:rPr>
              <w:t>β</w:t>
            </w:r>
          </w:p>
        </w:tc>
      </w:tr>
      <w:tr w:rsidR="0018698D" w:rsidRPr="0018698D" w14:paraId="37017C9D" w14:textId="77777777" w:rsidTr="005D1083">
        <w:trPr>
          <w:jc w:val="center"/>
        </w:trPr>
        <w:tc>
          <w:tcPr>
            <w:tcW w:w="2636" w:type="dxa"/>
            <w:vAlign w:val="center"/>
          </w:tcPr>
          <w:p w14:paraId="3DBABE51" w14:textId="77777777" w:rsidR="0018698D" w:rsidRPr="0018698D" w:rsidRDefault="0018698D" w:rsidP="005D1083">
            <w:pPr>
              <w:rPr>
                <w:lang w:val="en-GB"/>
              </w:rPr>
            </w:pPr>
            <w:r w:rsidRPr="0018698D">
              <w:rPr>
                <w:lang w:val="en-GB"/>
              </w:rPr>
              <w:t>Gender (male)</w:t>
            </w:r>
          </w:p>
        </w:tc>
        <w:tc>
          <w:tcPr>
            <w:tcW w:w="1759" w:type="dxa"/>
            <w:vAlign w:val="center"/>
          </w:tcPr>
          <w:p w14:paraId="4023EB96" w14:textId="77777777" w:rsidR="0018698D" w:rsidRPr="0018698D" w:rsidRDefault="0018698D" w:rsidP="005D1083">
            <w:pPr>
              <w:tabs>
                <w:tab w:val="decimal" w:pos="938"/>
              </w:tabs>
              <w:rPr>
                <w:lang w:val="en-GB"/>
              </w:rPr>
            </w:pPr>
            <w:r w:rsidRPr="0018698D">
              <w:rPr>
                <w:lang w:val="en-GB"/>
              </w:rPr>
              <w:t>.033</w:t>
            </w:r>
          </w:p>
        </w:tc>
        <w:tc>
          <w:tcPr>
            <w:tcW w:w="1984" w:type="dxa"/>
          </w:tcPr>
          <w:p w14:paraId="3D11C23E" w14:textId="77777777" w:rsidR="0018698D" w:rsidRPr="0018698D" w:rsidRDefault="0018698D" w:rsidP="005D1083">
            <w:pPr>
              <w:tabs>
                <w:tab w:val="decimal" w:pos="1029"/>
              </w:tabs>
              <w:rPr>
                <w:lang w:val="en-GB"/>
              </w:rPr>
            </w:pPr>
            <w:r w:rsidRPr="0018698D">
              <w:rPr>
                <w:lang w:val="en-GB"/>
              </w:rPr>
              <w:t>.049</w:t>
            </w:r>
          </w:p>
        </w:tc>
        <w:tc>
          <w:tcPr>
            <w:tcW w:w="1985" w:type="dxa"/>
            <w:gridSpan w:val="2"/>
          </w:tcPr>
          <w:p w14:paraId="6D559BD0" w14:textId="77777777" w:rsidR="0018698D" w:rsidRPr="0018698D" w:rsidRDefault="0018698D" w:rsidP="005D1083">
            <w:pPr>
              <w:tabs>
                <w:tab w:val="decimal" w:pos="1033"/>
              </w:tabs>
              <w:rPr>
                <w:lang w:val="en-GB"/>
              </w:rPr>
            </w:pPr>
            <w:r w:rsidRPr="0018698D">
              <w:rPr>
                <w:lang w:val="en-GB"/>
              </w:rPr>
              <w:t>.012</w:t>
            </w:r>
          </w:p>
        </w:tc>
        <w:tc>
          <w:tcPr>
            <w:tcW w:w="1842" w:type="dxa"/>
          </w:tcPr>
          <w:p w14:paraId="08476BDC" w14:textId="77777777" w:rsidR="0018698D" w:rsidRPr="0018698D" w:rsidRDefault="0018698D" w:rsidP="005D1083">
            <w:pPr>
              <w:tabs>
                <w:tab w:val="decimal" w:pos="1023"/>
              </w:tabs>
              <w:rPr>
                <w:lang w:val="en-GB"/>
              </w:rPr>
            </w:pPr>
            <w:r w:rsidRPr="0018698D">
              <w:rPr>
                <w:lang w:val="en-GB"/>
              </w:rPr>
              <w:t>-.296**</w:t>
            </w:r>
          </w:p>
        </w:tc>
      </w:tr>
      <w:tr w:rsidR="0018698D" w:rsidRPr="0018698D" w14:paraId="03804FF1" w14:textId="77777777" w:rsidTr="005D1083">
        <w:trPr>
          <w:jc w:val="center"/>
        </w:trPr>
        <w:tc>
          <w:tcPr>
            <w:tcW w:w="2636" w:type="dxa"/>
            <w:vAlign w:val="center"/>
          </w:tcPr>
          <w:p w14:paraId="4F165486" w14:textId="77777777" w:rsidR="0018698D" w:rsidRPr="0018698D" w:rsidRDefault="0018698D" w:rsidP="005D1083">
            <w:pPr>
              <w:rPr>
                <w:lang w:val="en-GB"/>
              </w:rPr>
            </w:pPr>
            <w:r w:rsidRPr="0018698D">
              <w:rPr>
                <w:lang w:val="en-GB"/>
              </w:rPr>
              <w:t>Conscientiousness</w:t>
            </w:r>
          </w:p>
        </w:tc>
        <w:tc>
          <w:tcPr>
            <w:tcW w:w="1759" w:type="dxa"/>
            <w:vAlign w:val="center"/>
          </w:tcPr>
          <w:p w14:paraId="26B56914" w14:textId="77777777" w:rsidR="0018698D" w:rsidRPr="0018698D" w:rsidRDefault="0018698D" w:rsidP="005D1083">
            <w:pPr>
              <w:tabs>
                <w:tab w:val="decimal" w:pos="938"/>
              </w:tabs>
              <w:rPr>
                <w:lang w:val="en-GB"/>
              </w:rPr>
            </w:pPr>
            <w:r w:rsidRPr="0018698D">
              <w:rPr>
                <w:lang w:val="en-GB"/>
              </w:rPr>
              <w:t>.433**</w:t>
            </w:r>
          </w:p>
        </w:tc>
        <w:tc>
          <w:tcPr>
            <w:tcW w:w="1984" w:type="dxa"/>
          </w:tcPr>
          <w:p w14:paraId="188CFA49" w14:textId="77777777" w:rsidR="0018698D" w:rsidRPr="0018698D" w:rsidRDefault="0018698D" w:rsidP="005D1083">
            <w:pPr>
              <w:tabs>
                <w:tab w:val="decimal" w:pos="1029"/>
              </w:tabs>
              <w:rPr>
                <w:lang w:val="en-GB"/>
              </w:rPr>
            </w:pPr>
            <w:r w:rsidRPr="0018698D">
              <w:rPr>
                <w:lang w:val="en-GB"/>
              </w:rPr>
              <w:t>.446**</w:t>
            </w:r>
          </w:p>
        </w:tc>
        <w:tc>
          <w:tcPr>
            <w:tcW w:w="1985" w:type="dxa"/>
            <w:gridSpan w:val="2"/>
          </w:tcPr>
          <w:p w14:paraId="736A8A13" w14:textId="77777777" w:rsidR="0018698D" w:rsidRPr="0018698D" w:rsidRDefault="0018698D" w:rsidP="005D1083">
            <w:pPr>
              <w:tabs>
                <w:tab w:val="decimal" w:pos="1033"/>
              </w:tabs>
              <w:rPr>
                <w:lang w:val="en-GB"/>
              </w:rPr>
            </w:pPr>
            <w:r w:rsidRPr="0018698D">
              <w:rPr>
                <w:lang w:val="en-GB"/>
              </w:rPr>
              <w:t>-.289**</w:t>
            </w:r>
          </w:p>
        </w:tc>
        <w:tc>
          <w:tcPr>
            <w:tcW w:w="1842" w:type="dxa"/>
          </w:tcPr>
          <w:p w14:paraId="593FE6A6" w14:textId="77777777" w:rsidR="0018698D" w:rsidRPr="0018698D" w:rsidRDefault="0018698D" w:rsidP="005D1083">
            <w:pPr>
              <w:tabs>
                <w:tab w:val="decimal" w:pos="1023"/>
              </w:tabs>
              <w:rPr>
                <w:lang w:val="en-GB"/>
              </w:rPr>
            </w:pPr>
            <w:r w:rsidRPr="0018698D">
              <w:rPr>
                <w:lang w:val="en-GB"/>
              </w:rPr>
              <w:t>.149*</w:t>
            </w:r>
          </w:p>
        </w:tc>
      </w:tr>
      <w:tr w:rsidR="0018698D" w:rsidRPr="0018698D" w14:paraId="38EB8420" w14:textId="77777777" w:rsidTr="005D1083">
        <w:trPr>
          <w:jc w:val="center"/>
        </w:trPr>
        <w:tc>
          <w:tcPr>
            <w:tcW w:w="2636" w:type="dxa"/>
            <w:vAlign w:val="center"/>
          </w:tcPr>
          <w:p w14:paraId="6C8777A9" w14:textId="77777777" w:rsidR="0018698D" w:rsidRPr="0018698D" w:rsidRDefault="0018698D" w:rsidP="005D1083">
            <w:pPr>
              <w:rPr>
                <w:lang w:val="en-GB"/>
              </w:rPr>
            </w:pPr>
            <w:r w:rsidRPr="0018698D">
              <w:rPr>
                <w:lang w:val="en-GB"/>
              </w:rPr>
              <w:t>Openness</w:t>
            </w:r>
          </w:p>
        </w:tc>
        <w:tc>
          <w:tcPr>
            <w:tcW w:w="1759" w:type="dxa"/>
            <w:vAlign w:val="center"/>
          </w:tcPr>
          <w:p w14:paraId="2406878E" w14:textId="77777777" w:rsidR="0018698D" w:rsidRPr="0018698D" w:rsidRDefault="0018698D" w:rsidP="005D1083">
            <w:pPr>
              <w:tabs>
                <w:tab w:val="decimal" w:pos="938"/>
              </w:tabs>
              <w:rPr>
                <w:lang w:val="en-GB"/>
              </w:rPr>
            </w:pPr>
            <w:r w:rsidRPr="0018698D">
              <w:rPr>
                <w:lang w:val="en-GB"/>
              </w:rPr>
              <w:t>.202**</w:t>
            </w:r>
          </w:p>
        </w:tc>
        <w:tc>
          <w:tcPr>
            <w:tcW w:w="1984" w:type="dxa"/>
          </w:tcPr>
          <w:p w14:paraId="298B217D" w14:textId="77777777" w:rsidR="0018698D" w:rsidRPr="0018698D" w:rsidRDefault="0018698D" w:rsidP="005D1083">
            <w:pPr>
              <w:tabs>
                <w:tab w:val="decimal" w:pos="1029"/>
              </w:tabs>
              <w:rPr>
                <w:lang w:val="en-GB"/>
              </w:rPr>
            </w:pPr>
            <w:r w:rsidRPr="0018698D">
              <w:rPr>
                <w:lang w:val="en-GB"/>
              </w:rPr>
              <w:t>.038</w:t>
            </w:r>
          </w:p>
        </w:tc>
        <w:tc>
          <w:tcPr>
            <w:tcW w:w="1985" w:type="dxa"/>
            <w:gridSpan w:val="2"/>
          </w:tcPr>
          <w:p w14:paraId="59907626" w14:textId="77777777" w:rsidR="0018698D" w:rsidRPr="0018698D" w:rsidRDefault="0018698D" w:rsidP="005D1083">
            <w:pPr>
              <w:tabs>
                <w:tab w:val="decimal" w:pos="1033"/>
              </w:tabs>
              <w:rPr>
                <w:lang w:val="en-GB"/>
              </w:rPr>
            </w:pPr>
            <w:r w:rsidRPr="0018698D">
              <w:rPr>
                <w:lang w:val="en-GB"/>
              </w:rPr>
              <w:t>.005</w:t>
            </w:r>
          </w:p>
        </w:tc>
        <w:tc>
          <w:tcPr>
            <w:tcW w:w="1842" w:type="dxa"/>
          </w:tcPr>
          <w:p w14:paraId="1611836C" w14:textId="77777777" w:rsidR="0018698D" w:rsidRPr="0018698D" w:rsidRDefault="0018698D" w:rsidP="005D1083">
            <w:pPr>
              <w:tabs>
                <w:tab w:val="decimal" w:pos="1023"/>
              </w:tabs>
              <w:rPr>
                <w:lang w:val="en-GB"/>
              </w:rPr>
            </w:pPr>
            <w:r w:rsidRPr="0018698D">
              <w:rPr>
                <w:lang w:val="en-GB"/>
              </w:rPr>
              <w:t>.025</w:t>
            </w:r>
          </w:p>
        </w:tc>
      </w:tr>
      <w:tr w:rsidR="0018698D" w:rsidRPr="0018698D" w14:paraId="2588207E" w14:textId="77777777" w:rsidTr="005D1083">
        <w:trPr>
          <w:jc w:val="center"/>
        </w:trPr>
        <w:tc>
          <w:tcPr>
            <w:tcW w:w="2636" w:type="dxa"/>
            <w:vAlign w:val="center"/>
          </w:tcPr>
          <w:p w14:paraId="3E389AD0" w14:textId="77777777" w:rsidR="0018698D" w:rsidRPr="0018698D" w:rsidRDefault="0018698D" w:rsidP="005D1083">
            <w:pPr>
              <w:rPr>
                <w:lang w:val="en-GB"/>
              </w:rPr>
            </w:pPr>
            <w:r w:rsidRPr="0018698D">
              <w:rPr>
                <w:lang w:val="en-GB"/>
              </w:rPr>
              <w:t>Neuroticism</w:t>
            </w:r>
          </w:p>
        </w:tc>
        <w:tc>
          <w:tcPr>
            <w:tcW w:w="1759" w:type="dxa"/>
            <w:vAlign w:val="center"/>
          </w:tcPr>
          <w:p w14:paraId="1C97F994" w14:textId="77777777" w:rsidR="0018698D" w:rsidRPr="0018698D" w:rsidRDefault="0018698D" w:rsidP="005D1083">
            <w:pPr>
              <w:tabs>
                <w:tab w:val="decimal" w:pos="938"/>
              </w:tabs>
              <w:rPr>
                <w:lang w:val="en-GB"/>
              </w:rPr>
            </w:pPr>
            <w:r w:rsidRPr="0018698D">
              <w:rPr>
                <w:lang w:val="en-GB"/>
              </w:rPr>
              <w:t>-.053</w:t>
            </w:r>
          </w:p>
        </w:tc>
        <w:tc>
          <w:tcPr>
            <w:tcW w:w="1984" w:type="dxa"/>
          </w:tcPr>
          <w:p w14:paraId="0D4E5858" w14:textId="77777777" w:rsidR="0018698D" w:rsidRPr="0018698D" w:rsidRDefault="0018698D" w:rsidP="005D1083">
            <w:pPr>
              <w:tabs>
                <w:tab w:val="decimal" w:pos="1029"/>
              </w:tabs>
              <w:rPr>
                <w:lang w:val="en-GB"/>
              </w:rPr>
            </w:pPr>
            <w:r w:rsidRPr="0018698D">
              <w:rPr>
                <w:lang w:val="en-GB"/>
              </w:rPr>
              <w:t>.108</w:t>
            </w:r>
          </w:p>
        </w:tc>
        <w:tc>
          <w:tcPr>
            <w:tcW w:w="1985" w:type="dxa"/>
            <w:gridSpan w:val="2"/>
          </w:tcPr>
          <w:p w14:paraId="119FD694" w14:textId="77777777" w:rsidR="0018698D" w:rsidRPr="0018698D" w:rsidRDefault="0018698D" w:rsidP="005D1083">
            <w:pPr>
              <w:tabs>
                <w:tab w:val="decimal" w:pos="1033"/>
              </w:tabs>
              <w:rPr>
                <w:lang w:val="en-GB"/>
              </w:rPr>
            </w:pPr>
            <w:r w:rsidRPr="0018698D">
              <w:rPr>
                <w:lang w:val="en-GB"/>
              </w:rPr>
              <w:t>.101</w:t>
            </w:r>
          </w:p>
        </w:tc>
        <w:tc>
          <w:tcPr>
            <w:tcW w:w="1842" w:type="dxa"/>
          </w:tcPr>
          <w:p w14:paraId="3BF79E7E" w14:textId="77777777" w:rsidR="0018698D" w:rsidRPr="0018698D" w:rsidRDefault="0018698D" w:rsidP="005D1083">
            <w:pPr>
              <w:tabs>
                <w:tab w:val="decimal" w:pos="1023"/>
              </w:tabs>
              <w:rPr>
                <w:lang w:val="en-GB"/>
              </w:rPr>
            </w:pPr>
            <w:r w:rsidRPr="0018698D">
              <w:rPr>
                <w:lang w:val="en-GB"/>
              </w:rPr>
              <w:t>-.025</w:t>
            </w:r>
          </w:p>
        </w:tc>
      </w:tr>
      <w:tr w:rsidR="0018698D" w:rsidRPr="0018698D" w14:paraId="42A6A88F" w14:textId="77777777" w:rsidTr="005D1083">
        <w:trPr>
          <w:jc w:val="center"/>
        </w:trPr>
        <w:tc>
          <w:tcPr>
            <w:tcW w:w="2636" w:type="dxa"/>
            <w:vAlign w:val="center"/>
          </w:tcPr>
          <w:p w14:paraId="725337A5" w14:textId="77777777" w:rsidR="0018698D" w:rsidRPr="0018698D" w:rsidRDefault="0018698D" w:rsidP="005D1083">
            <w:pPr>
              <w:rPr>
                <w:lang w:val="en-GB"/>
              </w:rPr>
            </w:pPr>
            <w:r w:rsidRPr="0018698D">
              <w:rPr>
                <w:lang w:val="en-GB"/>
              </w:rPr>
              <w:t>Extraversion</w:t>
            </w:r>
          </w:p>
        </w:tc>
        <w:tc>
          <w:tcPr>
            <w:tcW w:w="1759" w:type="dxa"/>
            <w:vAlign w:val="center"/>
          </w:tcPr>
          <w:p w14:paraId="7D8AA5C8" w14:textId="77777777" w:rsidR="0018698D" w:rsidRPr="0018698D" w:rsidRDefault="0018698D" w:rsidP="005D1083">
            <w:pPr>
              <w:tabs>
                <w:tab w:val="decimal" w:pos="938"/>
              </w:tabs>
              <w:rPr>
                <w:lang w:val="en-GB"/>
              </w:rPr>
            </w:pPr>
            <w:r w:rsidRPr="0018698D">
              <w:rPr>
                <w:lang w:val="en-GB"/>
              </w:rPr>
              <w:t>.013</w:t>
            </w:r>
          </w:p>
        </w:tc>
        <w:tc>
          <w:tcPr>
            <w:tcW w:w="1984" w:type="dxa"/>
          </w:tcPr>
          <w:p w14:paraId="4B06D8C6" w14:textId="77777777" w:rsidR="0018698D" w:rsidRPr="0018698D" w:rsidRDefault="0018698D" w:rsidP="005D1083">
            <w:pPr>
              <w:tabs>
                <w:tab w:val="decimal" w:pos="1029"/>
              </w:tabs>
              <w:rPr>
                <w:lang w:val="en-GB"/>
              </w:rPr>
            </w:pPr>
            <w:r w:rsidRPr="0018698D">
              <w:rPr>
                <w:lang w:val="en-GB"/>
              </w:rPr>
              <w:t>-.074</w:t>
            </w:r>
          </w:p>
        </w:tc>
        <w:tc>
          <w:tcPr>
            <w:tcW w:w="1985" w:type="dxa"/>
            <w:gridSpan w:val="2"/>
          </w:tcPr>
          <w:p w14:paraId="60B70C27" w14:textId="77777777" w:rsidR="0018698D" w:rsidRPr="0018698D" w:rsidRDefault="0018698D" w:rsidP="005D1083">
            <w:pPr>
              <w:tabs>
                <w:tab w:val="decimal" w:pos="1033"/>
              </w:tabs>
              <w:rPr>
                <w:lang w:val="en-GB"/>
              </w:rPr>
            </w:pPr>
            <w:r w:rsidRPr="0018698D">
              <w:rPr>
                <w:lang w:val="en-GB"/>
              </w:rPr>
              <w:t>.093</w:t>
            </w:r>
          </w:p>
        </w:tc>
        <w:tc>
          <w:tcPr>
            <w:tcW w:w="1842" w:type="dxa"/>
          </w:tcPr>
          <w:p w14:paraId="695A2768" w14:textId="77777777" w:rsidR="0018698D" w:rsidRPr="0018698D" w:rsidRDefault="0018698D" w:rsidP="005D1083">
            <w:pPr>
              <w:tabs>
                <w:tab w:val="decimal" w:pos="1023"/>
              </w:tabs>
              <w:rPr>
                <w:lang w:val="en-GB"/>
              </w:rPr>
            </w:pPr>
            <w:r w:rsidRPr="0018698D">
              <w:rPr>
                <w:lang w:val="en-GB"/>
              </w:rPr>
              <w:t>-.005</w:t>
            </w:r>
          </w:p>
        </w:tc>
      </w:tr>
      <w:tr w:rsidR="0018698D" w:rsidRPr="0018698D" w14:paraId="0167EE82" w14:textId="77777777" w:rsidTr="005D1083">
        <w:trPr>
          <w:jc w:val="center"/>
        </w:trPr>
        <w:tc>
          <w:tcPr>
            <w:tcW w:w="2636" w:type="dxa"/>
            <w:vAlign w:val="center"/>
          </w:tcPr>
          <w:p w14:paraId="0E9D3F62" w14:textId="77777777" w:rsidR="0018698D" w:rsidRPr="0018698D" w:rsidRDefault="0018698D" w:rsidP="005D1083">
            <w:pPr>
              <w:rPr>
                <w:lang w:val="en-GB"/>
              </w:rPr>
            </w:pPr>
            <w:r w:rsidRPr="0018698D">
              <w:rPr>
                <w:lang w:val="en-GB"/>
              </w:rPr>
              <w:t>Agreeableness</w:t>
            </w:r>
          </w:p>
        </w:tc>
        <w:tc>
          <w:tcPr>
            <w:tcW w:w="1759" w:type="dxa"/>
            <w:vAlign w:val="center"/>
          </w:tcPr>
          <w:p w14:paraId="41954661" w14:textId="77777777" w:rsidR="0018698D" w:rsidRPr="0018698D" w:rsidRDefault="0018698D" w:rsidP="005D1083">
            <w:pPr>
              <w:tabs>
                <w:tab w:val="decimal" w:pos="938"/>
              </w:tabs>
              <w:rPr>
                <w:lang w:val="en-GB"/>
              </w:rPr>
            </w:pPr>
            <w:r w:rsidRPr="0018698D">
              <w:rPr>
                <w:lang w:val="en-GB"/>
              </w:rPr>
              <w:t>-.054</w:t>
            </w:r>
          </w:p>
        </w:tc>
        <w:tc>
          <w:tcPr>
            <w:tcW w:w="1984" w:type="dxa"/>
          </w:tcPr>
          <w:p w14:paraId="16B9BE6C" w14:textId="77777777" w:rsidR="0018698D" w:rsidRPr="0018698D" w:rsidRDefault="0018698D" w:rsidP="005D1083">
            <w:pPr>
              <w:tabs>
                <w:tab w:val="decimal" w:pos="1029"/>
              </w:tabs>
              <w:rPr>
                <w:lang w:val="en-GB"/>
              </w:rPr>
            </w:pPr>
            <w:r w:rsidRPr="0018698D">
              <w:rPr>
                <w:lang w:val="en-GB"/>
              </w:rPr>
              <w:t>.174**</w:t>
            </w:r>
          </w:p>
        </w:tc>
        <w:tc>
          <w:tcPr>
            <w:tcW w:w="1985" w:type="dxa"/>
            <w:gridSpan w:val="2"/>
          </w:tcPr>
          <w:p w14:paraId="6ECAFE23" w14:textId="77777777" w:rsidR="0018698D" w:rsidRPr="0018698D" w:rsidRDefault="0018698D" w:rsidP="005D1083">
            <w:pPr>
              <w:tabs>
                <w:tab w:val="decimal" w:pos="1033"/>
              </w:tabs>
              <w:rPr>
                <w:lang w:val="en-GB"/>
              </w:rPr>
            </w:pPr>
            <w:r w:rsidRPr="0018698D">
              <w:rPr>
                <w:lang w:val="en-GB"/>
              </w:rPr>
              <w:t>-.175**</w:t>
            </w:r>
          </w:p>
        </w:tc>
        <w:tc>
          <w:tcPr>
            <w:tcW w:w="1842" w:type="dxa"/>
          </w:tcPr>
          <w:p w14:paraId="7C847ACC" w14:textId="77777777" w:rsidR="0018698D" w:rsidRPr="0018698D" w:rsidRDefault="0018698D" w:rsidP="005D1083">
            <w:pPr>
              <w:tabs>
                <w:tab w:val="decimal" w:pos="1023"/>
              </w:tabs>
              <w:rPr>
                <w:lang w:val="en-GB"/>
              </w:rPr>
            </w:pPr>
            <w:r w:rsidRPr="0018698D">
              <w:rPr>
                <w:lang w:val="en-GB"/>
              </w:rPr>
              <w:t>-.085</w:t>
            </w:r>
          </w:p>
        </w:tc>
      </w:tr>
      <w:tr w:rsidR="0018698D" w:rsidRPr="0018698D" w14:paraId="7BB7C321" w14:textId="77777777" w:rsidTr="005D1083">
        <w:trPr>
          <w:jc w:val="center"/>
        </w:trPr>
        <w:tc>
          <w:tcPr>
            <w:tcW w:w="2636" w:type="dxa"/>
            <w:vAlign w:val="center"/>
          </w:tcPr>
          <w:p w14:paraId="0B359139" w14:textId="23A0DBD1" w:rsidR="0018698D" w:rsidRPr="0018698D" w:rsidRDefault="00ED289C" w:rsidP="005D1083">
            <w:pPr>
              <w:rPr>
                <w:lang w:val="en-GB"/>
              </w:rPr>
            </w:pPr>
            <w:r>
              <w:rPr>
                <w:lang w:val="en-GB"/>
              </w:rPr>
              <w:t>A</w:t>
            </w:r>
            <w:r w:rsidRPr="0018698D">
              <w:rPr>
                <w:lang w:val="en-GB"/>
              </w:rPr>
              <w:t xml:space="preserve">cademic </w:t>
            </w:r>
            <w:r>
              <w:rPr>
                <w:lang w:val="en-GB"/>
              </w:rPr>
              <w:t>self-</w:t>
            </w:r>
            <w:r w:rsidRPr="0018698D">
              <w:rPr>
                <w:lang w:val="en-GB"/>
              </w:rPr>
              <w:t>efficacy</w:t>
            </w:r>
          </w:p>
        </w:tc>
        <w:tc>
          <w:tcPr>
            <w:tcW w:w="1759" w:type="dxa"/>
            <w:vAlign w:val="center"/>
          </w:tcPr>
          <w:p w14:paraId="211100B1" w14:textId="77777777" w:rsidR="0018698D" w:rsidRPr="0018698D" w:rsidRDefault="0018698D" w:rsidP="005D1083">
            <w:pPr>
              <w:tabs>
                <w:tab w:val="decimal" w:pos="513"/>
                <w:tab w:val="decimal" w:pos="938"/>
              </w:tabs>
              <w:jc w:val="center"/>
              <w:rPr>
                <w:lang w:val="en-GB"/>
              </w:rPr>
            </w:pPr>
          </w:p>
        </w:tc>
        <w:tc>
          <w:tcPr>
            <w:tcW w:w="1984" w:type="dxa"/>
          </w:tcPr>
          <w:p w14:paraId="24544222" w14:textId="77777777" w:rsidR="0018698D" w:rsidRPr="0018698D" w:rsidRDefault="0018698D" w:rsidP="005D1083">
            <w:pPr>
              <w:tabs>
                <w:tab w:val="decimal" w:pos="1029"/>
              </w:tabs>
              <w:rPr>
                <w:lang w:val="en-GB"/>
              </w:rPr>
            </w:pPr>
            <w:r w:rsidRPr="0018698D">
              <w:rPr>
                <w:lang w:val="en-GB"/>
              </w:rPr>
              <w:t>.102</w:t>
            </w:r>
          </w:p>
        </w:tc>
        <w:tc>
          <w:tcPr>
            <w:tcW w:w="1985" w:type="dxa"/>
            <w:gridSpan w:val="2"/>
          </w:tcPr>
          <w:p w14:paraId="4F79DA8B" w14:textId="77777777" w:rsidR="0018698D" w:rsidRPr="0018698D" w:rsidRDefault="0018698D" w:rsidP="005D1083">
            <w:pPr>
              <w:tabs>
                <w:tab w:val="decimal" w:pos="1033"/>
              </w:tabs>
              <w:rPr>
                <w:lang w:val="en-GB"/>
              </w:rPr>
            </w:pPr>
            <w:r w:rsidRPr="0018698D">
              <w:rPr>
                <w:lang w:val="en-GB"/>
              </w:rPr>
              <w:t>-.228**</w:t>
            </w:r>
          </w:p>
        </w:tc>
        <w:tc>
          <w:tcPr>
            <w:tcW w:w="1842" w:type="dxa"/>
          </w:tcPr>
          <w:p w14:paraId="10C1F3EF" w14:textId="77777777" w:rsidR="0018698D" w:rsidRPr="0018698D" w:rsidRDefault="0018698D" w:rsidP="005D1083">
            <w:pPr>
              <w:tabs>
                <w:tab w:val="decimal" w:pos="1023"/>
              </w:tabs>
              <w:rPr>
                <w:lang w:val="en-GB"/>
              </w:rPr>
            </w:pPr>
            <w:r w:rsidRPr="0018698D">
              <w:rPr>
                <w:lang w:val="en-GB"/>
              </w:rPr>
              <w:t>.338**</w:t>
            </w:r>
          </w:p>
        </w:tc>
      </w:tr>
      <w:tr w:rsidR="0018698D" w:rsidRPr="0018698D" w14:paraId="05FFFFC1" w14:textId="77777777" w:rsidTr="005D1083">
        <w:trPr>
          <w:jc w:val="center"/>
        </w:trPr>
        <w:tc>
          <w:tcPr>
            <w:tcW w:w="2636" w:type="dxa"/>
            <w:vAlign w:val="center"/>
          </w:tcPr>
          <w:p w14:paraId="53C5C8BD" w14:textId="77777777" w:rsidR="0018698D" w:rsidRPr="0018698D" w:rsidRDefault="0018698D" w:rsidP="005D1083">
            <w:pPr>
              <w:rPr>
                <w:lang w:val="en-GB"/>
              </w:rPr>
            </w:pPr>
            <w:r w:rsidRPr="0018698D">
              <w:rPr>
                <w:lang w:val="en-GB"/>
              </w:rPr>
              <w:t>Promoting learning process</w:t>
            </w:r>
          </w:p>
        </w:tc>
        <w:tc>
          <w:tcPr>
            <w:tcW w:w="1759" w:type="dxa"/>
            <w:vAlign w:val="center"/>
          </w:tcPr>
          <w:p w14:paraId="65B2EF52" w14:textId="77777777" w:rsidR="0018698D" w:rsidRPr="0018698D" w:rsidRDefault="0018698D" w:rsidP="005D1083">
            <w:pPr>
              <w:tabs>
                <w:tab w:val="decimal" w:pos="513"/>
                <w:tab w:val="decimal" w:pos="938"/>
              </w:tabs>
              <w:jc w:val="center"/>
              <w:rPr>
                <w:lang w:val="en-GB"/>
              </w:rPr>
            </w:pPr>
          </w:p>
        </w:tc>
        <w:tc>
          <w:tcPr>
            <w:tcW w:w="1984" w:type="dxa"/>
          </w:tcPr>
          <w:p w14:paraId="1C9415E0" w14:textId="77777777" w:rsidR="0018698D" w:rsidRPr="0018698D" w:rsidRDefault="0018698D" w:rsidP="005D1083">
            <w:pPr>
              <w:tabs>
                <w:tab w:val="decimal" w:pos="1029"/>
              </w:tabs>
              <w:jc w:val="center"/>
              <w:rPr>
                <w:lang w:val="en-GB"/>
              </w:rPr>
            </w:pPr>
          </w:p>
        </w:tc>
        <w:tc>
          <w:tcPr>
            <w:tcW w:w="1134" w:type="dxa"/>
          </w:tcPr>
          <w:p w14:paraId="7817FA3A" w14:textId="77777777" w:rsidR="0018698D" w:rsidRPr="0018698D" w:rsidRDefault="0018698D" w:rsidP="005D1083">
            <w:pPr>
              <w:tabs>
                <w:tab w:val="decimal" w:pos="1033"/>
              </w:tabs>
              <w:jc w:val="center"/>
              <w:rPr>
                <w:lang w:val="en-GB"/>
              </w:rPr>
            </w:pPr>
          </w:p>
        </w:tc>
        <w:tc>
          <w:tcPr>
            <w:tcW w:w="851" w:type="dxa"/>
          </w:tcPr>
          <w:p w14:paraId="4AE78AB1" w14:textId="77777777" w:rsidR="0018698D" w:rsidRPr="0018698D" w:rsidRDefault="0018698D" w:rsidP="005D1083">
            <w:pPr>
              <w:tabs>
                <w:tab w:val="decimal" w:pos="570"/>
                <w:tab w:val="decimal" w:pos="1033"/>
              </w:tabs>
              <w:jc w:val="center"/>
              <w:rPr>
                <w:lang w:val="en-GB"/>
              </w:rPr>
            </w:pPr>
          </w:p>
        </w:tc>
        <w:tc>
          <w:tcPr>
            <w:tcW w:w="1842" w:type="dxa"/>
          </w:tcPr>
          <w:p w14:paraId="2FC07973" w14:textId="77777777" w:rsidR="0018698D" w:rsidRPr="0018698D" w:rsidRDefault="0018698D" w:rsidP="005D1083">
            <w:pPr>
              <w:tabs>
                <w:tab w:val="decimal" w:pos="1023"/>
              </w:tabs>
              <w:rPr>
                <w:lang w:val="en-GB"/>
              </w:rPr>
            </w:pPr>
            <w:r w:rsidRPr="0018698D">
              <w:rPr>
                <w:lang w:val="en-GB"/>
              </w:rPr>
              <w:t>-.033</w:t>
            </w:r>
          </w:p>
        </w:tc>
      </w:tr>
      <w:tr w:rsidR="0018698D" w:rsidRPr="0018698D" w14:paraId="7FC99B47" w14:textId="77777777" w:rsidTr="005D1083">
        <w:trPr>
          <w:jc w:val="center"/>
        </w:trPr>
        <w:tc>
          <w:tcPr>
            <w:tcW w:w="2636" w:type="dxa"/>
            <w:tcBorders>
              <w:bottom w:val="single" w:sz="4" w:space="0" w:color="auto"/>
            </w:tcBorders>
            <w:vAlign w:val="center"/>
          </w:tcPr>
          <w:p w14:paraId="490353D3" w14:textId="77777777" w:rsidR="0018698D" w:rsidRPr="0018698D" w:rsidRDefault="0018698D" w:rsidP="005D1083">
            <w:pPr>
              <w:rPr>
                <w:lang w:val="en-GB"/>
              </w:rPr>
            </w:pPr>
            <w:r w:rsidRPr="0018698D">
              <w:rPr>
                <w:lang w:val="en-GB"/>
              </w:rPr>
              <w:t>Protecting self-esteem</w:t>
            </w:r>
          </w:p>
        </w:tc>
        <w:tc>
          <w:tcPr>
            <w:tcW w:w="1759" w:type="dxa"/>
            <w:tcBorders>
              <w:bottom w:val="single" w:sz="4" w:space="0" w:color="auto"/>
            </w:tcBorders>
            <w:vAlign w:val="center"/>
          </w:tcPr>
          <w:p w14:paraId="1FB38EC9" w14:textId="77777777" w:rsidR="0018698D" w:rsidRPr="0018698D" w:rsidRDefault="0018698D" w:rsidP="005D1083">
            <w:pPr>
              <w:tabs>
                <w:tab w:val="decimal" w:pos="513"/>
                <w:tab w:val="decimal" w:pos="938"/>
              </w:tabs>
              <w:jc w:val="center"/>
              <w:rPr>
                <w:lang w:val="en-GB"/>
              </w:rPr>
            </w:pPr>
          </w:p>
        </w:tc>
        <w:tc>
          <w:tcPr>
            <w:tcW w:w="1984" w:type="dxa"/>
            <w:tcBorders>
              <w:bottom w:val="single" w:sz="4" w:space="0" w:color="auto"/>
            </w:tcBorders>
          </w:tcPr>
          <w:p w14:paraId="46797349" w14:textId="77777777" w:rsidR="0018698D" w:rsidRPr="0018698D" w:rsidRDefault="0018698D" w:rsidP="005D1083">
            <w:pPr>
              <w:tabs>
                <w:tab w:val="decimal" w:pos="1029"/>
              </w:tabs>
              <w:jc w:val="center"/>
              <w:rPr>
                <w:lang w:val="en-GB"/>
              </w:rPr>
            </w:pPr>
          </w:p>
        </w:tc>
        <w:tc>
          <w:tcPr>
            <w:tcW w:w="1985" w:type="dxa"/>
            <w:gridSpan w:val="2"/>
            <w:tcBorders>
              <w:bottom w:val="single" w:sz="4" w:space="0" w:color="auto"/>
            </w:tcBorders>
          </w:tcPr>
          <w:p w14:paraId="3C488F30" w14:textId="77777777" w:rsidR="0018698D" w:rsidRPr="0018698D" w:rsidRDefault="0018698D" w:rsidP="005D1083">
            <w:pPr>
              <w:tabs>
                <w:tab w:val="decimal" w:pos="1033"/>
              </w:tabs>
              <w:jc w:val="center"/>
              <w:rPr>
                <w:lang w:val="en-GB"/>
              </w:rPr>
            </w:pPr>
          </w:p>
        </w:tc>
        <w:tc>
          <w:tcPr>
            <w:tcW w:w="1842" w:type="dxa"/>
            <w:tcBorders>
              <w:bottom w:val="single" w:sz="4" w:space="0" w:color="auto"/>
            </w:tcBorders>
          </w:tcPr>
          <w:p w14:paraId="46A9EBD8" w14:textId="77777777" w:rsidR="0018698D" w:rsidRPr="0018698D" w:rsidRDefault="0018698D" w:rsidP="005D1083">
            <w:pPr>
              <w:tabs>
                <w:tab w:val="decimal" w:pos="1023"/>
              </w:tabs>
              <w:rPr>
                <w:lang w:val="en-GB"/>
              </w:rPr>
            </w:pPr>
            <w:r w:rsidRPr="0018698D">
              <w:rPr>
                <w:lang w:val="en-GB"/>
              </w:rPr>
              <w:t>-.178**</w:t>
            </w:r>
          </w:p>
        </w:tc>
      </w:tr>
      <w:tr w:rsidR="0018698D" w:rsidRPr="0018698D" w14:paraId="06BCAE77" w14:textId="77777777" w:rsidTr="005D1083">
        <w:trPr>
          <w:jc w:val="center"/>
        </w:trPr>
        <w:tc>
          <w:tcPr>
            <w:tcW w:w="2636" w:type="dxa"/>
            <w:tcBorders>
              <w:bottom w:val="single" w:sz="4" w:space="0" w:color="auto"/>
            </w:tcBorders>
            <w:vAlign w:val="center"/>
          </w:tcPr>
          <w:p w14:paraId="7456DC84" w14:textId="77777777" w:rsidR="0018698D" w:rsidRPr="0018698D" w:rsidRDefault="0018698D" w:rsidP="005D1083">
            <w:pPr>
              <w:rPr>
                <w:vertAlign w:val="superscript"/>
                <w:lang w:val="en-GB"/>
              </w:rPr>
            </w:pPr>
            <w:r w:rsidRPr="0018698D">
              <w:rPr>
                <w:lang w:val="en-GB"/>
              </w:rPr>
              <w:t>R</w:t>
            </w:r>
            <w:r w:rsidRPr="0018698D">
              <w:rPr>
                <w:vertAlign w:val="superscript"/>
                <w:lang w:val="en-GB"/>
              </w:rPr>
              <w:t>2</w:t>
            </w:r>
          </w:p>
        </w:tc>
        <w:tc>
          <w:tcPr>
            <w:tcW w:w="1759" w:type="dxa"/>
            <w:tcBorders>
              <w:bottom w:val="single" w:sz="4" w:space="0" w:color="auto"/>
            </w:tcBorders>
            <w:vAlign w:val="center"/>
          </w:tcPr>
          <w:p w14:paraId="4356992E" w14:textId="77777777" w:rsidR="0018698D" w:rsidRPr="0018698D" w:rsidRDefault="0018698D" w:rsidP="005D1083">
            <w:pPr>
              <w:tabs>
                <w:tab w:val="decimal" w:pos="513"/>
                <w:tab w:val="decimal" w:pos="938"/>
              </w:tabs>
              <w:jc w:val="center"/>
              <w:rPr>
                <w:lang w:val="en-GB"/>
              </w:rPr>
            </w:pPr>
            <w:r w:rsidRPr="0018698D">
              <w:rPr>
                <w:lang w:val="en-GB"/>
              </w:rPr>
              <w:t>.28**</w:t>
            </w:r>
          </w:p>
        </w:tc>
        <w:tc>
          <w:tcPr>
            <w:tcW w:w="1984" w:type="dxa"/>
            <w:tcBorders>
              <w:bottom w:val="single" w:sz="4" w:space="0" w:color="auto"/>
            </w:tcBorders>
          </w:tcPr>
          <w:p w14:paraId="6C3F62D5" w14:textId="77777777" w:rsidR="0018698D" w:rsidRPr="0018698D" w:rsidRDefault="0018698D" w:rsidP="005D1083">
            <w:pPr>
              <w:tabs>
                <w:tab w:val="decimal" w:pos="1029"/>
              </w:tabs>
              <w:rPr>
                <w:lang w:val="en-GB"/>
              </w:rPr>
            </w:pPr>
            <w:r w:rsidRPr="0018698D">
              <w:rPr>
                <w:lang w:val="en-GB"/>
              </w:rPr>
              <w:t>.30**</w:t>
            </w:r>
          </w:p>
        </w:tc>
        <w:tc>
          <w:tcPr>
            <w:tcW w:w="1985" w:type="dxa"/>
            <w:gridSpan w:val="2"/>
            <w:tcBorders>
              <w:bottom w:val="single" w:sz="4" w:space="0" w:color="auto"/>
            </w:tcBorders>
          </w:tcPr>
          <w:p w14:paraId="56BF7F83" w14:textId="77777777" w:rsidR="0018698D" w:rsidRPr="0018698D" w:rsidRDefault="0018698D" w:rsidP="005D1083">
            <w:pPr>
              <w:tabs>
                <w:tab w:val="decimal" w:pos="1033"/>
              </w:tabs>
              <w:rPr>
                <w:lang w:val="en-GB"/>
              </w:rPr>
            </w:pPr>
            <w:r w:rsidRPr="0018698D">
              <w:rPr>
                <w:lang w:val="en-GB"/>
              </w:rPr>
              <w:t>.31**</w:t>
            </w:r>
          </w:p>
        </w:tc>
        <w:tc>
          <w:tcPr>
            <w:tcW w:w="1842" w:type="dxa"/>
            <w:tcBorders>
              <w:bottom w:val="single" w:sz="4" w:space="0" w:color="auto"/>
            </w:tcBorders>
          </w:tcPr>
          <w:p w14:paraId="0B8BA16E" w14:textId="77777777" w:rsidR="0018698D" w:rsidRPr="0018698D" w:rsidRDefault="0018698D" w:rsidP="005D1083">
            <w:pPr>
              <w:tabs>
                <w:tab w:val="decimal" w:pos="1023"/>
              </w:tabs>
              <w:rPr>
                <w:lang w:val="en-GB"/>
              </w:rPr>
            </w:pPr>
            <w:r w:rsidRPr="0018698D">
              <w:rPr>
                <w:lang w:val="en-GB"/>
              </w:rPr>
              <w:t>.35**</w:t>
            </w:r>
          </w:p>
        </w:tc>
      </w:tr>
      <w:tr w:rsidR="0018698D" w:rsidRPr="00773C04" w14:paraId="6F92E72A" w14:textId="77777777" w:rsidTr="00F54BB1">
        <w:trPr>
          <w:trHeight w:val="340"/>
          <w:jc w:val="center"/>
        </w:trPr>
        <w:tc>
          <w:tcPr>
            <w:tcW w:w="4395" w:type="dxa"/>
            <w:gridSpan w:val="2"/>
            <w:tcBorders>
              <w:bottom w:val="nil"/>
            </w:tcBorders>
            <w:vAlign w:val="center"/>
          </w:tcPr>
          <w:p w14:paraId="0F7DB2DF" w14:textId="77777777" w:rsidR="0018698D" w:rsidRPr="00773C04" w:rsidRDefault="0018698D" w:rsidP="005D1083">
            <w:pPr>
              <w:jc w:val="center"/>
              <w:rPr>
                <w:lang w:val="en-GB"/>
              </w:rPr>
            </w:pPr>
            <w:r w:rsidRPr="0018698D">
              <w:rPr>
                <w:i/>
                <w:lang w:val="en-GB"/>
              </w:rPr>
              <w:t>Note: *p &lt; .05; **p &lt; .01.</w:t>
            </w:r>
          </w:p>
        </w:tc>
        <w:tc>
          <w:tcPr>
            <w:tcW w:w="1984" w:type="dxa"/>
            <w:tcBorders>
              <w:bottom w:val="nil"/>
            </w:tcBorders>
          </w:tcPr>
          <w:p w14:paraId="6443CBDB" w14:textId="77777777" w:rsidR="0018698D" w:rsidRPr="00773C04" w:rsidRDefault="0018698D" w:rsidP="005D1083">
            <w:pPr>
              <w:jc w:val="center"/>
              <w:rPr>
                <w:lang w:val="en-GB"/>
              </w:rPr>
            </w:pPr>
          </w:p>
        </w:tc>
        <w:tc>
          <w:tcPr>
            <w:tcW w:w="1985" w:type="dxa"/>
            <w:gridSpan w:val="2"/>
            <w:tcBorders>
              <w:bottom w:val="nil"/>
            </w:tcBorders>
          </w:tcPr>
          <w:p w14:paraId="17F08F44" w14:textId="77777777" w:rsidR="0018698D" w:rsidRPr="00773C04" w:rsidRDefault="0018698D" w:rsidP="005D1083">
            <w:pPr>
              <w:jc w:val="center"/>
              <w:rPr>
                <w:lang w:val="en-GB"/>
              </w:rPr>
            </w:pPr>
          </w:p>
        </w:tc>
        <w:tc>
          <w:tcPr>
            <w:tcW w:w="1842" w:type="dxa"/>
            <w:tcBorders>
              <w:bottom w:val="nil"/>
            </w:tcBorders>
          </w:tcPr>
          <w:p w14:paraId="02B4DD1A" w14:textId="77777777" w:rsidR="0018698D" w:rsidRPr="00773C04" w:rsidRDefault="0018698D" w:rsidP="005D1083">
            <w:pPr>
              <w:jc w:val="center"/>
              <w:rPr>
                <w:lang w:val="en-GB"/>
              </w:rPr>
            </w:pPr>
          </w:p>
        </w:tc>
      </w:tr>
    </w:tbl>
    <w:p w14:paraId="0100240D" w14:textId="77777777" w:rsidR="00AA0BAA" w:rsidRPr="00773C04" w:rsidRDefault="00AA0BAA" w:rsidP="00AA0BAA">
      <w:pPr>
        <w:jc w:val="both"/>
        <w:rPr>
          <w:lang w:val="en-GB"/>
        </w:rPr>
      </w:pPr>
    </w:p>
    <w:p w14:paraId="5B05F059" w14:textId="77777777" w:rsidR="00AA0BAA" w:rsidRPr="00773C04" w:rsidRDefault="00AA0BAA" w:rsidP="00AA0BAA">
      <w:pPr>
        <w:spacing w:before="240" w:line="360" w:lineRule="auto"/>
        <w:jc w:val="both"/>
        <w:rPr>
          <w:lang w:val="en-GB"/>
        </w:rPr>
      </w:pPr>
    </w:p>
    <w:p w14:paraId="0DE2626C" w14:textId="77777777" w:rsidR="00AA0BAA" w:rsidRPr="00773C04" w:rsidRDefault="00AA0BAA" w:rsidP="00AA0BAA">
      <w:pPr>
        <w:jc w:val="both"/>
        <w:rPr>
          <w:lang w:val="en-GB"/>
        </w:rPr>
      </w:pPr>
    </w:p>
    <w:p w14:paraId="40E685C7" w14:textId="77777777" w:rsidR="00AA0BAA" w:rsidRPr="00773C04" w:rsidRDefault="00AA0BAA" w:rsidP="00AA0BAA">
      <w:pPr>
        <w:jc w:val="both"/>
        <w:rPr>
          <w:lang w:val="en-GB"/>
        </w:rPr>
      </w:pPr>
    </w:p>
    <w:p w14:paraId="66A6F423" w14:textId="77777777" w:rsidR="00AA0BAA" w:rsidRPr="00773C04" w:rsidRDefault="00AA0BAA" w:rsidP="00AA0BAA">
      <w:pPr>
        <w:jc w:val="both"/>
        <w:rPr>
          <w:lang w:val="en-GB"/>
        </w:rPr>
        <w:sectPr w:rsidR="00AA0BAA" w:rsidRPr="00773C04" w:rsidSect="00F372A6">
          <w:pgSz w:w="16838" w:h="11906" w:orient="landscape"/>
          <w:pgMar w:top="1417" w:right="1417" w:bottom="1417" w:left="1417" w:header="708" w:footer="708" w:gutter="0"/>
          <w:cols w:space="708"/>
          <w:docGrid w:linePitch="360"/>
        </w:sectPr>
      </w:pPr>
    </w:p>
    <w:p w14:paraId="2DF0E28B" w14:textId="6372C0BA" w:rsidR="00AA0BAA" w:rsidRPr="00773C04" w:rsidRDefault="00AA0BAA" w:rsidP="00AA0BAA">
      <w:pPr>
        <w:pStyle w:val="Caption"/>
        <w:keepNext/>
        <w:spacing w:line="360" w:lineRule="auto"/>
        <w:jc w:val="both"/>
        <w:rPr>
          <w:rFonts w:ascii="Times New Roman" w:hAnsi="Times New Roman" w:cs="Times New Roman"/>
          <w:i w:val="0"/>
          <w:color w:val="auto"/>
          <w:sz w:val="24"/>
          <w:szCs w:val="24"/>
          <w:lang w:val="en-GB"/>
        </w:rPr>
      </w:pPr>
      <w:r w:rsidRPr="00773C04">
        <w:rPr>
          <w:rFonts w:ascii="Times New Roman" w:hAnsi="Times New Roman" w:cs="Times New Roman"/>
          <w:i w:val="0"/>
          <w:color w:val="auto"/>
          <w:sz w:val="24"/>
          <w:szCs w:val="24"/>
          <w:lang w:val="en-GB"/>
        </w:rPr>
        <w:lastRenderedPageBreak/>
        <w:t xml:space="preserve">We further analysed the hypothesized mediational effects of </w:t>
      </w:r>
      <w:r w:rsidR="00ED289C" w:rsidRPr="00ED289C">
        <w:rPr>
          <w:rFonts w:ascii="Times New Roman" w:hAnsi="Times New Roman" w:cs="Times New Roman"/>
          <w:i w:val="0"/>
          <w:color w:val="auto"/>
          <w:sz w:val="24"/>
          <w:szCs w:val="24"/>
          <w:lang w:val="en-GB"/>
        </w:rPr>
        <w:t>academic self-efficacy</w:t>
      </w:r>
      <w:r w:rsidRPr="00773C04">
        <w:rPr>
          <w:rFonts w:ascii="Times New Roman" w:hAnsi="Times New Roman" w:cs="Times New Roman"/>
          <w:i w:val="0"/>
          <w:color w:val="auto"/>
          <w:sz w:val="24"/>
          <w:szCs w:val="24"/>
          <w:lang w:val="en-GB"/>
        </w:rPr>
        <w:t xml:space="preserve"> and learning strategies on the relationship between personality and GPA. Since mediational analysis in PROCESS allows for only one </w:t>
      </w:r>
      <w:r w:rsidR="00816DFA">
        <w:rPr>
          <w:rFonts w:ascii="Times New Roman" w:hAnsi="Times New Roman" w:cs="Times New Roman"/>
          <w:i w:val="0"/>
          <w:color w:val="auto"/>
          <w:sz w:val="24"/>
          <w:szCs w:val="24"/>
          <w:lang w:val="en-GB"/>
        </w:rPr>
        <w:t>regressor</w:t>
      </w:r>
      <w:r w:rsidRPr="00773C04">
        <w:rPr>
          <w:rFonts w:ascii="Times New Roman" w:hAnsi="Times New Roman" w:cs="Times New Roman"/>
          <w:i w:val="0"/>
          <w:color w:val="auto"/>
          <w:sz w:val="24"/>
          <w:szCs w:val="24"/>
          <w:lang w:val="en-GB"/>
        </w:rPr>
        <w:t>, we conducted separate analyses for all personality dim</w:t>
      </w:r>
      <w:r w:rsidR="00BB06B7">
        <w:rPr>
          <w:rFonts w:ascii="Times New Roman" w:hAnsi="Times New Roman" w:cs="Times New Roman"/>
          <w:i w:val="0"/>
          <w:color w:val="auto"/>
          <w:sz w:val="24"/>
          <w:szCs w:val="24"/>
          <w:lang w:val="en-GB"/>
        </w:rPr>
        <w:t>ensions, while including other traits</w:t>
      </w:r>
      <w:r w:rsidRPr="00773C04">
        <w:rPr>
          <w:rFonts w:ascii="Times New Roman" w:hAnsi="Times New Roman" w:cs="Times New Roman"/>
          <w:i w:val="0"/>
          <w:color w:val="auto"/>
          <w:sz w:val="24"/>
          <w:szCs w:val="24"/>
          <w:lang w:val="en-GB"/>
        </w:rPr>
        <w:t xml:space="preserve"> and gender as covariates, controlling for their effects in the relationship.</w:t>
      </w:r>
      <w:r>
        <w:rPr>
          <w:rFonts w:ascii="Times New Roman" w:hAnsi="Times New Roman" w:cs="Times New Roman"/>
          <w:i w:val="0"/>
          <w:color w:val="auto"/>
          <w:sz w:val="24"/>
          <w:szCs w:val="24"/>
          <w:lang w:val="en-GB"/>
        </w:rPr>
        <w:t xml:space="preserve"> This procedure, suggested by Hayes (2018), resulted in</w:t>
      </w:r>
      <w:r w:rsidRPr="00A11855">
        <w:rPr>
          <w:rFonts w:ascii="Times New Roman" w:hAnsi="Times New Roman" w:cs="Times New Roman"/>
          <w:i w:val="0"/>
          <w:color w:val="auto"/>
          <w:sz w:val="24"/>
          <w:szCs w:val="24"/>
          <w:lang w:val="en-GB"/>
        </w:rPr>
        <w:t xml:space="preserve"> </w:t>
      </w:r>
      <w:r>
        <w:rPr>
          <w:rFonts w:ascii="Times New Roman" w:hAnsi="Times New Roman" w:cs="Times New Roman"/>
          <w:i w:val="0"/>
          <w:color w:val="auto"/>
          <w:sz w:val="24"/>
          <w:szCs w:val="24"/>
          <w:lang w:val="en-GB"/>
        </w:rPr>
        <w:t>the es</w:t>
      </w:r>
      <w:r w:rsidRPr="00A11855">
        <w:rPr>
          <w:rFonts w:ascii="Times New Roman" w:hAnsi="Times New Roman" w:cs="Times New Roman"/>
          <w:i w:val="0"/>
          <w:color w:val="auto"/>
          <w:sz w:val="24"/>
          <w:szCs w:val="24"/>
          <w:lang w:val="en-GB"/>
        </w:rPr>
        <w:t>timate</w:t>
      </w:r>
      <w:r>
        <w:rPr>
          <w:rFonts w:ascii="Times New Roman" w:hAnsi="Times New Roman" w:cs="Times New Roman"/>
          <w:i w:val="0"/>
          <w:color w:val="auto"/>
          <w:sz w:val="24"/>
          <w:szCs w:val="24"/>
          <w:lang w:val="en-GB"/>
        </w:rPr>
        <w:t>s</w:t>
      </w:r>
      <w:r w:rsidRPr="00A11855">
        <w:rPr>
          <w:rFonts w:ascii="Times New Roman" w:hAnsi="Times New Roman" w:cs="Times New Roman"/>
          <w:i w:val="0"/>
          <w:color w:val="auto"/>
          <w:sz w:val="24"/>
          <w:szCs w:val="24"/>
          <w:lang w:val="en-GB"/>
        </w:rPr>
        <w:t xml:space="preserve"> </w:t>
      </w:r>
      <w:r>
        <w:rPr>
          <w:rFonts w:ascii="Times New Roman" w:hAnsi="Times New Roman" w:cs="Times New Roman"/>
          <w:i w:val="0"/>
          <w:color w:val="auto"/>
          <w:sz w:val="24"/>
          <w:szCs w:val="24"/>
          <w:lang w:val="en-GB"/>
        </w:rPr>
        <w:t xml:space="preserve">of </w:t>
      </w:r>
      <w:r w:rsidRPr="00A11855">
        <w:rPr>
          <w:rFonts w:ascii="Times New Roman" w:hAnsi="Times New Roman" w:cs="Times New Roman"/>
          <w:i w:val="0"/>
          <w:color w:val="auto"/>
          <w:sz w:val="24"/>
          <w:szCs w:val="24"/>
          <w:lang w:val="en-GB"/>
        </w:rPr>
        <w:t>indirect effects</w:t>
      </w:r>
      <w:r>
        <w:rPr>
          <w:rFonts w:ascii="Times New Roman" w:hAnsi="Times New Roman" w:cs="Times New Roman"/>
          <w:i w:val="0"/>
          <w:color w:val="auto"/>
          <w:sz w:val="24"/>
          <w:szCs w:val="24"/>
          <w:lang w:val="en-GB"/>
        </w:rPr>
        <w:t xml:space="preserve"> </w:t>
      </w:r>
      <w:r w:rsidRPr="00A11855">
        <w:rPr>
          <w:rFonts w:ascii="Times New Roman" w:hAnsi="Times New Roman" w:cs="Times New Roman"/>
          <w:i w:val="0"/>
          <w:color w:val="auto"/>
          <w:sz w:val="24"/>
          <w:szCs w:val="24"/>
          <w:lang w:val="en-GB"/>
        </w:rPr>
        <w:t xml:space="preserve">of </w:t>
      </w:r>
      <w:r>
        <w:rPr>
          <w:rFonts w:ascii="Times New Roman" w:hAnsi="Times New Roman" w:cs="Times New Roman"/>
          <w:i w:val="0"/>
          <w:color w:val="auto"/>
          <w:sz w:val="24"/>
          <w:szCs w:val="24"/>
          <w:lang w:val="en-GB"/>
        </w:rPr>
        <w:t>personality</w:t>
      </w:r>
      <w:r w:rsidR="00BB06B7">
        <w:rPr>
          <w:rFonts w:ascii="Times New Roman" w:hAnsi="Times New Roman" w:cs="Times New Roman"/>
          <w:i w:val="0"/>
          <w:color w:val="auto"/>
          <w:sz w:val="24"/>
          <w:szCs w:val="24"/>
          <w:lang w:val="en-GB"/>
        </w:rPr>
        <w:t xml:space="preserve"> traits</w:t>
      </w:r>
      <w:r>
        <w:rPr>
          <w:rFonts w:ascii="Times New Roman" w:hAnsi="Times New Roman" w:cs="Times New Roman"/>
          <w:i w:val="0"/>
          <w:color w:val="auto"/>
          <w:sz w:val="24"/>
          <w:szCs w:val="24"/>
          <w:lang w:val="en-GB"/>
        </w:rPr>
        <w:t xml:space="preserve"> on GPA. </w:t>
      </w:r>
    </w:p>
    <w:p w14:paraId="0D2FC3B1" w14:textId="6B368219" w:rsidR="00AA0BAA" w:rsidRPr="00773C04" w:rsidRDefault="00AA0BAA" w:rsidP="00AA0BAA">
      <w:pPr>
        <w:pStyle w:val="Caption"/>
        <w:keepNext/>
        <w:jc w:val="center"/>
        <w:rPr>
          <w:rFonts w:ascii="Times New Roman" w:hAnsi="Times New Roman" w:cs="Times New Roman"/>
          <w:i w:val="0"/>
          <w:color w:val="auto"/>
          <w:sz w:val="24"/>
          <w:szCs w:val="24"/>
          <w:lang w:val="en-GB"/>
        </w:rPr>
      </w:pPr>
      <w:r w:rsidRPr="00773C04">
        <w:rPr>
          <w:rFonts w:ascii="Times New Roman" w:hAnsi="Times New Roman" w:cs="Times New Roman"/>
          <w:i w:val="0"/>
          <w:color w:val="auto"/>
          <w:sz w:val="24"/>
          <w:szCs w:val="24"/>
          <w:lang w:val="en-GB"/>
        </w:rPr>
        <w:t xml:space="preserve">Table 4. Indirect effects of personality </w:t>
      </w:r>
      <w:r w:rsidR="00BB06B7">
        <w:rPr>
          <w:rFonts w:ascii="Times New Roman" w:hAnsi="Times New Roman" w:cs="Times New Roman"/>
          <w:i w:val="0"/>
          <w:color w:val="auto"/>
          <w:sz w:val="24"/>
          <w:szCs w:val="24"/>
          <w:lang w:val="en-GB"/>
        </w:rPr>
        <w:t>traits</w:t>
      </w:r>
      <w:r w:rsidRPr="00773C04">
        <w:rPr>
          <w:rFonts w:ascii="Times New Roman" w:hAnsi="Times New Roman" w:cs="Times New Roman"/>
          <w:i w:val="0"/>
          <w:color w:val="auto"/>
          <w:sz w:val="24"/>
          <w:szCs w:val="24"/>
          <w:lang w:val="en-GB"/>
        </w:rPr>
        <w:t xml:space="preserve"> on GPA through </w:t>
      </w:r>
      <w:r w:rsidR="00ED289C" w:rsidRPr="00ED289C">
        <w:rPr>
          <w:rFonts w:ascii="Times New Roman" w:hAnsi="Times New Roman" w:cs="Times New Roman"/>
          <w:i w:val="0"/>
          <w:color w:val="auto"/>
          <w:sz w:val="24"/>
          <w:szCs w:val="24"/>
          <w:lang w:val="en-GB"/>
        </w:rPr>
        <w:t>academic self-efficacy</w:t>
      </w:r>
      <w:r w:rsidRPr="00773C04">
        <w:rPr>
          <w:rFonts w:ascii="Times New Roman" w:hAnsi="Times New Roman" w:cs="Times New Roman"/>
          <w:i w:val="0"/>
          <w:color w:val="auto"/>
          <w:sz w:val="24"/>
          <w:szCs w:val="24"/>
          <w:lang w:val="en-GB"/>
        </w:rPr>
        <w:t xml:space="preserve"> and motivational learning strategies</w:t>
      </w:r>
    </w:p>
    <w:tbl>
      <w:tblPr>
        <w:tblStyle w:val="TableGrid"/>
        <w:tblW w:w="8364"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68"/>
        <w:gridCol w:w="3686"/>
        <w:gridCol w:w="1134"/>
        <w:gridCol w:w="1276"/>
      </w:tblGrid>
      <w:tr w:rsidR="00287C2E" w:rsidRPr="00773C04" w14:paraId="65498AD5" w14:textId="77777777" w:rsidTr="002864B3">
        <w:trPr>
          <w:jc w:val="center"/>
        </w:trPr>
        <w:tc>
          <w:tcPr>
            <w:tcW w:w="2268" w:type="dxa"/>
          </w:tcPr>
          <w:p w14:paraId="77831C98" w14:textId="77777777" w:rsidR="00287C2E" w:rsidRPr="00773C04" w:rsidRDefault="00287C2E" w:rsidP="002906AD">
            <w:pPr>
              <w:jc w:val="center"/>
              <w:rPr>
                <w:b/>
                <w:lang w:val="en-GB"/>
              </w:rPr>
            </w:pPr>
          </w:p>
        </w:tc>
        <w:tc>
          <w:tcPr>
            <w:tcW w:w="3686" w:type="dxa"/>
          </w:tcPr>
          <w:p w14:paraId="7BECEDF3" w14:textId="77777777" w:rsidR="00287C2E" w:rsidRPr="00773C04" w:rsidRDefault="00287C2E" w:rsidP="002906AD">
            <w:pPr>
              <w:jc w:val="center"/>
              <w:rPr>
                <w:b/>
                <w:lang w:val="en-GB"/>
              </w:rPr>
            </w:pPr>
          </w:p>
        </w:tc>
        <w:tc>
          <w:tcPr>
            <w:tcW w:w="1134" w:type="dxa"/>
          </w:tcPr>
          <w:p w14:paraId="4B71717F" w14:textId="77777777" w:rsidR="00287C2E" w:rsidRPr="00773C04" w:rsidRDefault="00287C2E" w:rsidP="002906AD">
            <w:pPr>
              <w:jc w:val="center"/>
              <w:rPr>
                <w:b/>
                <w:lang w:val="en-GB"/>
              </w:rPr>
            </w:pPr>
          </w:p>
        </w:tc>
        <w:tc>
          <w:tcPr>
            <w:tcW w:w="1276" w:type="dxa"/>
            <w:vAlign w:val="center"/>
          </w:tcPr>
          <w:p w14:paraId="5A1BF678" w14:textId="77777777" w:rsidR="00287C2E" w:rsidRPr="00773C04" w:rsidRDefault="00287C2E" w:rsidP="002906AD">
            <w:pPr>
              <w:jc w:val="center"/>
              <w:rPr>
                <w:b/>
                <w:lang w:val="en-GB"/>
              </w:rPr>
            </w:pPr>
            <w:r w:rsidRPr="00773C04">
              <w:rPr>
                <w:b/>
                <w:lang w:val="en-GB"/>
              </w:rPr>
              <w:t>β</w:t>
            </w:r>
          </w:p>
        </w:tc>
      </w:tr>
      <w:tr w:rsidR="00287C2E" w:rsidRPr="00773C04" w14:paraId="09DF1F46" w14:textId="77777777" w:rsidTr="002864B3">
        <w:trPr>
          <w:jc w:val="center"/>
        </w:trPr>
        <w:tc>
          <w:tcPr>
            <w:tcW w:w="2268" w:type="dxa"/>
            <w:vAlign w:val="center"/>
          </w:tcPr>
          <w:p w14:paraId="515FFFA5" w14:textId="77777777" w:rsidR="00287C2E" w:rsidRPr="00773C04" w:rsidRDefault="00287C2E" w:rsidP="002906AD">
            <w:pPr>
              <w:rPr>
                <w:lang w:val="en-GB"/>
              </w:rPr>
            </w:pPr>
            <w:r w:rsidRPr="00773C04">
              <w:rPr>
                <w:lang w:val="en-GB"/>
              </w:rPr>
              <w:t>Conscientiousness</w:t>
            </w:r>
          </w:p>
        </w:tc>
        <w:tc>
          <w:tcPr>
            <w:tcW w:w="3686" w:type="dxa"/>
            <w:vMerge w:val="restart"/>
            <w:vAlign w:val="center"/>
          </w:tcPr>
          <w:p w14:paraId="6ADF36DA" w14:textId="15EE739C" w:rsidR="00287C2E" w:rsidRPr="00773C04" w:rsidRDefault="00287C2E" w:rsidP="002906AD">
            <w:pPr>
              <w:jc w:val="center"/>
              <w:rPr>
                <w:lang w:val="en-GB"/>
              </w:rPr>
            </w:pPr>
            <w:r w:rsidRPr="00773C04">
              <w:rPr>
                <w:lang w:val="en-GB"/>
              </w:rPr>
              <w:t xml:space="preserve">→ </w:t>
            </w:r>
            <w:r w:rsidR="00ED289C">
              <w:rPr>
                <w:lang w:val="en-GB"/>
              </w:rPr>
              <w:t>A</w:t>
            </w:r>
            <w:r w:rsidR="00ED289C" w:rsidRPr="00ED289C">
              <w:rPr>
                <w:lang w:val="en-GB"/>
              </w:rPr>
              <w:t xml:space="preserve">cademic self-efficacy </w:t>
            </w:r>
            <w:r w:rsidRPr="00773C04">
              <w:rPr>
                <w:lang w:val="en-GB"/>
              </w:rPr>
              <w:t>→</w:t>
            </w:r>
          </w:p>
        </w:tc>
        <w:tc>
          <w:tcPr>
            <w:tcW w:w="1134" w:type="dxa"/>
            <w:vMerge w:val="restart"/>
            <w:vAlign w:val="center"/>
          </w:tcPr>
          <w:p w14:paraId="10484834" w14:textId="77777777" w:rsidR="00287C2E" w:rsidRPr="00773C04" w:rsidRDefault="00287C2E" w:rsidP="002906AD">
            <w:pPr>
              <w:jc w:val="center"/>
              <w:rPr>
                <w:lang w:val="en-GB"/>
              </w:rPr>
            </w:pPr>
            <w:r w:rsidRPr="00773C04">
              <w:rPr>
                <w:lang w:val="en-GB"/>
              </w:rPr>
              <w:t>GPA</w:t>
            </w:r>
          </w:p>
        </w:tc>
        <w:tc>
          <w:tcPr>
            <w:tcW w:w="1276" w:type="dxa"/>
            <w:vAlign w:val="center"/>
          </w:tcPr>
          <w:p w14:paraId="4006A1DF" w14:textId="57740C83" w:rsidR="00287C2E" w:rsidRPr="00773C04" w:rsidRDefault="002864B3" w:rsidP="002906AD">
            <w:pPr>
              <w:jc w:val="center"/>
              <w:rPr>
                <w:lang w:val="en-GB"/>
              </w:rPr>
            </w:pPr>
            <w:r>
              <w:rPr>
                <w:lang w:val="en-GB"/>
              </w:rPr>
              <w:t xml:space="preserve">  </w:t>
            </w:r>
            <w:r w:rsidR="006C785E">
              <w:rPr>
                <w:lang w:val="en-GB"/>
              </w:rPr>
              <w:t xml:space="preserve"> .</w:t>
            </w:r>
            <w:r w:rsidR="00287C2E" w:rsidRPr="00773C04">
              <w:rPr>
                <w:lang w:val="en-GB"/>
              </w:rPr>
              <w:t>146</w:t>
            </w:r>
            <w:r w:rsidR="00287C2E">
              <w:rPr>
                <w:lang w:val="en-GB"/>
              </w:rPr>
              <w:t>*</w:t>
            </w:r>
          </w:p>
        </w:tc>
      </w:tr>
      <w:tr w:rsidR="00287C2E" w:rsidRPr="00773C04" w14:paraId="3C5C353A" w14:textId="77777777" w:rsidTr="002864B3">
        <w:trPr>
          <w:jc w:val="center"/>
        </w:trPr>
        <w:tc>
          <w:tcPr>
            <w:tcW w:w="2268" w:type="dxa"/>
            <w:vAlign w:val="center"/>
          </w:tcPr>
          <w:p w14:paraId="4FBF794D" w14:textId="77777777" w:rsidR="00287C2E" w:rsidRPr="00773C04" w:rsidRDefault="00287C2E" w:rsidP="002906AD">
            <w:pPr>
              <w:rPr>
                <w:lang w:val="en-GB"/>
              </w:rPr>
            </w:pPr>
            <w:r w:rsidRPr="00773C04">
              <w:rPr>
                <w:lang w:val="en-GB"/>
              </w:rPr>
              <w:t>Openness</w:t>
            </w:r>
          </w:p>
        </w:tc>
        <w:tc>
          <w:tcPr>
            <w:tcW w:w="3686" w:type="dxa"/>
            <w:vMerge/>
          </w:tcPr>
          <w:p w14:paraId="7F9D53A3" w14:textId="77777777" w:rsidR="00287C2E" w:rsidRPr="00773C04" w:rsidRDefault="00287C2E" w:rsidP="002906AD">
            <w:pPr>
              <w:jc w:val="center"/>
              <w:rPr>
                <w:lang w:val="en-GB"/>
              </w:rPr>
            </w:pPr>
          </w:p>
        </w:tc>
        <w:tc>
          <w:tcPr>
            <w:tcW w:w="1134" w:type="dxa"/>
            <w:vMerge/>
          </w:tcPr>
          <w:p w14:paraId="519E9E28" w14:textId="77777777" w:rsidR="00287C2E" w:rsidRPr="00773C04" w:rsidRDefault="00287C2E" w:rsidP="002906AD">
            <w:pPr>
              <w:jc w:val="center"/>
              <w:rPr>
                <w:lang w:val="en-GB"/>
              </w:rPr>
            </w:pPr>
          </w:p>
        </w:tc>
        <w:tc>
          <w:tcPr>
            <w:tcW w:w="1276" w:type="dxa"/>
            <w:vAlign w:val="center"/>
          </w:tcPr>
          <w:p w14:paraId="4D264DCE" w14:textId="67447745" w:rsidR="00287C2E" w:rsidRPr="00773C04" w:rsidRDefault="002864B3" w:rsidP="002906AD">
            <w:pPr>
              <w:jc w:val="center"/>
              <w:rPr>
                <w:lang w:val="en-GB"/>
              </w:rPr>
            </w:pPr>
            <w:r>
              <w:rPr>
                <w:lang w:val="en-GB"/>
              </w:rPr>
              <w:t xml:space="preserve">  </w:t>
            </w:r>
            <w:r w:rsidR="006C785E">
              <w:rPr>
                <w:lang w:val="en-GB"/>
              </w:rPr>
              <w:t xml:space="preserve"> .</w:t>
            </w:r>
            <w:r w:rsidR="00287C2E" w:rsidRPr="00773C04">
              <w:rPr>
                <w:lang w:val="en-GB"/>
              </w:rPr>
              <w:t>068</w:t>
            </w:r>
            <w:r w:rsidR="00287C2E">
              <w:rPr>
                <w:lang w:val="en-GB"/>
              </w:rPr>
              <w:t>*</w:t>
            </w:r>
          </w:p>
        </w:tc>
      </w:tr>
      <w:tr w:rsidR="00287C2E" w:rsidRPr="00773C04" w14:paraId="27CD7FDA" w14:textId="77777777" w:rsidTr="002864B3">
        <w:trPr>
          <w:jc w:val="center"/>
        </w:trPr>
        <w:tc>
          <w:tcPr>
            <w:tcW w:w="2268" w:type="dxa"/>
            <w:vAlign w:val="center"/>
          </w:tcPr>
          <w:p w14:paraId="3872C145" w14:textId="77777777" w:rsidR="00287C2E" w:rsidRPr="00773C04" w:rsidRDefault="00287C2E" w:rsidP="002906AD">
            <w:pPr>
              <w:rPr>
                <w:lang w:val="en-GB"/>
              </w:rPr>
            </w:pPr>
            <w:r w:rsidRPr="00773C04">
              <w:rPr>
                <w:lang w:val="en-GB"/>
              </w:rPr>
              <w:t>Neuroticism</w:t>
            </w:r>
          </w:p>
        </w:tc>
        <w:tc>
          <w:tcPr>
            <w:tcW w:w="3686" w:type="dxa"/>
            <w:vMerge/>
          </w:tcPr>
          <w:p w14:paraId="256D4DAF" w14:textId="77777777" w:rsidR="00287C2E" w:rsidRPr="00773C04" w:rsidRDefault="00287C2E" w:rsidP="002906AD">
            <w:pPr>
              <w:jc w:val="center"/>
              <w:rPr>
                <w:lang w:val="en-GB"/>
              </w:rPr>
            </w:pPr>
          </w:p>
        </w:tc>
        <w:tc>
          <w:tcPr>
            <w:tcW w:w="1134" w:type="dxa"/>
            <w:vMerge/>
          </w:tcPr>
          <w:p w14:paraId="6D49EF57" w14:textId="77777777" w:rsidR="00287C2E" w:rsidRPr="00773C04" w:rsidRDefault="00287C2E" w:rsidP="002906AD">
            <w:pPr>
              <w:jc w:val="center"/>
              <w:rPr>
                <w:lang w:val="en-GB"/>
              </w:rPr>
            </w:pPr>
          </w:p>
        </w:tc>
        <w:tc>
          <w:tcPr>
            <w:tcW w:w="1276" w:type="dxa"/>
            <w:vAlign w:val="center"/>
          </w:tcPr>
          <w:p w14:paraId="486FC25C" w14:textId="5CE8E412" w:rsidR="00287C2E" w:rsidRPr="00773C04" w:rsidRDefault="006C785E" w:rsidP="002906AD">
            <w:pPr>
              <w:jc w:val="center"/>
              <w:rPr>
                <w:lang w:val="en-GB"/>
              </w:rPr>
            </w:pPr>
            <w:r>
              <w:rPr>
                <w:lang w:val="en-GB"/>
              </w:rPr>
              <w:t>-.</w:t>
            </w:r>
            <w:r w:rsidR="00287C2E" w:rsidRPr="00773C04">
              <w:rPr>
                <w:lang w:val="en-GB"/>
              </w:rPr>
              <w:t>018</w:t>
            </w:r>
          </w:p>
        </w:tc>
      </w:tr>
      <w:tr w:rsidR="00287C2E" w:rsidRPr="00773C04" w14:paraId="4421FE63" w14:textId="77777777" w:rsidTr="002864B3">
        <w:trPr>
          <w:jc w:val="center"/>
        </w:trPr>
        <w:tc>
          <w:tcPr>
            <w:tcW w:w="2268" w:type="dxa"/>
            <w:vAlign w:val="center"/>
          </w:tcPr>
          <w:p w14:paraId="11AE9AD7" w14:textId="77777777" w:rsidR="00287C2E" w:rsidRPr="00773C04" w:rsidRDefault="00287C2E" w:rsidP="002906AD">
            <w:pPr>
              <w:rPr>
                <w:lang w:val="en-GB"/>
              </w:rPr>
            </w:pPr>
            <w:r w:rsidRPr="00773C04">
              <w:rPr>
                <w:lang w:val="en-GB"/>
              </w:rPr>
              <w:t>Extraversion</w:t>
            </w:r>
          </w:p>
        </w:tc>
        <w:tc>
          <w:tcPr>
            <w:tcW w:w="3686" w:type="dxa"/>
            <w:vMerge/>
          </w:tcPr>
          <w:p w14:paraId="7276EDBA" w14:textId="77777777" w:rsidR="00287C2E" w:rsidRPr="00773C04" w:rsidRDefault="00287C2E" w:rsidP="002906AD">
            <w:pPr>
              <w:jc w:val="center"/>
              <w:rPr>
                <w:lang w:val="en-GB"/>
              </w:rPr>
            </w:pPr>
          </w:p>
        </w:tc>
        <w:tc>
          <w:tcPr>
            <w:tcW w:w="1134" w:type="dxa"/>
            <w:vMerge/>
          </w:tcPr>
          <w:p w14:paraId="578AE2EE" w14:textId="77777777" w:rsidR="00287C2E" w:rsidRPr="00773C04" w:rsidRDefault="00287C2E" w:rsidP="002906AD">
            <w:pPr>
              <w:jc w:val="center"/>
              <w:rPr>
                <w:lang w:val="en-GB"/>
              </w:rPr>
            </w:pPr>
          </w:p>
        </w:tc>
        <w:tc>
          <w:tcPr>
            <w:tcW w:w="1276" w:type="dxa"/>
            <w:vAlign w:val="center"/>
          </w:tcPr>
          <w:p w14:paraId="0630AB57" w14:textId="2641D73A" w:rsidR="00287C2E" w:rsidRPr="00773C04" w:rsidRDefault="006C785E" w:rsidP="002906AD">
            <w:pPr>
              <w:jc w:val="center"/>
              <w:rPr>
                <w:lang w:val="en-GB"/>
              </w:rPr>
            </w:pPr>
            <w:r>
              <w:rPr>
                <w:lang w:val="en-GB"/>
              </w:rPr>
              <w:t xml:space="preserve"> .</w:t>
            </w:r>
            <w:r w:rsidR="00287C2E" w:rsidRPr="00773C04">
              <w:rPr>
                <w:lang w:val="en-GB"/>
              </w:rPr>
              <w:t>004</w:t>
            </w:r>
          </w:p>
        </w:tc>
      </w:tr>
      <w:tr w:rsidR="00287C2E" w:rsidRPr="00773C04" w14:paraId="3A75CE7D" w14:textId="77777777" w:rsidTr="002864B3">
        <w:trPr>
          <w:jc w:val="center"/>
        </w:trPr>
        <w:tc>
          <w:tcPr>
            <w:tcW w:w="2268" w:type="dxa"/>
            <w:vAlign w:val="center"/>
          </w:tcPr>
          <w:p w14:paraId="6728E8C4" w14:textId="77777777" w:rsidR="00287C2E" w:rsidRPr="00773C04" w:rsidRDefault="00287C2E" w:rsidP="002906AD">
            <w:pPr>
              <w:rPr>
                <w:lang w:val="en-GB"/>
              </w:rPr>
            </w:pPr>
            <w:r w:rsidRPr="00773C04">
              <w:rPr>
                <w:lang w:val="en-GB"/>
              </w:rPr>
              <w:t>Agreeableness</w:t>
            </w:r>
          </w:p>
        </w:tc>
        <w:tc>
          <w:tcPr>
            <w:tcW w:w="3686" w:type="dxa"/>
            <w:vMerge/>
          </w:tcPr>
          <w:p w14:paraId="27768803" w14:textId="77777777" w:rsidR="00287C2E" w:rsidRPr="00773C04" w:rsidRDefault="00287C2E" w:rsidP="002906AD">
            <w:pPr>
              <w:jc w:val="center"/>
              <w:rPr>
                <w:lang w:val="en-GB"/>
              </w:rPr>
            </w:pPr>
          </w:p>
        </w:tc>
        <w:tc>
          <w:tcPr>
            <w:tcW w:w="1134" w:type="dxa"/>
            <w:vMerge/>
          </w:tcPr>
          <w:p w14:paraId="094CA8A5" w14:textId="77777777" w:rsidR="00287C2E" w:rsidRPr="00773C04" w:rsidRDefault="00287C2E" w:rsidP="002906AD">
            <w:pPr>
              <w:jc w:val="center"/>
              <w:rPr>
                <w:lang w:val="en-GB"/>
              </w:rPr>
            </w:pPr>
          </w:p>
        </w:tc>
        <w:tc>
          <w:tcPr>
            <w:tcW w:w="1276" w:type="dxa"/>
            <w:vAlign w:val="center"/>
          </w:tcPr>
          <w:p w14:paraId="5CEE7557" w14:textId="285CA624" w:rsidR="00287C2E" w:rsidRPr="00773C04" w:rsidRDefault="006C785E" w:rsidP="002906AD">
            <w:pPr>
              <w:jc w:val="center"/>
              <w:rPr>
                <w:lang w:val="en-GB"/>
              </w:rPr>
            </w:pPr>
            <w:r>
              <w:rPr>
                <w:lang w:val="en-GB"/>
              </w:rPr>
              <w:t>-.</w:t>
            </w:r>
            <w:r w:rsidR="00287C2E" w:rsidRPr="00773C04">
              <w:rPr>
                <w:lang w:val="en-GB"/>
              </w:rPr>
              <w:t>018</w:t>
            </w:r>
          </w:p>
        </w:tc>
      </w:tr>
      <w:tr w:rsidR="00287C2E" w:rsidRPr="00773C04" w14:paraId="613AABB7" w14:textId="77777777" w:rsidTr="002864B3">
        <w:trPr>
          <w:jc w:val="center"/>
        </w:trPr>
        <w:tc>
          <w:tcPr>
            <w:tcW w:w="2268" w:type="dxa"/>
            <w:vAlign w:val="center"/>
          </w:tcPr>
          <w:p w14:paraId="547F60AF" w14:textId="77777777" w:rsidR="00287C2E" w:rsidRPr="00773C04" w:rsidRDefault="00287C2E" w:rsidP="002906AD">
            <w:pPr>
              <w:rPr>
                <w:lang w:val="en-GB"/>
              </w:rPr>
            </w:pPr>
            <w:bookmarkStart w:id="2" w:name="_Hlk57106683"/>
            <w:r w:rsidRPr="00773C04">
              <w:rPr>
                <w:lang w:val="en-GB"/>
              </w:rPr>
              <w:t>Conscientiousness</w:t>
            </w:r>
          </w:p>
        </w:tc>
        <w:tc>
          <w:tcPr>
            <w:tcW w:w="3686" w:type="dxa"/>
            <w:vMerge w:val="restart"/>
            <w:vAlign w:val="center"/>
          </w:tcPr>
          <w:p w14:paraId="35ACFA28" w14:textId="77777777" w:rsidR="00287C2E" w:rsidRPr="00773C04" w:rsidRDefault="00287C2E" w:rsidP="002906AD">
            <w:pPr>
              <w:jc w:val="center"/>
              <w:rPr>
                <w:lang w:val="en-GB"/>
              </w:rPr>
            </w:pPr>
            <w:r w:rsidRPr="00773C04">
              <w:rPr>
                <w:lang w:val="en-GB"/>
              </w:rPr>
              <w:t>→ Promoting learning process →</w:t>
            </w:r>
          </w:p>
        </w:tc>
        <w:tc>
          <w:tcPr>
            <w:tcW w:w="1134" w:type="dxa"/>
            <w:vMerge w:val="restart"/>
            <w:vAlign w:val="center"/>
          </w:tcPr>
          <w:p w14:paraId="4805AF8A" w14:textId="77777777" w:rsidR="00287C2E" w:rsidRPr="00773C04" w:rsidRDefault="00287C2E" w:rsidP="002906AD">
            <w:pPr>
              <w:jc w:val="center"/>
              <w:rPr>
                <w:lang w:val="en-GB"/>
              </w:rPr>
            </w:pPr>
            <w:r w:rsidRPr="00773C04">
              <w:rPr>
                <w:lang w:val="en-GB"/>
              </w:rPr>
              <w:t>GPA</w:t>
            </w:r>
          </w:p>
        </w:tc>
        <w:tc>
          <w:tcPr>
            <w:tcW w:w="1276" w:type="dxa"/>
            <w:vAlign w:val="center"/>
          </w:tcPr>
          <w:p w14:paraId="1D2C2743" w14:textId="37786CF8" w:rsidR="00287C2E" w:rsidRPr="00773C04" w:rsidRDefault="006C785E" w:rsidP="002906AD">
            <w:pPr>
              <w:jc w:val="center"/>
              <w:rPr>
                <w:lang w:val="en-GB"/>
              </w:rPr>
            </w:pPr>
            <w:r>
              <w:rPr>
                <w:lang w:val="en-GB"/>
              </w:rPr>
              <w:t>-.</w:t>
            </w:r>
            <w:r w:rsidR="00287C2E" w:rsidRPr="00773C04">
              <w:rPr>
                <w:lang w:val="en-GB"/>
              </w:rPr>
              <w:t>015</w:t>
            </w:r>
          </w:p>
        </w:tc>
      </w:tr>
      <w:tr w:rsidR="00287C2E" w:rsidRPr="00773C04" w14:paraId="5111BAF9" w14:textId="77777777" w:rsidTr="002864B3">
        <w:trPr>
          <w:jc w:val="center"/>
        </w:trPr>
        <w:tc>
          <w:tcPr>
            <w:tcW w:w="2268" w:type="dxa"/>
            <w:vAlign w:val="center"/>
          </w:tcPr>
          <w:p w14:paraId="22DA7B80" w14:textId="77777777" w:rsidR="00287C2E" w:rsidRPr="00773C04" w:rsidRDefault="00287C2E" w:rsidP="002906AD">
            <w:pPr>
              <w:rPr>
                <w:lang w:val="en-GB"/>
              </w:rPr>
            </w:pPr>
            <w:r w:rsidRPr="00773C04">
              <w:rPr>
                <w:lang w:val="en-GB"/>
              </w:rPr>
              <w:t>Openness</w:t>
            </w:r>
          </w:p>
        </w:tc>
        <w:tc>
          <w:tcPr>
            <w:tcW w:w="3686" w:type="dxa"/>
            <w:vMerge/>
          </w:tcPr>
          <w:p w14:paraId="32C0A62E" w14:textId="77777777" w:rsidR="00287C2E" w:rsidRPr="00773C04" w:rsidRDefault="00287C2E" w:rsidP="002906AD">
            <w:pPr>
              <w:jc w:val="center"/>
              <w:rPr>
                <w:lang w:val="en-GB"/>
              </w:rPr>
            </w:pPr>
          </w:p>
        </w:tc>
        <w:tc>
          <w:tcPr>
            <w:tcW w:w="1134" w:type="dxa"/>
            <w:vMerge/>
          </w:tcPr>
          <w:p w14:paraId="23B413E5" w14:textId="77777777" w:rsidR="00287C2E" w:rsidRPr="00773C04" w:rsidRDefault="00287C2E" w:rsidP="002906AD">
            <w:pPr>
              <w:jc w:val="center"/>
              <w:rPr>
                <w:lang w:val="en-GB"/>
              </w:rPr>
            </w:pPr>
          </w:p>
        </w:tc>
        <w:tc>
          <w:tcPr>
            <w:tcW w:w="1276" w:type="dxa"/>
            <w:vAlign w:val="center"/>
          </w:tcPr>
          <w:p w14:paraId="4E6C0238" w14:textId="71111C71" w:rsidR="00287C2E" w:rsidRPr="00773C04" w:rsidRDefault="006C785E" w:rsidP="002906AD">
            <w:pPr>
              <w:jc w:val="center"/>
              <w:rPr>
                <w:lang w:val="en-GB"/>
              </w:rPr>
            </w:pPr>
            <w:r>
              <w:rPr>
                <w:lang w:val="en-GB"/>
              </w:rPr>
              <w:t>-.</w:t>
            </w:r>
            <w:r w:rsidR="00287C2E" w:rsidRPr="00773C04">
              <w:rPr>
                <w:lang w:val="en-GB"/>
              </w:rPr>
              <w:t>001</w:t>
            </w:r>
          </w:p>
        </w:tc>
      </w:tr>
      <w:tr w:rsidR="00287C2E" w:rsidRPr="00773C04" w14:paraId="2E60F61F" w14:textId="77777777" w:rsidTr="002864B3">
        <w:trPr>
          <w:jc w:val="center"/>
        </w:trPr>
        <w:tc>
          <w:tcPr>
            <w:tcW w:w="2268" w:type="dxa"/>
            <w:vAlign w:val="center"/>
          </w:tcPr>
          <w:p w14:paraId="303EBC5F" w14:textId="77777777" w:rsidR="00287C2E" w:rsidRPr="00773C04" w:rsidRDefault="00287C2E" w:rsidP="002906AD">
            <w:pPr>
              <w:rPr>
                <w:lang w:val="en-GB"/>
              </w:rPr>
            </w:pPr>
            <w:r w:rsidRPr="00773C04">
              <w:rPr>
                <w:lang w:val="en-GB"/>
              </w:rPr>
              <w:t>Neuroticism</w:t>
            </w:r>
          </w:p>
        </w:tc>
        <w:tc>
          <w:tcPr>
            <w:tcW w:w="3686" w:type="dxa"/>
            <w:vMerge/>
          </w:tcPr>
          <w:p w14:paraId="71CD6126" w14:textId="77777777" w:rsidR="00287C2E" w:rsidRPr="00773C04" w:rsidRDefault="00287C2E" w:rsidP="002906AD">
            <w:pPr>
              <w:jc w:val="center"/>
              <w:rPr>
                <w:lang w:val="en-GB"/>
              </w:rPr>
            </w:pPr>
          </w:p>
        </w:tc>
        <w:tc>
          <w:tcPr>
            <w:tcW w:w="1134" w:type="dxa"/>
            <w:vMerge/>
          </w:tcPr>
          <w:p w14:paraId="6F14EA6F" w14:textId="77777777" w:rsidR="00287C2E" w:rsidRPr="00773C04" w:rsidRDefault="00287C2E" w:rsidP="002906AD">
            <w:pPr>
              <w:jc w:val="center"/>
              <w:rPr>
                <w:lang w:val="en-GB"/>
              </w:rPr>
            </w:pPr>
          </w:p>
        </w:tc>
        <w:tc>
          <w:tcPr>
            <w:tcW w:w="1276" w:type="dxa"/>
            <w:vAlign w:val="center"/>
          </w:tcPr>
          <w:p w14:paraId="10729971" w14:textId="2BFA0C56" w:rsidR="00287C2E" w:rsidRPr="00773C04" w:rsidRDefault="006C785E" w:rsidP="002906AD">
            <w:pPr>
              <w:jc w:val="center"/>
              <w:rPr>
                <w:lang w:val="en-GB"/>
              </w:rPr>
            </w:pPr>
            <w:r>
              <w:rPr>
                <w:lang w:val="en-GB"/>
              </w:rPr>
              <w:t>-.</w:t>
            </w:r>
            <w:r w:rsidR="00287C2E" w:rsidRPr="00773C04">
              <w:rPr>
                <w:lang w:val="en-GB"/>
              </w:rPr>
              <w:t>004</w:t>
            </w:r>
          </w:p>
        </w:tc>
      </w:tr>
      <w:tr w:rsidR="00287C2E" w:rsidRPr="00773C04" w14:paraId="192942C7" w14:textId="77777777" w:rsidTr="002864B3">
        <w:trPr>
          <w:jc w:val="center"/>
        </w:trPr>
        <w:tc>
          <w:tcPr>
            <w:tcW w:w="2268" w:type="dxa"/>
            <w:vAlign w:val="center"/>
          </w:tcPr>
          <w:p w14:paraId="58CEBF81" w14:textId="77777777" w:rsidR="00287C2E" w:rsidRPr="00773C04" w:rsidRDefault="00287C2E" w:rsidP="002906AD">
            <w:pPr>
              <w:rPr>
                <w:lang w:val="en-GB"/>
              </w:rPr>
            </w:pPr>
            <w:r w:rsidRPr="00773C04">
              <w:rPr>
                <w:lang w:val="en-GB"/>
              </w:rPr>
              <w:t>Extraversion</w:t>
            </w:r>
          </w:p>
        </w:tc>
        <w:tc>
          <w:tcPr>
            <w:tcW w:w="3686" w:type="dxa"/>
            <w:vMerge/>
          </w:tcPr>
          <w:p w14:paraId="0E959334" w14:textId="77777777" w:rsidR="00287C2E" w:rsidRPr="00773C04" w:rsidRDefault="00287C2E" w:rsidP="002906AD">
            <w:pPr>
              <w:jc w:val="center"/>
              <w:rPr>
                <w:lang w:val="en-GB"/>
              </w:rPr>
            </w:pPr>
          </w:p>
        </w:tc>
        <w:tc>
          <w:tcPr>
            <w:tcW w:w="1134" w:type="dxa"/>
            <w:vMerge/>
          </w:tcPr>
          <w:p w14:paraId="1B3CF57B" w14:textId="77777777" w:rsidR="00287C2E" w:rsidRPr="00773C04" w:rsidRDefault="00287C2E" w:rsidP="002906AD">
            <w:pPr>
              <w:jc w:val="center"/>
              <w:rPr>
                <w:lang w:val="en-GB"/>
              </w:rPr>
            </w:pPr>
          </w:p>
        </w:tc>
        <w:tc>
          <w:tcPr>
            <w:tcW w:w="1276" w:type="dxa"/>
            <w:vAlign w:val="center"/>
          </w:tcPr>
          <w:p w14:paraId="0CA21D05" w14:textId="6BE7A123" w:rsidR="00287C2E" w:rsidRPr="00773C04" w:rsidRDefault="006C785E" w:rsidP="002906AD">
            <w:pPr>
              <w:jc w:val="center"/>
              <w:rPr>
                <w:lang w:val="en-GB"/>
              </w:rPr>
            </w:pPr>
            <w:r>
              <w:rPr>
                <w:lang w:val="en-GB"/>
              </w:rPr>
              <w:t xml:space="preserve"> .</w:t>
            </w:r>
            <w:r w:rsidR="00287C2E" w:rsidRPr="00773C04">
              <w:rPr>
                <w:lang w:val="en-GB"/>
              </w:rPr>
              <w:t>002</w:t>
            </w:r>
          </w:p>
        </w:tc>
      </w:tr>
      <w:tr w:rsidR="00287C2E" w:rsidRPr="00773C04" w14:paraId="13691F27" w14:textId="77777777" w:rsidTr="002864B3">
        <w:trPr>
          <w:jc w:val="center"/>
        </w:trPr>
        <w:tc>
          <w:tcPr>
            <w:tcW w:w="2268" w:type="dxa"/>
            <w:vAlign w:val="center"/>
          </w:tcPr>
          <w:p w14:paraId="5EF385E9" w14:textId="77777777" w:rsidR="00287C2E" w:rsidRPr="00773C04" w:rsidRDefault="00287C2E" w:rsidP="002906AD">
            <w:pPr>
              <w:rPr>
                <w:lang w:val="en-GB"/>
              </w:rPr>
            </w:pPr>
            <w:r w:rsidRPr="00773C04">
              <w:rPr>
                <w:lang w:val="en-GB"/>
              </w:rPr>
              <w:t>Agreeableness</w:t>
            </w:r>
          </w:p>
        </w:tc>
        <w:tc>
          <w:tcPr>
            <w:tcW w:w="3686" w:type="dxa"/>
            <w:vMerge/>
          </w:tcPr>
          <w:p w14:paraId="3F652FA2" w14:textId="77777777" w:rsidR="00287C2E" w:rsidRPr="00773C04" w:rsidRDefault="00287C2E" w:rsidP="002906AD">
            <w:pPr>
              <w:jc w:val="center"/>
              <w:rPr>
                <w:lang w:val="en-GB"/>
              </w:rPr>
            </w:pPr>
          </w:p>
        </w:tc>
        <w:tc>
          <w:tcPr>
            <w:tcW w:w="1134" w:type="dxa"/>
            <w:vMerge/>
          </w:tcPr>
          <w:p w14:paraId="27E13A96" w14:textId="77777777" w:rsidR="00287C2E" w:rsidRPr="00773C04" w:rsidRDefault="00287C2E" w:rsidP="002906AD">
            <w:pPr>
              <w:jc w:val="center"/>
              <w:rPr>
                <w:lang w:val="en-GB"/>
              </w:rPr>
            </w:pPr>
          </w:p>
        </w:tc>
        <w:tc>
          <w:tcPr>
            <w:tcW w:w="1276" w:type="dxa"/>
            <w:vAlign w:val="center"/>
          </w:tcPr>
          <w:p w14:paraId="06915314" w14:textId="432D6AFA" w:rsidR="00287C2E" w:rsidRPr="00773C04" w:rsidRDefault="006C785E" w:rsidP="002906AD">
            <w:pPr>
              <w:jc w:val="center"/>
              <w:rPr>
                <w:lang w:val="en-GB"/>
              </w:rPr>
            </w:pPr>
            <w:r>
              <w:rPr>
                <w:lang w:val="en-GB"/>
              </w:rPr>
              <w:t>-.</w:t>
            </w:r>
            <w:r w:rsidR="00287C2E" w:rsidRPr="00773C04">
              <w:rPr>
                <w:lang w:val="en-GB"/>
              </w:rPr>
              <w:t>006</w:t>
            </w:r>
          </w:p>
        </w:tc>
      </w:tr>
      <w:bookmarkEnd w:id="2"/>
      <w:tr w:rsidR="00287C2E" w:rsidRPr="00773C04" w14:paraId="3D54981F" w14:textId="77777777" w:rsidTr="002864B3">
        <w:trPr>
          <w:jc w:val="center"/>
        </w:trPr>
        <w:tc>
          <w:tcPr>
            <w:tcW w:w="2268" w:type="dxa"/>
            <w:vAlign w:val="center"/>
          </w:tcPr>
          <w:p w14:paraId="42DCD743" w14:textId="77777777" w:rsidR="00287C2E" w:rsidRPr="00773C04" w:rsidRDefault="00287C2E" w:rsidP="002906AD">
            <w:pPr>
              <w:rPr>
                <w:lang w:val="en-GB"/>
              </w:rPr>
            </w:pPr>
            <w:r w:rsidRPr="00773C04">
              <w:rPr>
                <w:lang w:val="en-GB"/>
              </w:rPr>
              <w:t>Conscientiousness</w:t>
            </w:r>
          </w:p>
        </w:tc>
        <w:tc>
          <w:tcPr>
            <w:tcW w:w="3686" w:type="dxa"/>
            <w:vMerge w:val="restart"/>
            <w:vAlign w:val="center"/>
          </w:tcPr>
          <w:p w14:paraId="2D3AF2BE" w14:textId="77777777" w:rsidR="00287C2E" w:rsidRPr="00773C04" w:rsidRDefault="00287C2E" w:rsidP="002906AD">
            <w:pPr>
              <w:jc w:val="center"/>
              <w:rPr>
                <w:lang w:val="en-GB"/>
              </w:rPr>
            </w:pPr>
            <w:r w:rsidRPr="00773C04">
              <w:rPr>
                <w:lang w:val="en-GB"/>
              </w:rPr>
              <w:t>→ Protecting self-esteem →</w:t>
            </w:r>
          </w:p>
        </w:tc>
        <w:tc>
          <w:tcPr>
            <w:tcW w:w="1134" w:type="dxa"/>
            <w:vMerge w:val="restart"/>
            <w:vAlign w:val="center"/>
          </w:tcPr>
          <w:p w14:paraId="497F2EDA" w14:textId="77777777" w:rsidR="00287C2E" w:rsidRPr="00773C04" w:rsidRDefault="00287C2E" w:rsidP="002906AD">
            <w:pPr>
              <w:jc w:val="center"/>
              <w:rPr>
                <w:lang w:val="en-GB"/>
              </w:rPr>
            </w:pPr>
            <w:r w:rsidRPr="00773C04">
              <w:rPr>
                <w:lang w:val="en-GB"/>
              </w:rPr>
              <w:t>GPA</w:t>
            </w:r>
          </w:p>
        </w:tc>
        <w:tc>
          <w:tcPr>
            <w:tcW w:w="1276" w:type="dxa"/>
            <w:vAlign w:val="center"/>
          </w:tcPr>
          <w:p w14:paraId="2F353424" w14:textId="585EAAA0" w:rsidR="00287C2E" w:rsidRPr="00773C04" w:rsidRDefault="002864B3" w:rsidP="002906AD">
            <w:pPr>
              <w:jc w:val="center"/>
              <w:rPr>
                <w:lang w:val="en-GB"/>
              </w:rPr>
            </w:pPr>
            <w:r>
              <w:rPr>
                <w:lang w:val="en-GB"/>
              </w:rPr>
              <w:t xml:space="preserve">  </w:t>
            </w:r>
            <w:r w:rsidR="006C785E">
              <w:rPr>
                <w:lang w:val="en-GB"/>
              </w:rPr>
              <w:t xml:space="preserve"> .</w:t>
            </w:r>
            <w:r w:rsidR="00287C2E" w:rsidRPr="00773C04">
              <w:rPr>
                <w:lang w:val="en-GB"/>
              </w:rPr>
              <w:t>051</w:t>
            </w:r>
            <w:r w:rsidR="00287C2E">
              <w:rPr>
                <w:lang w:val="en-GB"/>
              </w:rPr>
              <w:t>*</w:t>
            </w:r>
          </w:p>
        </w:tc>
      </w:tr>
      <w:tr w:rsidR="00287C2E" w:rsidRPr="00773C04" w14:paraId="33A7BEB4" w14:textId="77777777" w:rsidTr="002864B3">
        <w:trPr>
          <w:jc w:val="center"/>
        </w:trPr>
        <w:tc>
          <w:tcPr>
            <w:tcW w:w="2268" w:type="dxa"/>
            <w:vAlign w:val="center"/>
          </w:tcPr>
          <w:p w14:paraId="715CBA18" w14:textId="77777777" w:rsidR="00287C2E" w:rsidRPr="00773C04" w:rsidRDefault="00287C2E" w:rsidP="002906AD">
            <w:pPr>
              <w:rPr>
                <w:lang w:val="en-GB"/>
              </w:rPr>
            </w:pPr>
            <w:r w:rsidRPr="00773C04">
              <w:rPr>
                <w:lang w:val="en-GB"/>
              </w:rPr>
              <w:t>Openness</w:t>
            </w:r>
          </w:p>
        </w:tc>
        <w:tc>
          <w:tcPr>
            <w:tcW w:w="3686" w:type="dxa"/>
            <w:vMerge/>
          </w:tcPr>
          <w:p w14:paraId="0D5C2CF3" w14:textId="77777777" w:rsidR="00287C2E" w:rsidRPr="00773C04" w:rsidRDefault="00287C2E" w:rsidP="002906AD">
            <w:pPr>
              <w:jc w:val="center"/>
              <w:rPr>
                <w:lang w:val="en-GB"/>
              </w:rPr>
            </w:pPr>
          </w:p>
        </w:tc>
        <w:tc>
          <w:tcPr>
            <w:tcW w:w="1134" w:type="dxa"/>
            <w:vMerge/>
          </w:tcPr>
          <w:p w14:paraId="24350E11" w14:textId="77777777" w:rsidR="00287C2E" w:rsidRPr="00773C04" w:rsidRDefault="00287C2E" w:rsidP="002906AD">
            <w:pPr>
              <w:jc w:val="center"/>
              <w:rPr>
                <w:lang w:val="en-GB"/>
              </w:rPr>
            </w:pPr>
          </w:p>
        </w:tc>
        <w:tc>
          <w:tcPr>
            <w:tcW w:w="1276" w:type="dxa"/>
            <w:vAlign w:val="center"/>
          </w:tcPr>
          <w:p w14:paraId="226966F6" w14:textId="3CDA0C12" w:rsidR="00287C2E" w:rsidRPr="00773C04" w:rsidRDefault="006C785E" w:rsidP="002906AD">
            <w:pPr>
              <w:jc w:val="center"/>
              <w:rPr>
                <w:lang w:val="en-GB"/>
              </w:rPr>
            </w:pPr>
            <w:r>
              <w:rPr>
                <w:lang w:val="en-GB"/>
              </w:rPr>
              <w:t>-.</w:t>
            </w:r>
            <w:r w:rsidR="00287C2E" w:rsidRPr="00773C04">
              <w:rPr>
                <w:lang w:val="en-GB"/>
              </w:rPr>
              <w:t>001</w:t>
            </w:r>
          </w:p>
        </w:tc>
      </w:tr>
      <w:tr w:rsidR="00287C2E" w:rsidRPr="00773C04" w14:paraId="11A80192" w14:textId="77777777" w:rsidTr="002864B3">
        <w:trPr>
          <w:jc w:val="center"/>
        </w:trPr>
        <w:tc>
          <w:tcPr>
            <w:tcW w:w="2268" w:type="dxa"/>
            <w:vAlign w:val="center"/>
          </w:tcPr>
          <w:p w14:paraId="454BC347" w14:textId="77777777" w:rsidR="00287C2E" w:rsidRPr="00773C04" w:rsidRDefault="00287C2E" w:rsidP="002906AD">
            <w:pPr>
              <w:rPr>
                <w:lang w:val="en-GB"/>
              </w:rPr>
            </w:pPr>
            <w:r w:rsidRPr="00773C04">
              <w:rPr>
                <w:lang w:val="en-GB"/>
              </w:rPr>
              <w:t>Neuroticism</w:t>
            </w:r>
          </w:p>
        </w:tc>
        <w:tc>
          <w:tcPr>
            <w:tcW w:w="3686" w:type="dxa"/>
            <w:vMerge/>
          </w:tcPr>
          <w:p w14:paraId="068F4400" w14:textId="77777777" w:rsidR="00287C2E" w:rsidRPr="00773C04" w:rsidRDefault="00287C2E" w:rsidP="002906AD">
            <w:pPr>
              <w:jc w:val="center"/>
              <w:rPr>
                <w:lang w:val="en-GB"/>
              </w:rPr>
            </w:pPr>
          </w:p>
        </w:tc>
        <w:tc>
          <w:tcPr>
            <w:tcW w:w="1134" w:type="dxa"/>
            <w:vMerge/>
          </w:tcPr>
          <w:p w14:paraId="4130793C" w14:textId="77777777" w:rsidR="00287C2E" w:rsidRPr="00773C04" w:rsidRDefault="00287C2E" w:rsidP="002906AD">
            <w:pPr>
              <w:jc w:val="center"/>
              <w:rPr>
                <w:lang w:val="en-GB"/>
              </w:rPr>
            </w:pPr>
          </w:p>
        </w:tc>
        <w:tc>
          <w:tcPr>
            <w:tcW w:w="1276" w:type="dxa"/>
            <w:vAlign w:val="center"/>
          </w:tcPr>
          <w:p w14:paraId="7BA7C657" w14:textId="0F394350" w:rsidR="00287C2E" w:rsidRPr="00773C04" w:rsidRDefault="006C785E" w:rsidP="002906AD">
            <w:pPr>
              <w:jc w:val="center"/>
              <w:rPr>
                <w:lang w:val="en-GB"/>
              </w:rPr>
            </w:pPr>
            <w:r>
              <w:rPr>
                <w:lang w:val="en-GB"/>
              </w:rPr>
              <w:t>-.</w:t>
            </w:r>
            <w:r w:rsidR="00287C2E" w:rsidRPr="00773C04">
              <w:rPr>
                <w:lang w:val="en-GB"/>
              </w:rPr>
              <w:t>018</w:t>
            </w:r>
          </w:p>
        </w:tc>
      </w:tr>
      <w:tr w:rsidR="00287C2E" w:rsidRPr="00773C04" w14:paraId="08C3A597" w14:textId="77777777" w:rsidTr="002864B3">
        <w:trPr>
          <w:jc w:val="center"/>
        </w:trPr>
        <w:tc>
          <w:tcPr>
            <w:tcW w:w="2268" w:type="dxa"/>
            <w:vAlign w:val="center"/>
          </w:tcPr>
          <w:p w14:paraId="7550FD80" w14:textId="77777777" w:rsidR="00287C2E" w:rsidRPr="00773C04" w:rsidRDefault="00287C2E" w:rsidP="002906AD">
            <w:pPr>
              <w:rPr>
                <w:lang w:val="en-GB"/>
              </w:rPr>
            </w:pPr>
            <w:r w:rsidRPr="00773C04">
              <w:rPr>
                <w:lang w:val="en-GB"/>
              </w:rPr>
              <w:t>Extraversion</w:t>
            </w:r>
          </w:p>
        </w:tc>
        <w:tc>
          <w:tcPr>
            <w:tcW w:w="3686" w:type="dxa"/>
            <w:vMerge/>
          </w:tcPr>
          <w:p w14:paraId="3F1A11EF" w14:textId="77777777" w:rsidR="00287C2E" w:rsidRPr="00773C04" w:rsidRDefault="00287C2E" w:rsidP="002906AD">
            <w:pPr>
              <w:jc w:val="center"/>
              <w:rPr>
                <w:lang w:val="en-GB"/>
              </w:rPr>
            </w:pPr>
          </w:p>
        </w:tc>
        <w:tc>
          <w:tcPr>
            <w:tcW w:w="1134" w:type="dxa"/>
            <w:vMerge/>
          </w:tcPr>
          <w:p w14:paraId="662ED02B" w14:textId="77777777" w:rsidR="00287C2E" w:rsidRPr="00773C04" w:rsidRDefault="00287C2E" w:rsidP="002906AD">
            <w:pPr>
              <w:jc w:val="center"/>
              <w:rPr>
                <w:lang w:val="en-GB"/>
              </w:rPr>
            </w:pPr>
          </w:p>
        </w:tc>
        <w:tc>
          <w:tcPr>
            <w:tcW w:w="1276" w:type="dxa"/>
            <w:vAlign w:val="center"/>
          </w:tcPr>
          <w:p w14:paraId="2CF4F35D" w14:textId="76FA717A" w:rsidR="00287C2E" w:rsidRPr="00773C04" w:rsidRDefault="006C785E" w:rsidP="002906AD">
            <w:pPr>
              <w:jc w:val="center"/>
              <w:rPr>
                <w:lang w:val="en-GB"/>
              </w:rPr>
            </w:pPr>
            <w:r>
              <w:rPr>
                <w:lang w:val="en-GB"/>
              </w:rPr>
              <w:t>-.</w:t>
            </w:r>
            <w:r w:rsidR="00287C2E" w:rsidRPr="00773C04">
              <w:rPr>
                <w:lang w:val="en-GB"/>
              </w:rPr>
              <w:t>017</w:t>
            </w:r>
          </w:p>
        </w:tc>
      </w:tr>
      <w:tr w:rsidR="00287C2E" w:rsidRPr="00773C04" w14:paraId="28B4A316" w14:textId="77777777" w:rsidTr="002864B3">
        <w:trPr>
          <w:jc w:val="center"/>
        </w:trPr>
        <w:tc>
          <w:tcPr>
            <w:tcW w:w="2268" w:type="dxa"/>
            <w:vAlign w:val="center"/>
          </w:tcPr>
          <w:p w14:paraId="54B452BE" w14:textId="77777777" w:rsidR="00287C2E" w:rsidRPr="00773C04" w:rsidRDefault="00287C2E" w:rsidP="002906AD">
            <w:pPr>
              <w:rPr>
                <w:lang w:val="en-GB"/>
              </w:rPr>
            </w:pPr>
            <w:r w:rsidRPr="00773C04">
              <w:rPr>
                <w:lang w:val="en-GB"/>
              </w:rPr>
              <w:t>Agreeableness</w:t>
            </w:r>
          </w:p>
        </w:tc>
        <w:tc>
          <w:tcPr>
            <w:tcW w:w="3686" w:type="dxa"/>
            <w:vMerge/>
          </w:tcPr>
          <w:p w14:paraId="24D72867" w14:textId="77777777" w:rsidR="00287C2E" w:rsidRPr="00773C04" w:rsidRDefault="00287C2E" w:rsidP="002906AD">
            <w:pPr>
              <w:jc w:val="center"/>
              <w:rPr>
                <w:lang w:val="en-GB"/>
              </w:rPr>
            </w:pPr>
          </w:p>
        </w:tc>
        <w:tc>
          <w:tcPr>
            <w:tcW w:w="1134" w:type="dxa"/>
            <w:vMerge/>
          </w:tcPr>
          <w:p w14:paraId="6D35C80A" w14:textId="77777777" w:rsidR="00287C2E" w:rsidRPr="00773C04" w:rsidRDefault="00287C2E" w:rsidP="002906AD">
            <w:pPr>
              <w:jc w:val="center"/>
              <w:rPr>
                <w:lang w:val="en-GB"/>
              </w:rPr>
            </w:pPr>
          </w:p>
        </w:tc>
        <w:tc>
          <w:tcPr>
            <w:tcW w:w="1276" w:type="dxa"/>
            <w:vAlign w:val="center"/>
          </w:tcPr>
          <w:p w14:paraId="4348128E" w14:textId="0EA53048" w:rsidR="00287C2E" w:rsidRPr="00773C04" w:rsidRDefault="002864B3" w:rsidP="002906AD">
            <w:pPr>
              <w:jc w:val="center"/>
              <w:rPr>
                <w:lang w:val="en-GB"/>
              </w:rPr>
            </w:pPr>
            <w:r>
              <w:rPr>
                <w:lang w:val="en-GB"/>
              </w:rPr>
              <w:t xml:space="preserve">  </w:t>
            </w:r>
            <w:r w:rsidR="006C785E">
              <w:rPr>
                <w:lang w:val="en-GB"/>
              </w:rPr>
              <w:t xml:space="preserve"> .</w:t>
            </w:r>
            <w:r w:rsidR="00287C2E" w:rsidRPr="00773C04">
              <w:rPr>
                <w:lang w:val="en-GB"/>
              </w:rPr>
              <w:t>031</w:t>
            </w:r>
            <w:r w:rsidR="00287C2E">
              <w:rPr>
                <w:lang w:val="en-GB"/>
              </w:rPr>
              <w:t>*</w:t>
            </w:r>
          </w:p>
        </w:tc>
      </w:tr>
      <w:tr w:rsidR="00287C2E" w:rsidRPr="00773C04" w14:paraId="022BCFE7" w14:textId="77777777" w:rsidTr="002864B3">
        <w:trPr>
          <w:jc w:val="center"/>
        </w:trPr>
        <w:tc>
          <w:tcPr>
            <w:tcW w:w="2268" w:type="dxa"/>
            <w:vAlign w:val="center"/>
          </w:tcPr>
          <w:p w14:paraId="34E151E5" w14:textId="77777777" w:rsidR="00287C2E" w:rsidRPr="00773C04" w:rsidRDefault="00287C2E" w:rsidP="002906AD">
            <w:pPr>
              <w:rPr>
                <w:lang w:val="en-GB"/>
              </w:rPr>
            </w:pPr>
            <w:r w:rsidRPr="00773C04">
              <w:rPr>
                <w:lang w:val="en-GB"/>
              </w:rPr>
              <w:t>Conscientiousness</w:t>
            </w:r>
          </w:p>
        </w:tc>
        <w:tc>
          <w:tcPr>
            <w:tcW w:w="3686" w:type="dxa"/>
            <w:vMerge w:val="restart"/>
            <w:vAlign w:val="center"/>
          </w:tcPr>
          <w:p w14:paraId="430F7BEF" w14:textId="7E0551DD" w:rsidR="00287C2E" w:rsidRPr="00773C04" w:rsidRDefault="00287C2E" w:rsidP="002906AD">
            <w:pPr>
              <w:jc w:val="center"/>
              <w:rPr>
                <w:lang w:val="en-GB"/>
              </w:rPr>
            </w:pPr>
            <w:r w:rsidRPr="00773C04">
              <w:rPr>
                <w:lang w:val="en-GB"/>
              </w:rPr>
              <w:t xml:space="preserve">→ </w:t>
            </w:r>
            <w:r w:rsidR="00ED289C">
              <w:rPr>
                <w:lang w:val="en-GB"/>
              </w:rPr>
              <w:t>A</w:t>
            </w:r>
            <w:r w:rsidR="00ED289C" w:rsidRPr="00ED289C">
              <w:rPr>
                <w:lang w:val="en-GB"/>
              </w:rPr>
              <w:t>cademic self-efficacy</w:t>
            </w:r>
            <w:r w:rsidRPr="00773C04">
              <w:rPr>
                <w:lang w:val="en-GB"/>
              </w:rPr>
              <w:t xml:space="preserve"> </w:t>
            </w:r>
          </w:p>
          <w:p w14:paraId="44124D13" w14:textId="77777777" w:rsidR="00287C2E" w:rsidRPr="00773C04" w:rsidRDefault="00287C2E" w:rsidP="002906AD">
            <w:pPr>
              <w:jc w:val="center"/>
              <w:rPr>
                <w:lang w:val="en-GB"/>
              </w:rPr>
            </w:pPr>
            <w:r w:rsidRPr="00773C04">
              <w:rPr>
                <w:lang w:val="en-GB"/>
              </w:rPr>
              <w:t xml:space="preserve">↓ </w:t>
            </w:r>
          </w:p>
          <w:p w14:paraId="0D23B629" w14:textId="77777777" w:rsidR="00287C2E" w:rsidRPr="00773C04" w:rsidRDefault="00287C2E" w:rsidP="002906AD">
            <w:pPr>
              <w:jc w:val="center"/>
              <w:rPr>
                <w:lang w:val="en-GB"/>
              </w:rPr>
            </w:pPr>
            <w:r w:rsidRPr="00773C04">
              <w:rPr>
                <w:lang w:val="en-GB"/>
              </w:rPr>
              <w:t xml:space="preserve"> Promoting learning process →</w:t>
            </w:r>
          </w:p>
        </w:tc>
        <w:tc>
          <w:tcPr>
            <w:tcW w:w="1134" w:type="dxa"/>
            <w:vMerge w:val="restart"/>
            <w:vAlign w:val="center"/>
          </w:tcPr>
          <w:p w14:paraId="2E0FF7B8" w14:textId="77777777" w:rsidR="00287C2E" w:rsidRPr="00773C04" w:rsidRDefault="00287C2E" w:rsidP="002906AD">
            <w:pPr>
              <w:jc w:val="center"/>
              <w:rPr>
                <w:lang w:val="en-GB"/>
              </w:rPr>
            </w:pPr>
            <w:r w:rsidRPr="00773C04">
              <w:rPr>
                <w:lang w:val="en-GB"/>
              </w:rPr>
              <w:t>GPA</w:t>
            </w:r>
          </w:p>
        </w:tc>
        <w:tc>
          <w:tcPr>
            <w:tcW w:w="1276" w:type="dxa"/>
            <w:vAlign w:val="center"/>
          </w:tcPr>
          <w:p w14:paraId="359F29DB" w14:textId="785B0B62" w:rsidR="00287C2E" w:rsidRPr="00773C04" w:rsidRDefault="006C785E" w:rsidP="002906AD">
            <w:pPr>
              <w:jc w:val="center"/>
              <w:rPr>
                <w:lang w:val="en-GB"/>
              </w:rPr>
            </w:pPr>
            <w:r>
              <w:rPr>
                <w:lang w:val="en-GB"/>
              </w:rPr>
              <w:t>-.</w:t>
            </w:r>
            <w:r w:rsidR="00287C2E" w:rsidRPr="00773C04">
              <w:rPr>
                <w:lang w:val="en-GB"/>
              </w:rPr>
              <w:t>002</w:t>
            </w:r>
          </w:p>
        </w:tc>
      </w:tr>
      <w:tr w:rsidR="00287C2E" w:rsidRPr="00773C04" w14:paraId="7BDE6AB5" w14:textId="77777777" w:rsidTr="002864B3">
        <w:trPr>
          <w:jc w:val="center"/>
        </w:trPr>
        <w:tc>
          <w:tcPr>
            <w:tcW w:w="2268" w:type="dxa"/>
            <w:vAlign w:val="center"/>
          </w:tcPr>
          <w:p w14:paraId="65D38358" w14:textId="77777777" w:rsidR="00287C2E" w:rsidRPr="00773C04" w:rsidRDefault="00287C2E" w:rsidP="002906AD">
            <w:pPr>
              <w:rPr>
                <w:lang w:val="en-GB"/>
              </w:rPr>
            </w:pPr>
            <w:r w:rsidRPr="00773C04">
              <w:rPr>
                <w:lang w:val="en-GB"/>
              </w:rPr>
              <w:t>Openness</w:t>
            </w:r>
          </w:p>
        </w:tc>
        <w:tc>
          <w:tcPr>
            <w:tcW w:w="3686" w:type="dxa"/>
            <w:vMerge/>
          </w:tcPr>
          <w:p w14:paraId="7E62AA2C" w14:textId="77777777" w:rsidR="00287C2E" w:rsidRPr="00773C04" w:rsidRDefault="00287C2E" w:rsidP="002906AD">
            <w:pPr>
              <w:jc w:val="center"/>
              <w:rPr>
                <w:lang w:val="en-GB"/>
              </w:rPr>
            </w:pPr>
          </w:p>
        </w:tc>
        <w:tc>
          <w:tcPr>
            <w:tcW w:w="1134" w:type="dxa"/>
            <w:vMerge/>
          </w:tcPr>
          <w:p w14:paraId="2A275DB6" w14:textId="77777777" w:rsidR="00287C2E" w:rsidRPr="00773C04" w:rsidRDefault="00287C2E" w:rsidP="002906AD">
            <w:pPr>
              <w:jc w:val="center"/>
              <w:rPr>
                <w:lang w:val="en-GB"/>
              </w:rPr>
            </w:pPr>
          </w:p>
        </w:tc>
        <w:tc>
          <w:tcPr>
            <w:tcW w:w="1276" w:type="dxa"/>
            <w:vAlign w:val="center"/>
          </w:tcPr>
          <w:p w14:paraId="4342CF2E" w14:textId="18663E92" w:rsidR="00287C2E" w:rsidRPr="00773C04" w:rsidRDefault="006C785E" w:rsidP="002906AD">
            <w:pPr>
              <w:jc w:val="center"/>
              <w:rPr>
                <w:lang w:val="en-GB"/>
              </w:rPr>
            </w:pPr>
            <w:r>
              <w:rPr>
                <w:lang w:val="en-GB"/>
              </w:rPr>
              <w:t>-.</w:t>
            </w:r>
            <w:r w:rsidR="00287C2E" w:rsidRPr="00773C04">
              <w:rPr>
                <w:lang w:val="en-GB"/>
              </w:rPr>
              <w:t>001</w:t>
            </w:r>
          </w:p>
        </w:tc>
      </w:tr>
      <w:tr w:rsidR="00287C2E" w:rsidRPr="00773C04" w14:paraId="3A7EE63D" w14:textId="77777777" w:rsidTr="002864B3">
        <w:trPr>
          <w:jc w:val="center"/>
        </w:trPr>
        <w:tc>
          <w:tcPr>
            <w:tcW w:w="2268" w:type="dxa"/>
            <w:vAlign w:val="center"/>
          </w:tcPr>
          <w:p w14:paraId="1EB08ABB" w14:textId="77777777" w:rsidR="00287C2E" w:rsidRPr="00773C04" w:rsidRDefault="00287C2E" w:rsidP="002906AD">
            <w:pPr>
              <w:rPr>
                <w:lang w:val="en-GB"/>
              </w:rPr>
            </w:pPr>
            <w:r w:rsidRPr="00773C04">
              <w:rPr>
                <w:lang w:val="en-GB"/>
              </w:rPr>
              <w:t>Neuroticism</w:t>
            </w:r>
          </w:p>
        </w:tc>
        <w:tc>
          <w:tcPr>
            <w:tcW w:w="3686" w:type="dxa"/>
            <w:vMerge/>
          </w:tcPr>
          <w:p w14:paraId="75C6EDD7" w14:textId="77777777" w:rsidR="00287C2E" w:rsidRPr="00773C04" w:rsidRDefault="00287C2E" w:rsidP="002906AD">
            <w:pPr>
              <w:jc w:val="center"/>
              <w:rPr>
                <w:lang w:val="en-GB"/>
              </w:rPr>
            </w:pPr>
          </w:p>
        </w:tc>
        <w:tc>
          <w:tcPr>
            <w:tcW w:w="1134" w:type="dxa"/>
            <w:vMerge/>
          </w:tcPr>
          <w:p w14:paraId="6B9F3D00" w14:textId="77777777" w:rsidR="00287C2E" w:rsidRPr="00773C04" w:rsidRDefault="00287C2E" w:rsidP="002906AD">
            <w:pPr>
              <w:jc w:val="center"/>
              <w:rPr>
                <w:lang w:val="en-GB"/>
              </w:rPr>
            </w:pPr>
          </w:p>
        </w:tc>
        <w:tc>
          <w:tcPr>
            <w:tcW w:w="1276" w:type="dxa"/>
            <w:vAlign w:val="center"/>
          </w:tcPr>
          <w:p w14:paraId="56F4186B" w14:textId="28241D03" w:rsidR="00287C2E" w:rsidRPr="00773C04" w:rsidRDefault="006C785E" w:rsidP="002906AD">
            <w:pPr>
              <w:jc w:val="center"/>
              <w:rPr>
                <w:lang w:val="en-GB"/>
              </w:rPr>
            </w:pPr>
            <w:r>
              <w:rPr>
                <w:lang w:val="en-GB"/>
              </w:rPr>
              <w:t xml:space="preserve"> .</w:t>
            </w:r>
            <w:r w:rsidR="00287C2E" w:rsidRPr="00773C04">
              <w:rPr>
                <w:lang w:val="en-GB"/>
              </w:rPr>
              <w:t>000</w:t>
            </w:r>
          </w:p>
        </w:tc>
      </w:tr>
      <w:tr w:rsidR="00287C2E" w:rsidRPr="00773C04" w14:paraId="5BE2BA50" w14:textId="77777777" w:rsidTr="002864B3">
        <w:trPr>
          <w:jc w:val="center"/>
        </w:trPr>
        <w:tc>
          <w:tcPr>
            <w:tcW w:w="2268" w:type="dxa"/>
            <w:vAlign w:val="center"/>
          </w:tcPr>
          <w:p w14:paraId="31537B71" w14:textId="77777777" w:rsidR="00287C2E" w:rsidRPr="00773C04" w:rsidRDefault="00287C2E" w:rsidP="002906AD">
            <w:pPr>
              <w:rPr>
                <w:lang w:val="en-GB"/>
              </w:rPr>
            </w:pPr>
            <w:r w:rsidRPr="00773C04">
              <w:rPr>
                <w:lang w:val="en-GB"/>
              </w:rPr>
              <w:t>Extraversion</w:t>
            </w:r>
          </w:p>
        </w:tc>
        <w:tc>
          <w:tcPr>
            <w:tcW w:w="3686" w:type="dxa"/>
            <w:vMerge/>
          </w:tcPr>
          <w:p w14:paraId="6AB36A40" w14:textId="77777777" w:rsidR="00287C2E" w:rsidRPr="00773C04" w:rsidRDefault="00287C2E" w:rsidP="002906AD">
            <w:pPr>
              <w:jc w:val="center"/>
              <w:rPr>
                <w:lang w:val="en-GB"/>
              </w:rPr>
            </w:pPr>
          </w:p>
        </w:tc>
        <w:tc>
          <w:tcPr>
            <w:tcW w:w="1134" w:type="dxa"/>
            <w:vMerge/>
          </w:tcPr>
          <w:p w14:paraId="00000F0B" w14:textId="77777777" w:rsidR="00287C2E" w:rsidRPr="00773C04" w:rsidRDefault="00287C2E" w:rsidP="002906AD">
            <w:pPr>
              <w:jc w:val="center"/>
              <w:rPr>
                <w:lang w:val="en-GB"/>
              </w:rPr>
            </w:pPr>
          </w:p>
        </w:tc>
        <w:tc>
          <w:tcPr>
            <w:tcW w:w="1276" w:type="dxa"/>
            <w:vAlign w:val="center"/>
          </w:tcPr>
          <w:p w14:paraId="1D4DBACB" w14:textId="4971C414" w:rsidR="00287C2E" w:rsidRPr="00773C04" w:rsidRDefault="006C785E" w:rsidP="002906AD">
            <w:pPr>
              <w:jc w:val="center"/>
              <w:rPr>
                <w:lang w:val="en-GB"/>
              </w:rPr>
            </w:pPr>
            <w:r>
              <w:rPr>
                <w:lang w:val="en-GB"/>
              </w:rPr>
              <w:t xml:space="preserve"> .</w:t>
            </w:r>
            <w:r w:rsidR="00287C2E" w:rsidRPr="00773C04">
              <w:rPr>
                <w:lang w:val="en-GB"/>
              </w:rPr>
              <w:t>000</w:t>
            </w:r>
          </w:p>
        </w:tc>
      </w:tr>
      <w:tr w:rsidR="00287C2E" w:rsidRPr="00773C04" w14:paraId="04367106" w14:textId="77777777" w:rsidTr="002864B3">
        <w:trPr>
          <w:jc w:val="center"/>
        </w:trPr>
        <w:tc>
          <w:tcPr>
            <w:tcW w:w="2268" w:type="dxa"/>
            <w:vAlign w:val="center"/>
          </w:tcPr>
          <w:p w14:paraId="24127D49" w14:textId="77777777" w:rsidR="00287C2E" w:rsidRPr="00615AED" w:rsidRDefault="00287C2E" w:rsidP="002906AD">
            <w:pPr>
              <w:rPr>
                <w:lang w:val="en-GB"/>
              </w:rPr>
            </w:pPr>
            <w:r w:rsidRPr="00773C04">
              <w:rPr>
                <w:lang w:val="en-GB"/>
              </w:rPr>
              <w:t>Agreeablenes</w:t>
            </w:r>
            <w:r w:rsidRPr="00615AED">
              <w:rPr>
                <w:lang w:val="en-GB"/>
              </w:rPr>
              <w:t>s</w:t>
            </w:r>
          </w:p>
        </w:tc>
        <w:tc>
          <w:tcPr>
            <w:tcW w:w="3686" w:type="dxa"/>
            <w:vMerge/>
          </w:tcPr>
          <w:p w14:paraId="745D1469" w14:textId="77777777" w:rsidR="00287C2E" w:rsidRPr="00773C04" w:rsidRDefault="00287C2E" w:rsidP="002906AD">
            <w:pPr>
              <w:jc w:val="center"/>
              <w:rPr>
                <w:lang w:val="en-GB"/>
              </w:rPr>
            </w:pPr>
          </w:p>
        </w:tc>
        <w:tc>
          <w:tcPr>
            <w:tcW w:w="1134" w:type="dxa"/>
            <w:vMerge/>
          </w:tcPr>
          <w:p w14:paraId="31E4F782" w14:textId="77777777" w:rsidR="00287C2E" w:rsidRPr="00773C04" w:rsidRDefault="00287C2E" w:rsidP="002906AD">
            <w:pPr>
              <w:jc w:val="center"/>
              <w:rPr>
                <w:lang w:val="en-GB"/>
              </w:rPr>
            </w:pPr>
          </w:p>
        </w:tc>
        <w:tc>
          <w:tcPr>
            <w:tcW w:w="1276" w:type="dxa"/>
            <w:vAlign w:val="center"/>
          </w:tcPr>
          <w:p w14:paraId="37F7F757" w14:textId="3849E7C1" w:rsidR="00287C2E" w:rsidRPr="00773C04" w:rsidRDefault="006C785E" w:rsidP="002906AD">
            <w:pPr>
              <w:jc w:val="center"/>
              <w:rPr>
                <w:lang w:val="en-GB"/>
              </w:rPr>
            </w:pPr>
            <w:r>
              <w:rPr>
                <w:lang w:val="en-GB"/>
              </w:rPr>
              <w:t xml:space="preserve"> .</w:t>
            </w:r>
            <w:r w:rsidR="00287C2E" w:rsidRPr="00773C04">
              <w:rPr>
                <w:lang w:val="en-GB"/>
              </w:rPr>
              <w:t>000</w:t>
            </w:r>
          </w:p>
        </w:tc>
      </w:tr>
      <w:tr w:rsidR="00287C2E" w:rsidRPr="00773C04" w14:paraId="1E1736B5" w14:textId="77777777" w:rsidTr="002864B3">
        <w:trPr>
          <w:jc w:val="center"/>
        </w:trPr>
        <w:tc>
          <w:tcPr>
            <w:tcW w:w="2268" w:type="dxa"/>
            <w:vAlign w:val="center"/>
          </w:tcPr>
          <w:p w14:paraId="379AA3CF" w14:textId="77777777" w:rsidR="00287C2E" w:rsidRPr="00773C04" w:rsidRDefault="00287C2E" w:rsidP="002906AD">
            <w:pPr>
              <w:rPr>
                <w:lang w:val="en-GB"/>
              </w:rPr>
            </w:pPr>
            <w:r w:rsidRPr="00773C04">
              <w:rPr>
                <w:lang w:val="en-GB"/>
              </w:rPr>
              <w:t>Conscientiousness</w:t>
            </w:r>
          </w:p>
        </w:tc>
        <w:tc>
          <w:tcPr>
            <w:tcW w:w="3686" w:type="dxa"/>
            <w:vMerge w:val="restart"/>
            <w:vAlign w:val="center"/>
          </w:tcPr>
          <w:p w14:paraId="428B119E" w14:textId="31508DAE" w:rsidR="00287C2E" w:rsidRPr="00773C04" w:rsidRDefault="00287C2E" w:rsidP="002906AD">
            <w:pPr>
              <w:jc w:val="center"/>
              <w:rPr>
                <w:lang w:val="en-GB"/>
              </w:rPr>
            </w:pPr>
            <w:r w:rsidRPr="00773C04">
              <w:rPr>
                <w:lang w:val="en-GB"/>
              </w:rPr>
              <w:t xml:space="preserve">→ </w:t>
            </w:r>
            <w:r w:rsidR="00ED289C">
              <w:rPr>
                <w:lang w:val="en-GB"/>
              </w:rPr>
              <w:t>A</w:t>
            </w:r>
            <w:r w:rsidR="00ED289C" w:rsidRPr="00ED289C">
              <w:rPr>
                <w:lang w:val="en-GB"/>
              </w:rPr>
              <w:t>cademic self-efficacy</w:t>
            </w:r>
            <w:r w:rsidRPr="00773C04">
              <w:rPr>
                <w:lang w:val="en-GB"/>
              </w:rPr>
              <w:t xml:space="preserve"> </w:t>
            </w:r>
          </w:p>
          <w:p w14:paraId="6C2FB6EF" w14:textId="77777777" w:rsidR="00287C2E" w:rsidRPr="00773C04" w:rsidRDefault="00287C2E" w:rsidP="002906AD">
            <w:pPr>
              <w:jc w:val="center"/>
              <w:rPr>
                <w:lang w:val="en-GB"/>
              </w:rPr>
            </w:pPr>
            <w:r w:rsidRPr="00773C04">
              <w:rPr>
                <w:lang w:val="en-GB"/>
              </w:rPr>
              <w:t xml:space="preserve">↓ </w:t>
            </w:r>
          </w:p>
          <w:p w14:paraId="7D89D52C" w14:textId="77777777" w:rsidR="00287C2E" w:rsidRPr="00773C04" w:rsidRDefault="00287C2E" w:rsidP="002906AD">
            <w:pPr>
              <w:jc w:val="center"/>
              <w:rPr>
                <w:lang w:val="en-GB"/>
              </w:rPr>
            </w:pPr>
            <w:r w:rsidRPr="00773C04">
              <w:rPr>
                <w:lang w:val="en-GB"/>
              </w:rPr>
              <w:t>Protecting self-esteem →</w:t>
            </w:r>
          </w:p>
        </w:tc>
        <w:tc>
          <w:tcPr>
            <w:tcW w:w="1134" w:type="dxa"/>
            <w:vMerge w:val="restart"/>
            <w:vAlign w:val="center"/>
          </w:tcPr>
          <w:p w14:paraId="2BC3FDFC" w14:textId="77777777" w:rsidR="00287C2E" w:rsidRPr="00773C04" w:rsidRDefault="00287C2E" w:rsidP="002906AD">
            <w:pPr>
              <w:jc w:val="center"/>
              <w:rPr>
                <w:lang w:val="en-GB"/>
              </w:rPr>
            </w:pPr>
            <w:r w:rsidRPr="00773C04">
              <w:rPr>
                <w:lang w:val="en-GB"/>
              </w:rPr>
              <w:t>GPA</w:t>
            </w:r>
          </w:p>
        </w:tc>
        <w:tc>
          <w:tcPr>
            <w:tcW w:w="1276" w:type="dxa"/>
            <w:vAlign w:val="center"/>
          </w:tcPr>
          <w:p w14:paraId="18F36FE9" w14:textId="28A39BC5" w:rsidR="00287C2E" w:rsidRPr="00773C04" w:rsidRDefault="002864B3" w:rsidP="002906AD">
            <w:pPr>
              <w:jc w:val="center"/>
              <w:rPr>
                <w:lang w:val="en-GB"/>
              </w:rPr>
            </w:pPr>
            <w:r>
              <w:rPr>
                <w:lang w:val="en-GB"/>
              </w:rPr>
              <w:t xml:space="preserve">  </w:t>
            </w:r>
            <w:r w:rsidR="006C785E">
              <w:rPr>
                <w:lang w:val="en-GB"/>
              </w:rPr>
              <w:t xml:space="preserve"> .</w:t>
            </w:r>
            <w:r w:rsidR="00287C2E" w:rsidRPr="00773C04">
              <w:rPr>
                <w:lang w:val="en-GB"/>
              </w:rPr>
              <w:t>018</w:t>
            </w:r>
            <w:r w:rsidR="00287C2E">
              <w:rPr>
                <w:lang w:val="en-GB"/>
              </w:rPr>
              <w:t>*</w:t>
            </w:r>
          </w:p>
        </w:tc>
      </w:tr>
      <w:tr w:rsidR="00287C2E" w:rsidRPr="00773C04" w14:paraId="5F857D6E" w14:textId="77777777" w:rsidTr="002864B3">
        <w:trPr>
          <w:jc w:val="center"/>
        </w:trPr>
        <w:tc>
          <w:tcPr>
            <w:tcW w:w="2268" w:type="dxa"/>
            <w:vAlign w:val="center"/>
          </w:tcPr>
          <w:p w14:paraId="7B9A77D2" w14:textId="77777777" w:rsidR="00287C2E" w:rsidRPr="00773C04" w:rsidRDefault="00287C2E" w:rsidP="002906AD">
            <w:pPr>
              <w:rPr>
                <w:lang w:val="en-GB"/>
              </w:rPr>
            </w:pPr>
            <w:r w:rsidRPr="00773C04">
              <w:rPr>
                <w:lang w:val="en-GB"/>
              </w:rPr>
              <w:t>Openness</w:t>
            </w:r>
          </w:p>
        </w:tc>
        <w:tc>
          <w:tcPr>
            <w:tcW w:w="3686" w:type="dxa"/>
            <w:vMerge/>
          </w:tcPr>
          <w:p w14:paraId="6FF3AAB9" w14:textId="77777777" w:rsidR="00287C2E" w:rsidRPr="00773C04" w:rsidRDefault="00287C2E" w:rsidP="002906AD">
            <w:pPr>
              <w:jc w:val="center"/>
              <w:rPr>
                <w:lang w:val="en-GB"/>
              </w:rPr>
            </w:pPr>
          </w:p>
        </w:tc>
        <w:tc>
          <w:tcPr>
            <w:tcW w:w="1134" w:type="dxa"/>
            <w:vMerge/>
          </w:tcPr>
          <w:p w14:paraId="71E969B9" w14:textId="77777777" w:rsidR="00287C2E" w:rsidRPr="00773C04" w:rsidRDefault="00287C2E" w:rsidP="002906AD">
            <w:pPr>
              <w:jc w:val="center"/>
              <w:rPr>
                <w:lang w:val="en-GB"/>
              </w:rPr>
            </w:pPr>
          </w:p>
        </w:tc>
        <w:tc>
          <w:tcPr>
            <w:tcW w:w="1276" w:type="dxa"/>
            <w:vAlign w:val="center"/>
          </w:tcPr>
          <w:p w14:paraId="2289DB6A" w14:textId="0C7D480C" w:rsidR="00287C2E" w:rsidRPr="00773C04" w:rsidRDefault="002864B3" w:rsidP="002906AD">
            <w:pPr>
              <w:jc w:val="center"/>
              <w:rPr>
                <w:lang w:val="en-GB"/>
              </w:rPr>
            </w:pPr>
            <w:r>
              <w:rPr>
                <w:lang w:val="en-GB"/>
              </w:rPr>
              <w:t xml:space="preserve">  </w:t>
            </w:r>
            <w:r w:rsidR="006C785E">
              <w:rPr>
                <w:lang w:val="en-GB"/>
              </w:rPr>
              <w:t xml:space="preserve"> .</w:t>
            </w:r>
            <w:r w:rsidR="00287C2E" w:rsidRPr="00773C04">
              <w:rPr>
                <w:lang w:val="en-GB"/>
              </w:rPr>
              <w:t>008</w:t>
            </w:r>
            <w:r w:rsidR="00287C2E">
              <w:rPr>
                <w:lang w:val="en-GB"/>
              </w:rPr>
              <w:t>*</w:t>
            </w:r>
          </w:p>
        </w:tc>
      </w:tr>
      <w:tr w:rsidR="00287C2E" w:rsidRPr="00773C04" w14:paraId="018FD34B" w14:textId="77777777" w:rsidTr="002864B3">
        <w:trPr>
          <w:jc w:val="center"/>
        </w:trPr>
        <w:tc>
          <w:tcPr>
            <w:tcW w:w="2268" w:type="dxa"/>
            <w:vAlign w:val="center"/>
          </w:tcPr>
          <w:p w14:paraId="1F29CAF1" w14:textId="77777777" w:rsidR="00287C2E" w:rsidRPr="00773C04" w:rsidRDefault="00287C2E" w:rsidP="002906AD">
            <w:pPr>
              <w:rPr>
                <w:lang w:val="en-GB"/>
              </w:rPr>
            </w:pPr>
            <w:r w:rsidRPr="00773C04">
              <w:rPr>
                <w:lang w:val="en-GB"/>
              </w:rPr>
              <w:t>Neuroticism</w:t>
            </w:r>
          </w:p>
        </w:tc>
        <w:tc>
          <w:tcPr>
            <w:tcW w:w="3686" w:type="dxa"/>
            <w:vMerge/>
          </w:tcPr>
          <w:p w14:paraId="215B3B32" w14:textId="77777777" w:rsidR="00287C2E" w:rsidRPr="00773C04" w:rsidRDefault="00287C2E" w:rsidP="002906AD">
            <w:pPr>
              <w:jc w:val="center"/>
              <w:rPr>
                <w:lang w:val="en-GB"/>
              </w:rPr>
            </w:pPr>
          </w:p>
        </w:tc>
        <w:tc>
          <w:tcPr>
            <w:tcW w:w="1134" w:type="dxa"/>
            <w:vMerge/>
          </w:tcPr>
          <w:p w14:paraId="43FAB71E" w14:textId="77777777" w:rsidR="00287C2E" w:rsidRPr="00773C04" w:rsidRDefault="00287C2E" w:rsidP="002906AD">
            <w:pPr>
              <w:jc w:val="center"/>
              <w:rPr>
                <w:lang w:val="en-GB"/>
              </w:rPr>
            </w:pPr>
          </w:p>
        </w:tc>
        <w:tc>
          <w:tcPr>
            <w:tcW w:w="1276" w:type="dxa"/>
            <w:vAlign w:val="center"/>
          </w:tcPr>
          <w:p w14:paraId="044FDE75" w14:textId="34800E6D" w:rsidR="00287C2E" w:rsidRPr="00773C04" w:rsidRDefault="006C785E" w:rsidP="002906AD">
            <w:pPr>
              <w:jc w:val="center"/>
              <w:rPr>
                <w:lang w:val="en-GB"/>
              </w:rPr>
            </w:pPr>
            <w:r>
              <w:rPr>
                <w:lang w:val="en-GB"/>
              </w:rPr>
              <w:t>-.</w:t>
            </w:r>
            <w:r w:rsidR="00287C2E" w:rsidRPr="00773C04">
              <w:rPr>
                <w:lang w:val="en-GB"/>
              </w:rPr>
              <w:t>002</w:t>
            </w:r>
          </w:p>
        </w:tc>
      </w:tr>
      <w:tr w:rsidR="00287C2E" w:rsidRPr="00773C04" w14:paraId="6D6AD100" w14:textId="77777777" w:rsidTr="002864B3">
        <w:trPr>
          <w:jc w:val="center"/>
        </w:trPr>
        <w:tc>
          <w:tcPr>
            <w:tcW w:w="2268" w:type="dxa"/>
            <w:vAlign w:val="center"/>
          </w:tcPr>
          <w:p w14:paraId="05A984D8" w14:textId="77777777" w:rsidR="00287C2E" w:rsidRPr="00773C04" w:rsidRDefault="00287C2E" w:rsidP="002906AD">
            <w:pPr>
              <w:rPr>
                <w:lang w:val="en-GB"/>
              </w:rPr>
            </w:pPr>
            <w:r w:rsidRPr="00773C04">
              <w:rPr>
                <w:lang w:val="en-GB"/>
              </w:rPr>
              <w:t>Extraversion</w:t>
            </w:r>
          </w:p>
        </w:tc>
        <w:tc>
          <w:tcPr>
            <w:tcW w:w="3686" w:type="dxa"/>
            <w:vMerge/>
          </w:tcPr>
          <w:p w14:paraId="535A0678" w14:textId="77777777" w:rsidR="00287C2E" w:rsidRPr="00773C04" w:rsidRDefault="00287C2E" w:rsidP="002906AD">
            <w:pPr>
              <w:jc w:val="center"/>
              <w:rPr>
                <w:lang w:val="en-GB"/>
              </w:rPr>
            </w:pPr>
          </w:p>
        </w:tc>
        <w:tc>
          <w:tcPr>
            <w:tcW w:w="1134" w:type="dxa"/>
            <w:vMerge/>
          </w:tcPr>
          <w:p w14:paraId="3FB7112E" w14:textId="77777777" w:rsidR="00287C2E" w:rsidRPr="00773C04" w:rsidRDefault="00287C2E" w:rsidP="002906AD">
            <w:pPr>
              <w:jc w:val="center"/>
              <w:rPr>
                <w:lang w:val="en-GB"/>
              </w:rPr>
            </w:pPr>
          </w:p>
        </w:tc>
        <w:tc>
          <w:tcPr>
            <w:tcW w:w="1276" w:type="dxa"/>
            <w:vAlign w:val="center"/>
          </w:tcPr>
          <w:p w14:paraId="6D1AD54B" w14:textId="24B11B6C" w:rsidR="00287C2E" w:rsidRPr="00773C04" w:rsidRDefault="006C785E" w:rsidP="002906AD">
            <w:pPr>
              <w:jc w:val="center"/>
              <w:rPr>
                <w:lang w:val="en-GB"/>
              </w:rPr>
            </w:pPr>
            <w:r>
              <w:rPr>
                <w:lang w:val="en-GB"/>
              </w:rPr>
              <w:t xml:space="preserve"> .</w:t>
            </w:r>
            <w:r w:rsidR="00287C2E" w:rsidRPr="00773C04">
              <w:rPr>
                <w:lang w:val="en-GB"/>
              </w:rPr>
              <w:t>001</w:t>
            </w:r>
          </w:p>
        </w:tc>
      </w:tr>
      <w:tr w:rsidR="00287C2E" w:rsidRPr="00773C04" w14:paraId="372DA4A0" w14:textId="77777777" w:rsidTr="002864B3">
        <w:trPr>
          <w:jc w:val="center"/>
        </w:trPr>
        <w:tc>
          <w:tcPr>
            <w:tcW w:w="2268" w:type="dxa"/>
            <w:vAlign w:val="center"/>
          </w:tcPr>
          <w:p w14:paraId="35E0E51C" w14:textId="77777777" w:rsidR="00287C2E" w:rsidRPr="00773C04" w:rsidRDefault="00287C2E" w:rsidP="002906AD">
            <w:pPr>
              <w:rPr>
                <w:lang w:val="en-GB"/>
              </w:rPr>
            </w:pPr>
            <w:r w:rsidRPr="00773C04">
              <w:rPr>
                <w:lang w:val="en-GB"/>
              </w:rPr>
              <w:t>Agreeableness</w:t>
            </w:r>
          </w:p>
        </w:tc>
        <w:tc>
          <w:tcPr>
            <w:tcW w:w="3686" w:type="dxa"/>
            <w:vMerge/>
          </w:tcPr>
          <w:p w14:paraId="0FC2439C" w14:textId="77777777" w:rsidR="00287C2E" w:rsidRPr="00773C04" w:rsidRDefault="00287C2E" w:rsidP="002906AD">
            <w:pPr>
              <w:jc w:val="center"/>
              <w:rPr>
                <w:lang w:val="en-GB"/>
              </w:rPr>
            </w:pPr>
          </w:p>
        </w:tc>
        <w:tc>
          <w:tcPr>
            <w:tcW w:w="1134" w:type="dxa"/>
            <w:vMerge/>
          </w:tcPr>
          <w:p w14:paraId="2AA86262" w14:textId="77777777" w:rsidR="00287C2E" w:rsidRPr="00773C04" w:rsidRDefault="00287C2E" w:rsidP="002906AD">
            <w:pPr>
              <w:jc w:val="center"/>
              <w:rPr>
                <w:lang w:val="en-GB"/>
              </w:rPr>
            </w:pPr>
          </w:p>
        </w:tc>
        <w:tc>
          <w:tcPr>
            <w:tcW w:w="1276" w:type="dxa"/>
            <w:vAlign w:val="center"/>
          </w:tcPr>
          <w:p w14:paraId="18D3119C" w14:textId="3109DDC8" w:rsidR="00287C2E" w:rsidRPr="00773C04" w:rsidRDefault="006C785E" w:rsidP="002906AD">
            <w:pPr>
              <w:jc w:val="center"/>
              <w:rPr>
                <w:lang w:val="en-GB"/>
              </w:rPr>
            </w:pPr>
            <w:r>
              <w:rPr>
                <w:lang w:val="en-GB"/>
              </w:rPr>
              <w:t>-.</w:t>
            </w:r>
            <w:r w:rsidR="00287C2E" w:rsidRPr="00773C04">
              <w:rPr>
                <w:lang w:val="en-GB"/>
              </w:rPr>
              <w:t>002</w:t>
            </w:r>
          </w:p>
        </w:tc>
      </w:tr>
    </w:tbl>
    <w:bookmarkEnd w:id="1"/>
    <w:p w14:paraId="6D115B00" w14:textId="0A7B7BC5" w:rsidR="00AA0BAA" w:rsidRDefault="00F26022" w:rsidP="00F26022">
      <w:pPr>
        <w:ind w:firstLine="708"/>
        <w:jc w:val="both"/>
        <w:rPr>
          <w:i/>
          <w:lang w:val="en-GB"/>
        </w:rPr>
      </w:pPr>
      <w:r w:rsidRPr="00773C04">
        <w:rPr>
          <w:i/>
          <w:lang w:val="en-GB"/>
        </w:rPr>
        <w:t>Note: *p &lt; .05</w:t>
      </w:r>
      <w:r w:rsidR="00FF6683">
        <w:rPr>
          <w:i/>
          <w:lang w:val="en-GB"/>
        </w:rPr>
        <w:t>.</w:t>
      </w:r>
    </w:p>
    <w:p w14:paraId="1D1FF7BA" w14:textId="2672164B" w:rsidR="00D043AE" w:rsidRDefault="00D043AE" w:rsidP="00F26022">
      <w:pPr>
        <w:ind w:firstLine="708"/>
        <w:jc w:val="both"/>
        <w:rPr>
          <w:lang w:val="en-GB"/>
        </w:rPr>
      </w:pPr>
    </w:p>
    <w:p w14:paraId="01CE1131" w14:textId="156A808A" w:rsidR="00A13791" w:rsidRDefault="00A13791" w:rsidP="00A13791">
      <w:pPr>
        <w:spacing w:line="360" w:lineRule="auto"/>
        <w:jc w:val="both"/>
        <w:rPr>
          <w:lang w:val="en-GB"/>
        </w:rPr>
      </w:pPr>
      <w:r w:rsidRPr="001F6A9B">
        <w:rPr>
          <w:lang w:val="en-GB"/>
        </w:rPr>
        <w:t xml:space="preserve">Table 4 shows indirect effects of personality </w:t>
      </w:r>
      <w:r>
        <w:rPr>
          <w:lang w:val="en-GB"/>
        </w:rPr>
        <w:t>traits</w:t>
      </w:r>
      <w:r w:rsidRPr="001F6A9B">
        <w:rPr>
          <w:lang w:val="en-GB"/>
        </w:rPr>
        <w:t xml:space="preserve"> on GPA through </w:t>
      </w:r>
      <w:r w:rsidR="00ED289C" w:rsidRPr="0018698D">
        <w:rPr>
          <w:lang w:val="en-GB"/>
        </w:rPr>
        <w:t xml:space="preserve">academic </w:t>
      </w:r>
      <w:r w:rsidR="00ED289C">
        <w:rPr>
          <w:lang w:val="en-GB"/>
        </w:rPr>
        <w:t>self-</w:t>
      </w:r>
      <w:r w:rsidR="00ED289C" w:rsidRPr="0018698D">
        <w:rPr>
          <w:lang w:val="en-GB"/>
        </w:rPr>
        <w:t>efficacy</w:t>
      </w:r>
      <w:r w:rsidRPr="001F6A9B">
        <w:rPr>
          <w:lang w:val="en-GB"/>
        </w:rPr>
        <w:t xml:space="preserve"> and motivational learning strategies. The effect of conscientiousness o</w:t>
      </w:r>
      <w:r w:rsidRPr="00773C04">
        <w:rPr>
          <w:lang w:val="en-GB"/>
        </w:rPr>
        <w:t xml:space="preserve">n GPA through </w:t>
      </w:r>
      <w:r w:rsidR="00ED289C" w:rsidRPr="0018698D">
        <w:rPr>
          <w:lang w:val="en-GB"/>
        </w:rPr>
        <w:t xml:space="preserve">academic </w:t>
      </w:r>
      <w:r w:rsidR="00ED289C">
        <w:rPr>
          <w:lang w:val="en-GB"/>
        </w:rPr>
        <w:t>self-</w:t>
      </w:r>
      <w:r w:rsidR="00ED289C" w:rsidRPr="0018698D">
        <w:rPr>
          <w:lang w:val="en-GB"/>
        </w:rPr>
        <w:t>efficacy</w:t>
      </w:r>
      <w:r w:rsidRPr="00773C04">
        <w:rPr>
          <w:lang w:val="en-GB"/>
        </w:rPr>
        <w:t xml:space="preserve"> is significant and positive (</w:t>
      </w:r>
      <w:r w:rsidRPr="00685983">
        <w:rPr>
          <w:i/>
          <w:lang w:val="en-GB"/>
        </w:rPr>
        <w:t xml:space="preserve">β </w:t>
      </w:r>
      <w:r w:rsidRPr="00773C04">
        <w:rPr>
          <w:lang w:val="en-GB"/>
        </w:rPr>
        <w:t xml:space="preserve">=.146; </w:t>
      </w:r>
      <w:r w:rsidRPr="005D1083">
        <w:rPr>
          <w:i/>
          <w:lang w:val="en-GB"/>
        </w:rPr>
        <w:t>CI</w:t>
      </w:r>
      <w:r w:rsidRPr="00773C04">
        <w:rPr>
          <w:lang w:val="en-GB"/>
        </w:rPr>
        <w:t>=.092, .209)</w:t>
      </w:r>
      <w:r w:rsidR="000B3BBC">
        <w:rPr>
          <w:lang w:val="en-GB"/>
        </w:rPr>
        <w:t>. C</w:t>
      </w:r>
      <w:r w:rsidR="000B3BBC" w:rsidRPr="00696FB3">
        <w:rPr>
          <w:lang w:val="en-GB"/>
        </w:rPr>
        <w:t>onscientious students are more likely to perceive themselves as academically efficient</w:t>
      </w:r>
      <w:r w:rsidR="0042295B">
        <w:rPr>
          <w:lang w:val="en-GB"/>
        </w:rPr>
        <w:t xml:space="preserve"> which </w:t>
      </w:r>
      <w:r w:rsidR="00F628FA">
        <w:rPr>
          <w:lang w:val="en-GB"/>
        </w:rPr>
        <w:t>is related to</w:t>
      </w:r>
      <w:r w:rsidR="0042295B">
        <w:rPr>
          <w:lang w:val="en-GB"/>
        </w:rPr>
        <w:t xml:space="preserve"> higher GPA</w:t>
      </w:r>
      <w:r w:rsidR="000B3BBC">
        <w:rPr>
          <w:lang w:val="en-GB"/>
        </w:rPr>
        <w:t>.</w:t>
      </w:r>
      <w:r w:rsidRPr="00773C04">
        <w:rPr>
          <w:lang w:val="en-GB"/>
        </w:rPr>
        <w:t xml:space="preserve"> </w:t>
      </w:r>
      <w:r w:rsidR="0042295B">
        <w:rPr>
          <w:lang w:val="en-GB"/>
        </w:rPr>
        <w:t xml:space="preserve">Conscientious students are </w:t>
      </w:r>
      <w:r w:rsidR="00D5246B">
        <w:rPr>
          <w:lang w:val="en-GB"/>
        </w:rPr>
        <w:t xml:space="preserve">also </w:t>
      </w:r>
      <w:r w:rsidR="0042295B">
        <w:rPr>
          <w:lang w:val="en-GB"/>
        </w:rPr>
        <w:t>les</w:t>
      </w:r>
      <w:r w:rsidR="00D5246B">
        <w:rPr>
          <w:lang w:val="en-GB"/>
        </w:rPr>
        <w:t>s</w:t>
      </w:r>
      <w:r w:rsidR="0042295B">
        <w:rPr>
          <w:lang w:val="en-GB"/>
        </w:rPr>
        <w:t xml:space="preserve"> likely to use strategies of protecting self-esteem (</w:t>
      </w:r>
      <w:r w:rsidR="0042295B" w:rsidRPr="0042295B">
        <w:rPr>
          <w:i/>
          <w:lang w:val="en-GB"/>
        </w:rPr>
        <w:t>β</w:t>
      </w:r>
      <w:r w:rsidR="0042295B">
        <w:rPr>
          <w:lang w:val="en-GB"/>
        </w:rPr>
        <w:t xml:space="preserve">=-.289, </w:t>
      </w:r>
      <w:r w:rsidR="0042295B" w:rsidRPr="0042295B">
        <w:rPr>
          <w:i/>
          <w:lang w:val="en-GB"/>
        </w:rPr>
        <w:t>p</w:t>
      </w:r>
      <w:r w:rsidR="0042295B">
        <w:rPr>
          <w:lang w:val="en-GB"/>
        </w:rPr>
        <w:t>&lt;0.05)</w:t>
      </w:r>
      <w:r w:rsidRPr="00773C04">
        <w:rPr>
          <w:lang w:val="en-GB"/>
        </w:rPr>
        <w:t xml:space="preserve"> </w:t>
      </w:r>
      <w:r w:rsidR="0042295B" w:rsidRPr="00773C04">
        <w:rPr>
          <w:lang w:val="en-GB"/>
        </w:rPr>
        <w:t xml:space="preserve">which results in higher GPA </w:t>
      </w:r>
      <w:r w:rsidRPr="00773C04">
        <w:rPr>
          <w:lang w:val="en-GB"/>
        </w:rPr>
        <w:t>(</w:t>
      </w:r>
      <w:r w:rsidRPr="00685983">
        <w:rPr>
          <w:i/>
          <w:lang w:val="en-GB"/>
        </w:rPr>
        <w:t>β</w:t>
      </w:r>
      <w:r w:rsidRPr="00773C04">
        <w:rPr>
          <w:lang w:val="en-GB"/>
        </w:rPr>
        <w:t xml:space="preserve">=.051; </w:t>
      </w:r>
      <w:r w:rsidRPr="005D1083">
        <w:rPr>
          <w:i/>
          <w:lang w:val="en-GB"/>
        </w:rPr>
        <w:t>CI</w:t>
      </w:r>
      <w:r w:rsidRPr="00773C04">
        <w:rPr>
          <w:lang w:val="en-GB"/>
        </w:rPr>
        <w:t xml:space="preserve">=.016, .099). Furthermore, the serial mediation </w:t>
      </w:r>
      <w:r w:rsidRPr="00773C04">
        <w:rPr>
          <w:lang w:val="en-GB"/>
        </w:rPr>
        <w:lastRenderedPageBreak/>
        <w:t xml:space="preserve">effect of conscientiousness on GPA through </w:t>
      </w:r>
      <w:r w:rsidR="00ED289C" w:rsidRPr="0018698D">
        <w:rPr>
          <w:lang w:val="en-GB"/>
        </w:rPr>
        <w:t xml:space="preserve">academic </w:t>
      </w:r>
      <w:r w:rsidR="00ED289C">
        <w:rPr>
          <w:lang w:val="en-GB"/>
        </w:rPr>
        <w:t>self-</w:t>
      </w:r>
      <w:r w:rsidR="00ED289C" w:rsidRPr="0018698D">
        <w:rPr>
          <w:lang w:val="en-GB"/>
        </w:rPr>
        <w:t>efficacy</w:t>
      </w:r>
      <w:r w:rsidRPr="00773C04">
        <w:rPr>
          <w:lang w:val="en-GB"/>
        </w:rPr>
        <w:t xml:space="preserve"> and protecting self-esteem is also significant (</w:t>
      </w:r>
      <w:r w:rsidRPr="005D1083">
        <w:rPr>
          <w:i/>
          <w:lang w:val="en-GB"/>
        </w:rPr>
        <w:t>β</w:t>
      </w:r>
      <w:r w:rsidRPr="00773C04">
        <w:rPr>
          <w:lang w:val="en-GB"/>
        </w:rPr>
        <w:t xml:space="preserve">=.018; </w:t>
      </w:r>
      <w:r w:rsidRPr="005D1083">
        <w:rPr>
          <w:i/>
          <w:lang w:val="en-GB"/>
        </w:rPr>
        <w:t>CI</w:t>
      </w:r>
      <w:r w:rsidRPr="00773C04">
        <w:rPr>
          <w:lang w:val="en-GB"/>
        </w:rPr>
        <w:t xml:space="preserve">=.005, .035). This indicates that low </w:t>
      </w:r>
      <w:r w:rsidR="00ED289C" w:rsidRPr="0018698D">
        <w:rPr>
          <w:lang w:val="en-GB"/>
        </w:rPr>
        <w:t xml:space="preserve">academic </w:t>
      </w:r>
      <w:r w:rsidR="00ED289C">
        <w:rPr>
          <w:lang w:val="en-GB"/>
        </w:rPr>
        <w:t>self-</w:t>
      </w:r>
      <w:r w:rsidR="00ED289C" w:rsidRPr="0018698D">
        <w:rPr>
          <w:lang w:val="en-GB"/>
        </w:rPr>
        <w:t>efficacy</w:t>
      </w:r>
      <w:r w:rsidRPr="00773C04">
        <w:rPr>
          <w:lang w:val="en-GB"/>
        </w:rPr>
        <w:t xml:space="preserve"> can be one of the reasons why students with low conscientiousness use strategies of protecting self-esteem, which further results in lower </w:t>
      </w:r>
      <w:r>
        <w:rPr>
          <w:lang w:val="en-GB"/>
        </w:rPr>
        <w:t xml:space="preserve">school grades. </w:t>
      </w:r>
      <w:r w:rsidRPr="00773C04">
        <w:rPr>
          <w:lang w:val="en-GB"/>
        </w:rPr>
        <w:t xml:space="preserve">Indirect effects of conscientiousness on GPA through promoting learning process and through </w:t>
      </w:r>
      <w:r w:rsidR="00ED289C" w:rsidRPr="0018698D">
        <w:rPr>
          <w:lang w:val="en-GB"/>
        </w:rPr>
        <w:t xml:space="preserve">academic </w:t>
      </w:r>
      <w:r w:rsidR="00ED289C">
        <w:rPr>
          <w:lang w:val="en-GB"/>
        </w:rPr>
        <w:t>self-</w:t>
      </w:r>
      <w:r w:rsidR="00ED289C" w:rsidRPr="0018698D">
        <w:rPr>
          <w:lang w:val="en-GB"/>
        </w:rPr>
        <w:t>efficacy</w:t>
      </w:r>
      <w:r w:rsidRPr="00773C04">
        <w:rPr>
          <w:lang w:val="en-GB"/>
        </w:rPr>
        <w:t xml:space="preserve"> and promoting learning process did not prove significant (</w:t>
      </w:r>
      <w:r w:rsidRPr="005D1083">
        <w:rPr>
          <w:i/>
          <w:lang w:val="en-GB"/>
        </w:rPr>
        <w:t>β</w:t>
      </w:r>
      <w:r w:rsidRPr="00773C04">
        <w:rPr>
          <w:lang w:val="en-GB"/>
        </w:rPr>
        <w:t xml:space="preserve">=-.015, </w:t>
      </w:r>
      <w:r w:rsidRPr="005D1083">
        <w:rPr>
          <w:i/>
          <w:lang w:val="en-GB"/>
        </w:rPr>
        <w:t>CI</w:t>
      </w:r>
      <w:r w:rsidRPr="00773C04">
        <w:rPr>
          <w:lang w:val="en-GB"/>
        </w:rPr>
        <w:t xml:space="preserve">=-.061, .030; </w:t>
      </w:r>
      <w:r w:rsidRPr="005D1083">
        <w:rPr>
          <w:i/>
          <w:lang w:val="en-GB"/>
        </w:rPr>
        <w:t>β</w:t>
      </w:r>
      <w:r w:rsidRPr="000F54BB">
        <w:rPr>
          <w:lang w:val="en-GB"/>
        </w:rPr>
        <w:t xml:space="preserve">=-.002, </w:t>
      </w:r>
      <w:r w:rsidRPr="005D1083">
        <w:rPr>
          <w:i/>
          <w:lang w:val="en-GB"/>
        </w:rPr>
        <w:t>CI</w:t>
      </w:r>
      <w:r w:rsidRPr="000F54BB">
        <w:rPr>
          <w:lang w:val="en-GB"/>
        </w:rPr>
        <w:t>=-.008, .004).</w:t>
      </w:r>
    </w:p>
    <w:p w14:paraId="2950D6D6" w14:textId="77777777" w:rsidR="00A13791" w:rsidRPr="00773C04" w:rsidRDefault="00A13791" w:rsidP="00F26022">
      <w:pPr>
        <w:ind w:firstLine="708"/>
        <w:jc w:val="both"/>
        <w:rPr>
          <w:lang w:val="en-GB"/>
        </w:rPr>
      </w:pPr>
    </w:p>
    <w:p w14:paraId="4DDCF6C6" w14:textId="227FBBAF" w:rsidR="00AA0BAA" w:rsidRPr="00773C04" w:rsidRDefault="00AA0BAA" w:rsidP="00AA0BAA">
      <w:pPr>
        <w:pStyle w:val="Caption"/>
        <w:keepNext/>
        <w:jc w:val="center"/>
        <w:rPr>
          <w:rFonts w:ascii="Times New Roman" w:hAnsi="Times New Roman" w:cs="Times New Roman"/>
          <w:i w:val="0"/>
          <w:color w:val="auto"/>
          <w:sz w:val="24"/>
          <w:szCs w:val="24"/>
          <w:lang w:val="en-GB"/>
        </w:rPr>
      </w:pPr>
      <w:r w:rsidRPr="00773C04">
        <w:rPr>
          <w:rFonts w:ascii="Times New Roman" w:hAnsi="Times New Roman" w:cs="Times New Roman"/>
          <w:i w:val="0"/>
          <w:color w:val="auto"/>
          <w:sz w:val="24"/>
          <w:szCs w:val="24"/>
          <w:lang w:val="en-GB"/>
        </w:rPr>
        <w:t xml:space="preserve">Table 5. Total, direct, and indirect effects of personality </w:t>
      </w:r>
      <w:r w:rsidR="00BB06B7">
        <w:rPr>
          <w:rFonts w:ascii="Times New Roman" w:hAnsi="Times New Roman" w:cs="Times New Roman"/>
          <w:i w:val="0"/>
          <w:color w:val="auto"/>
          <w:sz w:val="24"/>
          <w:szCs w:val="24"/>
          <w:lang w:val="en-GB"/>
        </w:rPr>
        <w:t>traits</w:t>
      </w:r>
      <w:r w:rsidRPr="00773C04">
        <w:rPr>
          <w:rFonts w:ascii="Times New Roman" w:hAnsi="Times New Roman" w:cs="Times New Roman"/>
          <w:i w:val="0"/>
          <w:color w:val="auto"/>
          <w:sz w:val="24"/>
          <w:szCs w:val="24"/>
          <w:lang w:val="en-GB"/>
        </w:rPr>
        <w:t xml:space="preserve"> on GPA</w:t>
      </w:r>
    </w:p>
    <w:tbl>
      <w:tblPr>
        <w:tblStyle w:val="TableGrid"/>
        <w:tblW w:w="751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91"/>
        <w:gridCol w:w="2106"/>
        <w:gridCol w:w="91"/>
        <w:gridCol w:w="1524"/>
        <w:gridCol w:w="136"/>
        <w:gridCol w:w="1665"/>
      </w:tblGrid>
      <w:tr w:rsidR="00AA0BAA" w:rsidRPr="00773C04" w14:paraId="27ECDC04" w14:textId="77777777" w:rsidTr="00E321D5">
        <w:trPr>
          <w:jc w:val="center"/>
        </w:trPr>
        <w:tc>
          <w:tcPr>
            <w:tcW w:w="1843" w:type="dxa"/>
            <w:vAlign w:val="center"/>
          </w:tcPr>
          <w:p w14:paraId="30F3F9CD" w14:textId="77777777" w:rsidR="00AA0BAA" w:rsidRPr="00773C04" w:rsidRDefault="00AA0BAA" w:rsidP="002906AD">
            <w:pPr>
              <w:rPr>
                <w:lang w:val="en-GB"/>
              </w:rPr>
            </w:pPr>
          </w:p>
        </w:tc>
        <w:tc>
          <w:tcPr>
            <w:tcW w:w="2268" w:type="dxa"/>
            <w:gridSpan w:val="2"/>
            <w:vAlign w:val="center"/>
          </w:tcPr>
          <w:p w14:paraId="1AC2E838" w14:textId="77777777" w:rsidR="00AA0BAA" w:rsidRPr="00773C04" w:rsidRDefault="00AA0BAA" w:rsidP="002906AD">
            <w:pPr>
              <w:jc w:val="center"/>
              <w:rPr>
                <w:lang w:val="en-GB"/>
              </w:rPr>
            </w:pPr>
            <w:r w:rsidRPr="00773C04">
              <w:rPr>
                <w:lang w:val="en-GB"/>
              </w:rPr>
              <w:t>Total effect</w:t>
            </w:r>
          </w:p>
        </w:tc>
        <w:tc>
          <w:tcPr>
            <w:tcW w:w="1559" w:type="dxa"/>
            <w:vAlign w:val="center"/>
          </w:tcPr>
          <w:p w14:paraId="42536F68" w14:textId="77777777" w:rsidR="00AA0BAA" w:rsidRPr="00773C04" w:rsidRDefault="00AA0BAA" w:rsidP="002906AD">
            <w:pPr>
              <w:jc w:val="center"/>
              <w:rPr>
                <w:lang w:val="en-GB"/>
              </w:rPr>
            </w:pPr>
            <w:r w:rsidRPr="00773C04">
              <w:rPr>
                <w:lang w:val="en-GB"/>
              </w:rPr>
              <w:t>Direct effect</w:t>
            </w:r>
          </w:p>
        </w:tc>
        <w:tc>
          <w:tcPr>
            <w:tcW w:w="1843" w:type="dxa"/>
            <w:gridSpan w:val="2"/>
            <w:vAlign w:val="center"/>
          </w:tcPr>
          <w:p w14:paraId="15E5B210" w14:textId="77777777" w:rsidR="00AA0BAA" w:rsidRPr="00773C04" w:rsidRDefault="00AA0BAA" w:rsidP="002906AD">
            <w:pPr>
              <w:ind w:right="-259"/>
              <w:jc w:val="center"/>
              <w:rPr>
                <w:lang w:val="en-GB"/>
              </w:rPr>
            </w:pPr>
            <w:r w:rsidRPr="00773C04">
              <w:rPr>
                <w:lang w:val="en-GB"/>
              </w:rPr>
              <w:t>Indirect effect</w:t>
            </w:r>
          </w:p>
        </w:tc>
      </w:tr>
      <w:tr w:rsidR="00FF43B6" w:rsidRPr="00773C04" w14:paraId="7454A7A2" w14:textId="77777777" w:rsidTr="00E321D5">
        <w:trPr>
          <w:jc w:val="center"/>
        </w:trPr>
        <w:tc>
          <w:tcPr>
            <w:tcW w:w="1843" w:type="dxa"/>
            <w:vAlign w:val="center"/>
          </w:tcPr>
          <w:p w14:paraId="44C154E1" w14:textId="77777777" w:rsidR="00FF43B6" w:rsidRPr="00773C04" w:rsidRDefault="00FF43B6" w:rsidP="002906AD">
            <w:pPr>
              <w:jc w:val="center"/>
              <w:rPr>
                <w:lang w:val="en-GB"/>
              </w:rPr>
            </w:pPr>
          </w:p>
        </w:tc>
        <w:tc>
          <w:tcPr>
            <w:tcW w:w="2173" w:type="dxa"/>
            <w:vAlign w:val="center"/>
          </w:tcPr>
          <w:p w14:paraId="47E203E5" w14:textId="5D2005B0" w:rsidR="00FF43B6" w:rsidRPr="00615AED" w:rsidRDefault="009117B3" w:rsidP="002906AD">
            <w:pPr>
              <w:jc w:val="center"/>
              <w:rPr>
                <w:lang w:val="en-GB"/>
              </w:rPr>
            </w:pPr>
            <w:r>
              <w:rPr>
                <w:lang w:val="en-GB"/>
              </w:rPr>
              <w:t xml:space="preserve"> </w:t>
            </w:r>
            <w:r w:rsidR="00FF43B6">
              <w:rPr>
                <w:lang w:val="en-GB"/>
              </w:rPr>
              <w:t>β</w:t>
            </w:r>
          </w:p>
        </w:tc>
        <w:tc>
          <w:tcPr>
            <w:tcW w:w="1796" w:type="dxa"/>
            <w:gridSpan w:val="3"/>
            <w:vAlign w:val="center"/>
          </w:tcPr>
          <w:p w14:paraId="0D1557A4" w14:textId="598D4FE7" w:rsidR="00FF43B6" w:rsidRPr="00773C04" w:rsidRDefault="00FF43B6" w:rsidP="002906AD">
            <w:pPr>
              <w:jc w:val="center"/>
              <w:rPr>
                <w:lang w:val="en-GB"/>
              </w:rPr>
            </w:pPr>
            <w:r>
              <w:rPr>
                <w:lang w:val="en-GB"/>
              </w:rPr>
              <w:t>β</w:t>
            </w:r>
          </w:p>
        </w:tc>
        <w:tc>
          <w:tcPr>
            <w:tcW w:w="1701" w:type="dxa"/>
            <w:vAlign w:val="center"/>
          </w:tcPr>
          <w:p w14:paraId="11323F40" w14:textId="1FD5F26C" w:rsidR="00FF43B6" w:rsidRPr="00773C04" w:rsidRDefault="00FF43B6" w:rsidP="002906AD">
            <w:pPr>
              <w:jc w:val="center"/>
              <w:rPr>
                <w:lang w:val="en-GB"/>
              </w:rPr>
            </w:pPr>
            <w:r>
              <w:rPr>
                <w:lang w:val="en-GB"/>
              </w:rPr>
              <w:t>β</w:t>
            </w:r>
          </w:p>
        </w:tc>
      </w:tr>
      <w:tr w:rsidR="00FF43B6" w:rsidRPr="00773C04" w14:paraId="114E0FEE" w14:textId="77777777" w:rsidTr="00E321D5">
        <w:trPr>
          <w:jc w:val="center"/>
        </w:trPr>
        <w:tc>
          <w:tcPr>
            <w:tcW w:w="1843" w:type="dxa"/>
            <w:vAlign w:val="center"/>
          </w:tcPr>
          <w:p w14:paraId="6EAFE34A" w14:textId="77777777" w:rsidR="00FF43B6" w:rsidRPr="00773C04" w:rsidRDefault="00FF43B6" w:rsidP="00697DE4">
            <w:pPr>
              <w:rPr>
                <w:lang w:val="en-GB"/>
              </w:rPr>
            </w:pPr>
            <w:r w:rsidRPr="00773C04">
              <w:rPr>
                <w:lang w:val="en-GB"/>
              </w:rPr>
              <w:t>Conscientiousness</w:t>
            </w:r>
          </w:p>
        </w:tc>
        <w:tc>
          <w:tcPr>
            <w:tcW w:w="2173" w:type="dxa"/>
            <w:vAlign w:val="center"/>
          </w:tcPr>
          <w:p w14:paraId="6CAF8E62" w14:textId="387FBA6D" w:rsidR="00FF43B6" w:rsidRPr="001F6A9B" w:rsidRDefault="009117B3" w:rsidP="00E368B2">
            <w:pPr>
              <w:jc w:val="center"/>
              <w:rPr>
                <w:lang w:val="en-GB"/>
              </w:rPr>
            </w:pPr>
            <w:r>
              <w:rPr>
                <w:lang w:val="en-GB"/>
              </w:rPr>
              <w:t xml:space="preserve">   </w:t>
            </w:r>
            <w:r w:rsidR="006C785E">
              <w:rPr>
                <w:lang w:val="en-GB"/>
              </w:rPr>
              <w:t>.</w:t>
            </w:r>
            <w:r w:rsidR="00E368B2">
              <w:rPr>
                <w:lang w:val="en-GB"/>
              </w:rPr>
              <w:t>348</w:t>
            </w:r>
            <w:r w:rsidR="00FF43B6">
              <w:rPr>
                <w:lang w:val="en-GB"/>
              </w:rPr>
              <w:t>*</w:t>
            </w:r>
          </w:p>
        </w:tc>
        <w:tc>
          <w:tcPr>
            <w:tcW w:w="1796" w:type="dxa"/>
            <w:gridSpan w:val="3"/>
            <w:vAlign w:val="center"/>
          </w:tcPr>
          <w:p w14:paraId="3C38BC9A" w14:textId="38BC1167" w:rsidR="00FF43B6" w:rsidRPr="00773C04" w:rsidRDefault="009117B3" w:rsidP="00E368B2">
            <w:pPr>
              <w:jc w:val="center"/>
              <w:rPr>
                <w:lang w:val="en-GB"/>
              </w:rPr>
            </w:pPr>
            <w:r>
              <w:rPr>
                <w:lang w:val="en-GB"/>
              </w:rPr>
              <w:t xml:space="preserve">  </w:t>
            </w:r>
            <w:r w:rsidR="00FF43B6" w:rsidRPr="00773C04">
              <w:rPr>
                <w:lang w:val="en-GB"/>
              </w:rPr>
              <w:t xml:space="preserve"> </w:t>
            </w:r>
            <w:r w:rsidR="006C785E">
              <w:rPr>
                <w:lang w:val="en-GB"/>
              </w:rPr>
              <w:t>.</w:t>
            </w:r>
            <w:r w:rsidR="00E368B2">
              <w:rPr>
                <w:lang w:val="en-GB"/>
              </w:rPr>
              <w:t>149</w:t>
            </w:r>
            <w:r w:rsidR="00FF43B6">
              <w:rPr>
                <w:lang w:val="en-GB"/>
              </w:rPr>
              <w:t>*</w:t>
            </w:r>
          </w:p>
        </w:tc>
        <w:tc>
          <w:tcPr>
            <w:tcW w:w="1701" w:type="dxa"/>
            <w:vAlign w:val="center"/>
          </w:tcPr>
          <w:p w14:paraId="5DBEB711" w14:textId="61845800" w:rsidR="00FF43B6" w:rsidRPr="00773C04" w:rsidRDefault="009117B3" w:rsidP="00697DE4">
            <w:pPr>
              <w:jc w:val="center"/>
              <w:rPr>
                <w:lang w:val="en-GB"/>
              </w:rPr>
            </w:pPr>
            <w:r>
              <w:rPr>
                <w:lang w:val="en-GB"/>
              </w:rPr>
              <w:t xml:space="preserve">   </w:t>
            </w:r>
            <w:r w:rsidR="006C785E">
              <w:rPr>
                <w:lang w:val="en-GB"/>
              </w:rPr>
              <w:t>.</w:t>
            </w:r>
            <w:r w:rsidR="00E368B2">
              <w:rPr>
                <w:lang w:val="en-GB"/>
              </w:rPr>
              <w:t>199</w:t>
            </w:r>
            <w:r w:rsidR="00FF43B6">
              <w:rPr>
                <w:lang w:val="en-GB"/>
              </w:rPr>
              <w:t>*</w:t>
            </w:r>
          </w:p>
        </w:tc>
      </w:tr>
      <w:tr w:rsidR="00FF43B6" w:rsidRPr="00773C04" w14:paraId="1CF5904E" w14:textId="77777777" w:rsidTr="00E321D5">
        <w:trPr>
          <w:jc w:val="center"/>
        </w:trPr>
        <w:tc>
          <w:tcPr>
            <w:tcW w:w="1843" w:type="dxa"/>
            <w:vAlign w:val="center"/>
          </w:tcPr>
          <w:p w14:paraId="7AC5EA56" w14:textId="77777777" w:rsidR="00FF43B6" w:rsidRPr="00773C04" w:rsidRDefault="00FF43B6" w:rsidP="002906AD">
            <w:pPr>
              <w:rPr>
                <w:lang w:val="en-GB"/>
              </w:rPr>
            </w:pPr>
            <w:r w:rsidRPr="00773C04">
              <w:rPr>
                <w:lang w:val="en-GB"/>
              </w:rPr>
              <w:t>Openness</w:t>
            </w:r>
          </w:p>
        </w:tc>
        <w:tc>
          <w:tcPr>
            <w:tcW w:w="2173" w:type="dxa"/>
            <w:vAlign w:val="center"/>
          </w:tcPr>
          <w:p w14:paraId="15BBCD05" w14:textId="2DA01DDE" w:rsidR="00FF43B6" w:rsidRPr="001F6A9B" w:rsidRDefault="006C785E" w:rsidP="002906AD">
            <w:pPr>
              <w:jc w:val="center"/>
              <w:rPr>
                <w:lang w:val="en-GB"/>
              </w:rPr>
            </w:pPr>
            <w:r>
              <w:rPr>
                <w:lang w:val="en-GB"/>
              </w:rPr>
              <w:t xml:space="preserve"> .</w:t>
            </w:r>
            <w:r w:rsidR="009117B3">
              <w:rPr>
                <w:lang w:val="en-GB"/>
              </w:rPr>
              <w:t>099</w:t>
            </w:r>
          </w:p>
        </w:tc>
        <w:tc>
          <w:tcPr>
            <w:tcW w:w="1796" w:type="dxa"/>
            <w:gridSpan w:val="3"/>
            <w:vAlign w:val="center"/>
          </w:tcPr>
          <w:p w14:paraId="3E280E9E" w14:textId="34BD1D3D" w:rsidR="00FF43B6" w:rsidRPr="00773C04" w:rsidRDefault="006C785E" w:rsidP="002906AD">
            <w:pPr>
              <w:jc w:val="center"/>
              <w:rPr>
                <w:lang w:val="en-GB"/>
              </w:rPr>
            </w:pPr>
            <w:r>
              <w:rPr>
                <w:lang w:val="en-GB"/>
              </w:rPr>
              <w:t xml:space="preserve"> .</w:t>
            </w:r>
            <w:r w:rsidR="009117B3">
              <w:rPr>
                <w:lang w:val="en-GB"/>
              </w:rPr>
              <w:t>025</w:t>
            </w:r>
          </w:p>
        </w:tc>
        <w:tc>
          <w:tcPr>
            <w:tcW w:w="1701" w:type="dxa"/>
            <w:vAlign w:val="center"/>
          </w:tcPr>
          <w:p w14:paraId="0DCCA0EF" w14:textId="6C85856F" w:rsidR="00FF43B6" w:rsidRPr="00773C04" w:rsidRDefault="006C785E" w:rsidP="002906AD">
            <w:pPr>
              <w:jc w:val="center"/>
              <w:rPr>
                <w:lang w:val="en-GB"/>
              </w:rPr>
            </w:pPr>
            <w:r>
              <w:rPr>
                <w:lang w:val="en-GB"/>
              </w:rPr>
              <w:t xml:space="preserve">   .</w:t>
            </w:r>
            <w:r w:rsidR="009117B3">
              <w:rPr>
                <w:lang w:val="en-GB"/>
              </w:rPr>
              <w:t>074</w:t>
            </w:r>
            <w:r w:rsidR="00FF43B6">
              <w:rPr>
                <w:lang w:val="en-GB"/>
              </w:rPr>
              <w:t>*</w:t>
            </w:r>
          </w:p>
        </w:tc>
      </w:tr>
      <w:tr w:rsidR="00FF43B6" w:rsidRPr="00773C04" w14:paraId="10ADF9AD" w14:textId="77777777" w:rsidTr="00E321D5">
        <w:trPr>
          <w:jc w:val="center"/>
        </w:trPr>
        <w:tc>
          <w:tcPr>
            <w:tcW w:w="1843" w:type="dxa"/>
            <w:vAlign w:val="center"/>
          </w:tcPr>
          <w:p w14:paraId="13ADD0E3" w14:textId="77777777" w:rsidR="00FF43B6" w:rsidRPr="00773C04" w:rsidRDefault="00FF43B6" w:rsidP="002906AD">
            <w:pPr>
              <w:rPr>
                <w:lang w:val="en-GB"/>
              </w:rPr>
            </w:pPr>
            <w:r w:rsidRPr="00773C04">
              <w:rPr>
                <w:lang w:val="en-GB"/>
              </w:rPr>
              <w:t>Neuroticism</w:t>
            </w:r>
          </w:p>
        </w:tc>
        <w:tc>
          <w:tcPr>
            <w:tcW w:w="2173" w:type="dxa"/>
            <w:vAlign w:val="center"/>
          </w:tcPr>
          <w:p w14:paraId="0E33520F" w14:textId="4A0ECA5A" w:rsidR="00FF43B6" w:rsidRPr="001F6A9B" w:rsidRDefault="006C785E" w:rsidP="002906AD">
            <w:pPr>
              <w:jc w:val="center"/>
              <w:rPr>
                <w:lang w:val="en-GB"/>
              </w:rPr>
            </w:pPr>
            <w:r>
              <w:rPr>
                <w:lang w:val="en-GB"/>
              </w:rPr>
              <w:t>-.</w:t>
            </w:r>
            <w:r w:rsidR="009117B3">
              <w:rPr>
                <w:lang w:val="en-GB"/>
              </w:rPr>
              <w:t>067</w:t>
            </w:r>
          </w:p>
        </w:tc>
        <w:tc>
          <w:tcPr>
            <w:tcW w:w="1796" w:type="dxa"/>
            <w:gridSpan w:val="3"/>
            <w:vAlign w:val="center"/>
          </w:tcPr>
          <w:p w14:paraId="024336AF" w14:textId="5941258C" w:rsidR="00FF43B6" w:rsidRPr="00773C04" w:rsidRDefault="006C785E" w:rsidP="002906AD">
            <w:pPr>
              <w:jc w:val="center"/>
              <w:rPr>
                <w:lang w:val="en-GB"/>
              </w:rPr>
            </w:pPr>
            <w:r>
              <w:rPr>
                <w:lang w:val="en-GB"/>
              </w:rPr>
              <w:t>-.</w:t>
            </w:r>
            <w:r w:rsidR="009117B3">
              <w:rPr>
                <w:lang w:val="en-GB"/>
              </w:rPr>
              <w:t>025</w:t>
            </w:r>
          </w:p>
        </w:tc>
        <w:tc>
          <w:tcPr>
            <w:tcW w:w="1701" w:type="dxa"/>
            <w:vAlign w:val="center"/>
          </w:tcPr>
          <w:p w14:paraId="0D6F4AA4" w14:textId="54CD25E3" w:rsidR="00FF43B6" w:rsidRPr="00773C04" w:rsidRDefault="006C785E" w:rsidP="002906AD">
            <w:pPr>
              <w:jc w:val="center"/>
              <w:rPr>
                <w:lang w:val="en-GB"/>
              </w:rPr>
            </w:pPr>
            <w:r>
              <w:rPr>
                <w:lang w:val="en-GB"/>
              </w:rPr>
              <w:t>-.</w:t>
            </w:r>
            <w:r w:rsidR="009117B3">
              <w:rPr>
                <w:lang w:val="en-GB"/>
              </w:rPr>
              <w:t>042</w:t>
            </w:r>
          </w:p>
        </w:tc>
      </w:tr>
      <w:tr w:rsidR="00FF43B6" w:rsidRPr="00773C04" w14:paraId="138025E1" w14:textId="77777777" w:rsidTr="00E321D5">
        <w:trPr>
          <w:jc w:val="center"/>
        </w:trPr>
        <w:tc>
          <w:tcPr>
            <w:tcW w:w="1843" w:type="dxa"/>
            <w:vAlign w:val="center"/>
          </w:tcPr>
          <w:p w14:paraId="7D502175" w14:textId="77777777" w:rsidR="00FF43B6" w:rsidRPr="00773C04" w:rsidRDefault="00FF43B6" w:rsidP="002906AD">
            <w:pPr>
              <w:rPr>
                <w:lang w:val="en-GB"/>
              </w:rPr>
            </w:pPr>
            <w:r w:rsidRPr="00773C04">
              <w:rPr>
                <w:lang w:val="en-GB"/>
              </w:rPr>
              <w:t>Extraversion</w:t>
            </w:r>
          </w:p>
        </w:tc>
        <w:tc>
          <w:tcPr>
            <w:tcW w:w="2173" w:type="dxa"/>
            <w:vAlign w:val="center"/>
          </w:tcPr>
          <w:p w14:paraId="06208DE1" w14:textId="15E72A70" w:rsidR="00FF43B6" w:rsidRPr="001F6A9B" w:rsidRDefault="006C785E" w:rsidP="00E368B2">
            <w:pPr>
              <w:jc w:val="center"/>
              <w:rPr>
                <w:lang w:val="en-GB"/>
              </w:rPr>
            </w:pPr>
            <w:r>
              <w:rPr>
                <w:lang w:val="en-GB"/>
              </w:rPr>
              <w:t>-.</w:t>
            </w:r>
            <w:r w:rsidR="00E368B2">
              <w:rPr>
                <w:lang w:val="en-GB"/>
              </w:rPr>
              <w:t>014</w:t>
            </w:r>
          </w:p>
        </w:tc>
        <w:tc>
          <w:tcPr>
            <w:tcW w:w="1796" w:type="dxa"/>
            <w:gridSpan w:val="3"/>
            <w:vAlign w:val="center"/>
          </w:tcPr>
          <w:p w14:paraId="74F2663C" w14:textId="7F3F70D1" w:rsidR="00FF43B6" w:rsidRPr="00773C04" w:rsidRDefault="006C785E" w:rsidP="002906AD">
            <w:pPr>
              <w:jc w:val="center"/>
              <w:rPr>
                <w:lang w:val="en-GB"/>
              </w:rPr>
            </w:pPr>
            <w:r>
              <w:rPr>
                <w:lang w:val="en-GB"/>
              </w:rPr>
              <w:t>-.</w:t>
            </w:r>
            <w:r w:rsidR="00E368B2">
              <w:rPr>
                <w:lang w:val="en-GB"/>
              </w:rPr>
              <w:t>005</w:t>
            </w:r>
          </w:p>
        </w:tc>
        <w:tc>
          <w:tcPr>
            <w:tcW w:w="1701" w:type="dxa"/>
            <w:vAlign w:val="center"/>
          </w:tcPr>
          <w:p w14:paraId="4C81F7C2" w14:textId="339AE725" w:rsidR="00FF43B6" w:rsidRPr="00773C04" w:rsidRDefault="006C785E" w:rsidP="002906AD">
            <w:pPr>
              <w:jc w:val="center"/>
              <w:rPr>
                <w:lang w:val="en-GB"/>
              </w:rPr>
            </w:pPr>
            <w:r>
              <w:rPr>
                <w:lang w:val="en-GB"/>
              </w:rPr>
              <w:t>-.</w:t>
            </w:r>
            <w:r w:rsidR="00E368B2">
              <w:rPr>
                <w:lang w:val="en-GB"/>
              </w:rPr>
              <w:t>009</w:t>
            </w:r>
          </w:p>
        </w:tc>
      </w:tr>
      <w:tr w:rsidR="00FF43B6" w:rsidRPr="00773C04" w14:paraId="11A0A9D4" w14:textId="77777777" w:rsidTr="00E321D5">
        <w:trPr>
          <w:jc w:val="center"/>
        </w:trPr>
        <w:tc>
          <w:tcPr>
            <w:tcW w:w="1843" w:type="dxa"/>
            <w:vAlign w:val="center"/>
          </w:tcPr>
          <w:p w14:paraId="3639D6D2" w14:textId="77777777" w:rsidR="00FF43B6" w:rsidRPr="00773C04" w:rsidRDefault="00FF43B6" w:rsidP="002906AD">
            <w:pPr>
              <w:rPr>
                <w:lang w:val="en-GB"/>
              </w:rPr>
            </w:pPr>
            <w:r w:rsidRPr="00773C04">
              <w:rPr>
                <w:lang w:val="en-GB"/>
              </w:rPr>
              <w:t>Agreeableness</w:t>
            </w:r>
          </w:p>
        </w:tc>
        <w:tc>
          <w:tcPr>
            <w:tcW w:w="2173" w:type="dxa"/>
            <w:vAlign w:val="center"/>
          </w:tcPr>
          <w:p w14:paraId="63F304F6" w14:textId="4B4839CD" w:rsidR="00FF43B6" w:rsidRPr="001F6A9B" w:rsidRDefault="006C785E" w:rsidP="002906AD">
            <w:pPr>
              <w:jc w:val="center"/>
              <w:rPr>
                <w:lang w:val="en-GB"/>
              </w:rPr>
            </w:pPr>
            <w:r>
              <w:rPr>
                <w:lang w:val="en-GB"/>
              </w:rPr>
              <w:t>-.</w:t>
            </w:r>
            <w:r w:rsidR="009117B3">
              <w:rPr>
                <w:lang w:val="en-GB"/>
              </w:rPr>
              <w:t>080</w:t>
            </w:r>
          </w:p>
        </w:tc>
        <w:tc>
          <w:tcPr>
            <w:tcW w:w="1796" w:type="dxa"/>
            <w:gridSpan w:val="3"/>
            <w:vAlign w:val="center"/>
          </w:tcPr>
          <w:p w14:paraId="1A4EA609" w14:textId="0BFD1191" w:rsidR="00FF43B6" w:rsidRPr="00773C04" w:rsidRDefault="006C785E" w:rsidP="002906AD">
            <w:pPr>
              <w:jc w:val="center"/>
              <w:rPr>
                <w:lang w:val="en-GB"/>
              </w:rPr>
            </w:pPr>
            <w:r>
              <w:rPr>
                <w:lang w:val="en-GB"/>
              </w:rPr>
              <w:t>-.</w:t>
            </w:r>
            <w:r w:rsidR="009117B3">
              <w:rPr>
                <w:lang w:val="en-GB"/>
              </w:rPr>
              <w:t>085</w:t>
            </w:r>
          </w:p>
        </w:tc>
        <w:tc>
          <w:tcPr>
            <w:tcW w:w="1701" w:type="dxa"/>
            <w:vAlign w:val="center"/>
          </w:tcPr>
          <w:p w14:paraId="75BB9473" w14:textId="6D2CE881" w:rsidR="00FF43B6" w:rsidRPr="00773C04" w:rsidRDefault="006C785E" w:rsidP="002906AD">
            <w:pPr>
              <w:jc w:val="center"/>
              <w:rPr>
                <w:lang w:val="en-GB"/>
              </w:rPr>
            </w:pPr>
            <w:r>
              <w:rPr>
                <w:lang w:val="en-GB"/>
              </w:rPr>
              <w:t xml:space="preserve"> .</w:t>
            </w:r>
            <w:r w:rsidR="009117B3">
              <w:rPr>
                <w:lang w:val="en-GB"/>
              </w:rPr>
              <w:t>005</w:t>
            </w:r>
          </w:p>
        </w:tc>
      </w:tr>
    </w:tbl>
    <w:p w14:paraId="5B9FD759" w14:textId="0493AD6F" w:rsidR="00AA0BAA" w:rsidRPr="00773C04" w:rsidRDefault="00FF44FF" w:rsidP="00AA0BAA">
      <w:pPr>
        <w:rPr>
          <w:lang w:val="en-GB"/>
        </w:rPr>
      </w:pPr>
      <w:r>
        <w:rPr>
          <w:lang w:val="en-GB"/>
        </w:rPr>
        <w:tab/>
      </w:r>
      <w:r>
        <w:rPr>
          <w:lang w:val="en-GB"/>
        </w:rPr>
        <w:tab/>
      </w:r>
      <w:r w:rsidRPr="00773C04">
        <w:rPr>
          <w:i/>
          <w:lang w:val="en-GB"/>
        </w:rPr>
        <w:t>Note: *p &lt; .05</w:t>
      </w:r>
      <w:r>
        <w:rPr>
          <w:i/>
          <w:lang w:val="en-GB"/>
        </w:rPr>
        <w:t>.</w:t>
      </w:r>
    </w:p>
    <w:p w14:paraId="31538FC5" w14:textId="617CE0D3" w:rsidR="00AA0BAA" w:rsidRPr="000F54BB" w:rsidRDefault="00A13791" w:rsidP="00AA0BAA">
      <w:pPr>
        <w:spacing w:before="240" w:line="360" w:lineRule="auto"/>
        <w:jc w:val="both"/>
        <w:rPr>
          <w:lang w:val="en-GB"/>
        </w:rPr>
      </w:pPr>
      <w:r>
        <w:rPr>
          <w:lang w:val="en-GB"/>
        </w:rPr>
        <w:t>As presented in Table 5, d</w:t>
      </w:r>
      <w:r w:rsidR="00AA0BAA" w:rsidRPr="00773C04">
        <w:rPr>
          <w:lang w:val="en-GB"/>
        </w:rPr>
        <w:t xml:space="preserve">irect effect of conscientiousness on GPA is significant controlling for mediators </w:t>
      </w:r>
      <w:r w:rsidR="00AA0BAA" w:rsidRPr="00D043AE">
        <w:rPr>
          <w:lang w:val="en-GB"/>
        </w:rPr>
        <w:t>(</w:t>
      </w:r>
      <w:r w:rsidR="00D043AE" w:rsidRPr="005D1083">
        <w:rPr>
          <w:i/>
          <w:lang w:val="en-GB"/>
        </w:rPr>
        <w:t>β</w:t>
      </w:r>
      <w:r w:rsidR="00AA0BAA" w:rsidRPr="00D043AE">
        <w:rPr>
          <w:lang w:val="en-GB"/>
        </w:rPr>
        <w:t>=.</w:t>
      </w:r>
      <w:r w:rsidR="00D043AE" w:rsidRPr="00D043AE">
        <w:rPr>
          <w:lang w:val="en-GB"/>
        </w:rPr>
        <w:t>149</w:t>
      </w:r>
      <w:r w:rsidR="00AA0BAA" w:rsidRPr="00D043AE">
        <w:rPr>
          <w:lang w:val="en-GB"/>
        </w:rPr>
        <w:t xml:space="preserve">; </w:t>
      </w:r>
      <w:r w:rsidR="00D043AE" w:rsidRPr="005D1083">
        <w:rPr>
          <w:i/>
          <w:lang w:val="en-GB"/>
        </w:rPr>
        <w:t>p</w:t>
      </w:r>
      <w:r w:rsidR="00D043AE" w:rsidRPr="00D043AE">
        <w:rPr>
          <w:lang w:val="en-GB"/>
        </w:rPr>
        <w:t>&lt;0.05</w:t>
      </w:r>
      <w:r w:rsidR="00AA0BAA" w:rsidRPr="00D043AE">
        <w:rPr>
          <w:lang w:val="en-GB"/>
        </w:rPr>
        <w:t>),</w:t>
      </w:r>
      <w:r w:rsidR="00AA0BAA" w:rsidRPr="00773C04">
        <w:rPr>
          <w:lang w:val="en-GB"/>
        </w:rPr>
        <w:t xml:space="preserve"> </w:t>
      </w:r>
      <w:r w:rsidR="00731904">
        <w:rPr>
          <w:lang w:val="en-GB"/>
        </w:rPr>
        <w:t>indicating</w:t>
      </w:r>
      <w:r w:rsidR="00731904" w:rsidRPr="00773C04">
        <w:rPr>
          <w:lang w:val="en-GB"/>
        </w:rPr>
        <w:t xml:space="preserve"> that </w:t>
      </w:r>
      <w:r w:rsidR="00ED289C" w:rsidRPr="0018698D">
        <w:rPr>
          <w:lang w:val="en-GB"/>
        </w:rPr>
        <w:t xml:space="preserve">academic </w:t>
      </w:r>
      <w:r w:rsidR="00ED289C">
        <w:rPr>
          <w:lang w:val="en-GB"/>
        </w:rPr>
        <w:t>self-</w:t>
      </w:r>
      <w:r w:rsidR="00ED289C" w:rsidRPr="0018698D">
        <w:rPr>
          <w:lang w:val="en-GB"/>
        </w:rPr>
        <w:t>efficacy</w:t>
      </w:r>
      <w:r w:rsidR="00731904" w:rsidRPr="00773C04">
        <w:rPr>
          <w:lang w:val="en-GB"/>
        </w:rPr>
        <w:t xml:space="preserve"> and </w:t>
      </w:r>
      <w:r w:rsidR="00731904">
        <w:rPr>
          <w:lang w:val="en-GB"/>
        </w:rPr>
        <w:t xml:space="preserve">strategies of </w:t>
      </w:r>
      <w:r w:rsidR="00731904" w:rsidRPr="00773C04">
        <w:rPr>
          <w:lang w:val="en-GB"/>
        </w:rPr>
        <w:t>protecting self-esteem are partial mediators of the relationship</w:t>
      </w:r>
      <w:r w:rsidR="00AA0BAA" w:rsidRPr="00773C04">
        <w:rPr>
          <w:lang w:val="en-GB"/>
        </w:rPr>
        <w:t xml:space="preserve">. </w:t>
      </w:r>
    </w:p>
    <w:p w14:paraId="6DBF4E6F" w14:textId="0DB8ABB5" w:rsidR="00AA0BAA" w:rsidRPr="00D113D6" w:rsidRDefault="00AA0BAA" w:rsidP="00AA0BAA">
      <w:pPr>
        <w:spacing w:before="240" w:line="360" w:lineRule="auto"/>
        <w:jc w:val="both"/>
        <w:rPr>
          <w:color w:val="FF0000"/>
          <w:lang w:val="en-GB"/>
        </w:rPr>
      </w:pPr>
      <w:r w:rsidRPr="00773C04">
        <w:rPr>
          <w:lang w:val="en-GB"/>
        </w:rPr>
        <w:t xml:space="preserve">Despite the fact that the direct effect of openness on GPA </w:t>
      </w:r>
      <w:r w:rsidR="00C475BE">
        <w:rPr>
          <w:lang w:val="en-GB"/>
        </w:rPr>
        <w:t>is</w:t>
      </w:r>
      <w:r w:rsidRPr="00773C04">
        <w:rPr>
          <w:lang w:val="en-GB"/>
        </w:rPr>
        <w:t xml:space="preserve"> not significant (</w:t>
      </w:r>
      <w:r w:rsidRPr="005D1083">
        <w:rPr>
          <w:i/>
          <w:lang w:val="en-GB"/>
        </w:rPr>
        <w:t>β</w:t>
      </w:r>
      <w:r w:rsidRPr="00773C04">
        <w:rPr>
          <w:lang w:val="en-GB"/>
        </w:rPr>
        <w:t xml:space="preserve">=.025, </w:t>
      </w:r>
      <w:r w:rsidRPr="00773C04">
        <w:rPr>
          <w:i/>
          <w:lang w:val="en-GB"/>
        </w:rPr>
        <w:t>p</w:t>
      </w:r>
      <w:r w:rsidRPr="00773C04">
        <w:rPr>
          <w:lang w:val="en-GB"/>
        </w:rPr>
        <w:t>&gt;0.05</w:t>
      </w:r>
      <w:r w:rsidR="00B14B39">
        <w:rPr>
          <w:lang w:val="en-GB"/>
        </w:rPr>
        <w:t xml:space="preserve">), </w:t>
      </w:r>
      <w:r w:rsidRPr="00773C04">
        <w:rPr>
          <w:lang w:val="en-GB"/>
        </w:rPr>
        <w:t xml:space="preserve">the indirect effect of openness on GPA through </w:t>
      </w:r>
      <w:r w:rsidR="00ED289C" w:rsidRPr="0018698D">
        <w:rPr>
          <w:lang w:val="en-GB"/>
        </w:rPr>
        <w:t xml:space="preserve">academic </w:t>
      </w:r>
      <w:r w:rsidR="00ED289C">
        <w:rPr>
          <w:lang w:val="en-GB"/>
        </w:rPr>
        <w:t>self-</w:t>
      </w:r>
      <w:r w:rsidR="00ED289C" w:rsidRPr="0018698D">
        <w:rPr>
          <w:lang w:val="en-GB"/>
        </w:rPr>
        <w:t>efficacy</w:t>
      </w:r>
      <w:r w:rsidRPr="00773C04">
        <w:rPr>
          <w:lang w:val="en-GB"/>
        </w:rPr>
        <w:t xml:space="preserve"> is significant and positive (</w:t>
      </w:r>
      <w:r w:rsidRPr="005D1083">
        <w:rPr>
          <w:i/>
          <w:lang w:val="en-GB"/>
        </w:rPr>
        <w:t>β</w:t>
      </w:r>
      <w:r w:rsidRPr="00773C04">
        <w:rPr>
          <w:lang w:val="en-GB"/>
        </w:rPr>
        <w:t xml:space="preserve">=.068; </w:t>
      </w:r>
      <w:r w:rsidRPr="005D1083">
        <w:rPr>
          <w:i/>
          <w:lang w:val="en-GB"/>
        </w:rPr>
        <w:t>CI</w:t>
      </w:r>
      <w:r w:rsidRPr="00773C04">
        <w:rPr>
          <w:lang w:val="en-GB"/>
        </w:rPr>
        <w:t>=.029,</w:t>
      </w:r>
      <w:r w:rsidR="005D1083">
        <w:rPr>
          <w:lang w:val="en-GB"/>
        </w:rPr>
        <w:t xml:space="preserve"> </w:t>
      </w:r>
      <w:r w:rsidRPr="00773C04">
        <w:rPr>
          <w:lang w:val="en-GB"/>
        </w:rPr>
        <w:t xml:space="preserve">.115), as well as the indirect effect of openness on GPA through </w:t>
      </w:r>
      <w:r w:rsidR="00ED289C" w:rsidRPr="0018698D">
        <w:rPr>
          <w:lang w:val="en-GB"/>
        </w:rPr>
        <w:t xml:space="preserve">academic </w:t>
      </w:r>
      <w:r w:rsidR="00ED289C">
        <w:rPr>
          <w:lang w:val="en-GB"/>
        </w:rPr>
        <w:t>self-</w:t>
      </w:r>
      <w:r w:rsidR="00ED289C" w:rsidRPr="0018698D">
        <w:rPr>
          <w:lang w:val="en-GB"/>
        </w:rPr>
        <w:t>efficacy</w:t>
      </w:r>
      <w:r w:rsidRPr="00773C04">
        <w:rPr>
          <w:lang w:val="en-GB"/>
        </w:rPr>
        <w:t xml:space="preserve"> and protecting self-esteem (</w:t>
      </w:r>
      <w:r w:rsidRPr="005D1083">
        <w:rPr>
          <w:i/>
          <w:lang w:val="en-GB"/>
        </w:rPr>
        <w:t>β</w:t>
      </w:r>
      <w:r w:rsidRPr="00773C04">
        <w:rPr>
          <w:lang w:val="en-GB"/>
        </w:rPr>
        <w:t xml:space="preserve">=.008; </w:t>
      </w:r>
      <w:r w:rsidRPr="005D1083">
        <w:rPr>
          <w:i/>
          <w:lang w:val="en-GB"/>
        </w:rPr>
        <w:t>CI</w:t>
      </w:r>
      <w:r w:rsidRPr="00773C04">
        <w:rPr>
          <w:lang w:val="en-GB"/>
        </w:rPr>
        <w:t>=.002,</w:t>
      </w:r>
      <w:r w:rsidR="005D1083">
        <w:rPr>
          <w:lang w:val="en-GB"/>
        </w:rPr>
        <w:t xml:space="preserve"> </w:t>
      </w:r>
      <w:r w:rsidRPr="00773C04">
        <w:rPr>
          <w:lang w:val="en-GB"/>
        </w:rPr>
        <w:t>.020)</w:t>
      </w:r>
      <w:r w:rsidR="00C475BE">
        <w:rPr>
          <w:lang w:val="en-GB"/>
        </w:rPr>
        <w:t xml:space="preserve"> and the total indirect effect of openness on GPA (</w:t>
      </w:r>
      <w:r w:rsidR="00C475BE" w:rsidRPr="005D1083">
        <w:rPr>
          <w:i/>
          <w:lang w:val="en-GB"/>
        </w:rPr>
        <w:t>β</w:t>
      </w:r>
      <w:r w:rsidR="00C475BE" w:rsidRPr="00773C04">
        <w:rPr>
          <w:lang w:val="en-GB"/>
        </w:rPr>
        <w:t>=.0</w:t>
      </w:r>
      <w:r w:rsidR="00C475BE">
        <w:rPr>
          <w:lang w:val="en-GB"/>
        </w:rPr>
        <w:t>74</w:t>
      </w:r>
      <w:r w:rsidR="00C475BE" w:rsidRPr="00773C04">
        <w:rPr>
          <w:lang w:val="en-GB"/>
        </w:rPr>
        <w:t xml:space="preserve">; </w:t>
      </w:r>
      <w:r w:rsidR="00C475BE" w:rsidRPr="005D1083">
        <w:rPr>
          <w:i/>
          <w:lang w:val="en-GB"/>
        </w:rPr>
        <w:t>CI</w:t>
      </w:r>
      <w:r w:rsidR="00C475BE" w:rsidRPr="00773C04">
        <w:rPr>
          <w:lang w:val="en-GB"/>
        </w:rPr>
        <w:t>=.</w:t>
      </w:r>
      <w:r w:rsidR="00C475BE" w:rsidRPr="00C475BE">
        <w:rPr>
          <w:lang w:val="en-GB"/>
        </w:rPr>
        <w:t>026</w:t>
      </w:r>
      <w:r w:rsidR="00C475BE">
        <w:rPr>
          <w:lang w:val="en-GB"/>
        </w:rPr>
        <w:t>,</w:t>
      </w:r>
      <w:r w:rsidR="005D1083">
        <w:rPr>
          <w:lang w:val="en-GB"/>
        </w:rPr>
        <w:t xml:space="preserve"> </w:t>
      </w:r>
      <w:r w:rsidR="00C475BE">
        <w:rPr>
          <w:lang w:val="en-GB"/>
        </w:rPr>
        <w:t>.</w:t>
      </w:r>
      <w:r w:rsidR="00C475BE" w:rsidRPr="00C475BE">
        <w:rPr>
          <w:lang w:val="en-GB"/>
        </w:rPr>
        <w:t>12</w:t>
      </w:r>
      <w:r w:rsidR="00C475BE">
        <w:rPr>
          <w:lang w:val="en-GB"/>
        </w:rPr>
        <w:t>7)</w:t>
      </w:r>
      <w:r w:rsidR="00A13791">
        <w:rPr>
          <w:lang w:val="en-GB"/>
        </w:rPr>
        <w:t>.</w:t>
      </w:r>
      <w:r w:rsidRPr="00773C04">
        <w:rPr>
          <w:lang w:val="en-GB"/>
        </w:rPr>
        <w:t xml:space="preserve"> In other words, open students </w:t>
      </w:r>
      <w:r>
        <w:rPr>
          <w:lang w:val="en-GB"/>
        </w:rPr>
        <w:t xml:space="preserve">tend to </w:t>
      </w:r>
      <w:r w:rsidRPr="00033A89">
        <w:rPr>
          <w:lang w:val="en-GB"/>
        </w:rPr>
        <w:t xml:space="preserve">perceive themselves as academically efficient which </w:t>
      </w:r>
      <w:r>
        <w:rPr>
          <w:lang w:val="en-GB"/>
        </w:rPr>
        <w:t xml:space="preserve">further </w:t>
      </w:r>
      <w:r w:rsidRPr="00033A89">
        <w:rPr>
          <w:lang w:val="en-GB"/>
        </w:rPr>
        <w:t>re</w:t>
      </w:r>
      <w:r>
        <w:rPr>
          <w:lang w:val="en-GB"/>
        </w:rPr>
        <w:t>flects</w:t>
      </w:r>
      <w:r w:rsidRPr="00033A89">
        <w:rPr>
          <w:lang w:val="en-GB"/>
        </w:rPr>
        <w:t xml:space="preserve"> in </w:t>
      </w:r>
      <w:r>
        <w:rPr>
          <w:lang w:val="en-GB"/>
        </w:rPr>
        <w:t xml:space="preserve">their </w:t>
      </w:r>
      <w:r w:rsidRPr="00033A89">
        <w:rPr>
          <w:lang w:val="en-GB"/>
        </w:rPr>
        <w:t>higher GPA:</w:t>
      </w:r>
      <w:r w:rsidRPr="008E3261">
        <w:rPr>
          <w:lang w:val="en-GB"/>
        </w:rPr>
        <w:t xml:space="preserve"> first</w:t>
      </w:r>
      <w:r>
        <w:rPr>
          <w:lang w:val="en-GB"/>
        </w:rPr>
        <w:t>ly</w:t>
      </w:r>
      <w:r w:rsidRPr="008E3261">
        <w:rPr>
          <w:lang w:val="en-GB"/>
        </w:rPr>
        <w:t xml:space="preserve">, </w:t>
      </w:r>
      <w:r w:rsidRPr="00773C04">
        <w:rPr>
          <w:lang w:val="en-GB"/>
        </w:rPr>
        <w:t xml:space="preserve">because </w:t>
      </w:r>
      <w:r w:rsidR="00ED289C" w:rsidRPr="0018698D">
        <w:rPr>
          <w:lang w:val="en-GB"/>
        </w:rPr>
        <w:t xml:space="preserve">academic </w:t>
      </w:r>
      <w:r w:rsidR="00ED289C">
        <w:rPr>
          <w:lang w:val="en-GB"/>
        </w:rPr>
        <w:t>self-</w:t>
      </w:r>
      <w:r w:rsidR="00ED289C" w:rsidRPr="0018698D">
        <w:rPr>
          <w:lang w:val="en-GB"/>
        </w:rPr>
        <w:t>efficacy</w:t>
      </w:r>
      <w:r w:rsidRPr="00773C04">
        <w:rPr>
          <w:lang w:val="en-GB"/>
        </w:rPr>
        <w:t xml:space="preserve"> positively relates to GPA directly, and second</w:t>
      </w:r>
      <w:r>
        <w:rPr>
          <w:lang w:val="en-GB"/>
        </w:rPr>
        <w:t>ly</w:t>
      </w:r>
      <w:r w:rsidRPr="00773C04">
        <w:rPr>
          <w:lang w:val="en-GB"/>
        </w:rPr>
        <w:t>, because academically efficient students avoid strategies of protecting self-esteem, which also leads to higher GPA.</w:t>
      </w:r>
      <w:r w:rsidR="00D113D6">
        <w:rPr>
          <w:color w:val="FF0000"/>
          <w:lang w:val="en-GB"/>
        </w:rPr>
        <w:t xml:space="preserve"> </w:t>
      </w:r>
      <w:r w:rsidR="00DF44AC" w:rsidRPr="00DF44AC">
        <w:rPr>
          <w:lang w:val="en-GB"/>
        </w:rPr>
        <w:t xml:space="preserve">However, it has to be noted that the indirect effect of openness on GPA is small and can be attributed mostly to the effect of </w:t>
      </w:r>
      <w:r w:rsidR="00ED289C" w:rsidRPr="0018698D">
        <w:rPr>
          <w:lang w:val="en-GB"/>
        </w:rPr>
        <w:t xml:space="preserve">academic </w:t>
      </w:r>
      <w:r w:rsidR="00ED289C">
        <w:rPr>
          <w:lang w:val="en-GB"/>
        </w:rPr>
        <w:t>self-</w:t>
      </w:r>
      <w:r w:rsidR="00ED289C" w:rsidRPr="0018698D">
        <w:rPr>
          <w:lang w:val="en-GB"/>
        </w:rPr>
        <w:t>efficacy</w:t>
      </w:r>
      <w:r w:rsidR="00DF44AC" w:rsidRPr="00DF44AC">
        <w:rPr>
          <w:lang w:val="en-GB"/>
        </w:rPr>
        <w:t>.</w:t>
      </w:r>
    </w:p>
    <w:p w14:paraId="740C2142" w14:textId="242C81A7" w:rsidR="00B14B39" w:rsidRDefault="00AA0BAA" w:rsidP="00B14B39">
      <w:pPr>
        <w:spacing w:before="240" w:line="360" w:lineRule="auto"/>
        <w:jc w:val="both"/>
        <w:rPr>
          <w:lang w:val="en-GB"/>
        </w:rPr>
      </w:pPr>
      <w:r w:rsidRPr="00773C04">
        <w:rPr>
          <w:lang w:val="en-GB"/>
        </w:rPr>
        <w:t xml:space="preserve">Furthermore, </w:t>
      </w:r>
      <w:r w:rsidR="00C475BE">
        <w:rPr>
          <w:lang w:val="en-GB"/>
        </w:rPr>
        <w:t>Table 5 shows that total, direct and indirect effects of agreeableness are not significant (</w:t>
      </w:r>
      <w:r w:rsidR="00C475BE" w:rsidRPr="005D1083">
        <w:rPr>
          <w:i/>
          <w:lang w:val="en-GB"/>
        </w:rPr>
        <w:t>β</w:t>
      </w:r>
      <w:r w:rsidR="00C475BE" w:rsidRPr="00773C04">
        <w:rPr>
          <w:lang w:val="en-GB"/>
        </w:rPr>
        <w:t>=</w:t>
      </w:r>
      <w:r w:rsidR="00C475BE">
        <w:rPr>
          <w:lang w:val="en-GB"/>
        </w:rPr>
        <w:t>-</w:t>
      </w:r>
      <w:r w:rsidR="00C475BE" w:rsidRPr="00773C04">
        <w:rPr>
          <w:lang w:val="en-GB"/>
        </w:rPr>
        <w:t>.0</w:t>
      </w:r>
      <w:r w:rsidR="00C475BE">
        <w:rPr>
          <w:lang w:val="en-GB"/>
        </w:rPr>
        <w:t>80</w:t>
      </w:r>
      <w:r w:rsidR="00C475BE" w:rsidRPr="00773C04">
        <w:rPr>
          <w:lang w:val="en-GB"/>
        </w:rPr>
        <w:t xml:space="preserve">, </w:t>
      </w:r>
      <w:r w:rsidR="00C475BE" w:rsidRPr="00773C04">
        <w:rPr>
          <w:i/>
          <w:lang w:val="en-GB"/>
        </w:rPr>
        <w:t>p</w:t>
      </w:r>
      <w:r w:rsidR="00C475BE" w:rsidRPr="00773C04">
        <w:rPr>
          <w:lang w:val="en-GB"/>
        </w:rPr>
        <w:t xml:space="preserve">&gt;0.05; </w:t>
      </w:r>
      <w:r w:rsidR="00C475BE" w:rsidRPr="005D1083">
        <w:rPr>
          <w:i/>
          <w:lang w:val="en-GB"/>
        </w:rPr>
        <w:t>β</w:t>
      </w:r>
      <w:r w:rsidR="00C475BE" w:rsidRPr="00773C04">
        <w:rPr>
          <w:lang w:val="en-GB"/>
        </w:rPr>
        <w:t xml:space="preserve">=-.085, </w:t>
      </w:r>
      <w:r w:rsidR="00C475BE" w:rsidRPr="00773C04">
        <w:rPr>
          <w:i/>
          <w:lang w:val="en-GB"/>
        </w:rPr>
        <w:t>p</w:t>
      </w:r>
      <w:r w:rsidR="00C475BE" w:rsidRPr="00773C04">
        <w:rPr>
          <w:lang w:val="en-GB"/>
        </w:rPr>
        <w:t>&gt;0.05</w:t>
      </w:r>
      <w:r w:rsidR="00B14B39">
        <w:rPr>
          <w:lang w:val="en-GB"/>
        </w:rPr>
        <w:t xml:space="preserve">; </w:t>
      </w:r>
      <w:r w:rsidR="00B14B39" w:rsidRPr="005D1083">
        <w:rPr>
          <w:i/>
          <w:lang w:val="en-GB"/>
        </w:rPr>
        <w:t>β</w:t>
      </w:r>
      <w:r w:rsidR="00B14B39" w:rsidRPr="00773C04">
        <w:rPr>
          <w:lang w:val="en-GB"/>
        </w:rPr>
        <w:t>=-.0</w:t>
      </w:r>
      <w:r w:rsidR="00B14B39">
        <w:rPr>
          <w:lang w:val="en-GB"/>
        </w:rPr>
        <w:t>05</w:t>
      </w:r>
      <w:r w:rsidR="00B14B39" w:rsidRPr="00773C04">
        <w:rPr>
          <w:lang w:val="en-GB"/>
        </w:rPr>
        <w:t xml:space="preserve">, </w:t>
      </w:r>
      <w:r w:rsidR="00B14B39" w:rsidRPr="00773C04">
        <w:rPr>
          <w:i/>
          <w:lang w:val="en-GB"/>
        </w:rPr>
        <w:t>p</w:t>
      </w:r>
      <w:r w:rsidR="00B14B39" w:rsidRPr="00773C04">
        <w:rPr>
          <w:lang w:val="en-GB"/>
        </w:rPr>
        <w:t>&gt;0.05</w:t>
      </w:r>
      <w:r w:rsidR="00B14B39">
        <w:rPr>
          <w:lang w:val="en-GB"/>
        </w:rPr>
        <w:t xml:space="preserve">), which indicates that agreeableness has no effect on GPA. However, </w:t>
      </w:r>
      <w:r w:rsidRPr="00773C04">
        <w:rPr>
          <w:lang w:val="en-GB"/>
        </w:rPr>
        <w:t>the indirect effect of agreeableness on GPA through protecting self-esteem is statistically significant (</w:t>
      </w:r>
      <w:r w:rsidRPr="005D1083">
        <w:rPr>
          <w:i/>
          <w:lang w:val="en-GB"/>
        </w:rPr>
        <w:t>β</w:t>
      </w:r>
      <w:r w:rsidRPr="00773C04">
        <w:rPr>
          <w:lang w:val="en-GB"/>
        </w:rPr>
        <w:t xml:space="preserve">=.031; </w:t>
      </w:r>
      <w:r w:rsidRPr="005D1083">
        <w:rPr>
          <w:i/>
          <w:lang w:val="en-GB"/>
        </w:rPr>
        <w:t>CI</w:t>
      </w:r>
      <w:r w:rsidRPr="00773C04">
        <w:rPr>
          <w:lang w:val="en-GB"/>
        </w:rPr>
        <w:t>=.007,</w:t>
      </w:r>
      <w:r w:rsidR="005D1083">
        <w:rPr>
          <w:lang w:val="en-GB"/>
        </w:rPr>
        <w:t xml:space="preserve"> </w:t>
      </w:r>
      <w:r w:rsidRPr="00773C04">
        <w:rPr>
          <w:lang w:val="en-GB"/>
        </w:rPr>
        <w:t>.064)</w:t>
      </w:r>
      <w:r w:rsidR="00B14B39">
        <w:rPr>
          <w:lang w:val="en-GB"/>
        </w:rPr>
        <w:t>, suggesting that a</w:t>
      </w:r>
      <w:r w:rsidRPr="00773C04">
        <w:rPr>
          <w:lang w:val="en-GB"/>
        </w:rPr>
        <w:t xml:space="preserve">greeable students tend to avoid strategies of protecting self-esteem, which </w:t>
      </w:r>
      <w:r>
        <w:rPr>
          <w:lang w:val="en-GB"/>
        </w:rPr>
        <w:t>leads to</w:t>
      </w:r>
      <w:r w:rsidRPr="00773C04">
        <w:rPr>
          <w:lang w:val="en-GB"/>
        </w:rPr>
        <w:t xml:space="preserve"> higher GPA.</w:t>
      </w:r>
      <w:r w:rsidR="00B14B39">
        <w:rPr>
          <w:lang w:val="en-GB"/>
        </w:rPr>
        <w:t xml:space="preserve"> </w:t>
      </w:r>
    </w:p>
    <w:p w14:paraId="7914C739" w14:textId="40FD60CC" w:rsidR="00283E8D" w:rsidRDefault="00AA0BAA" w:rsidP="00B14B39">
      <w:pPr>
        <w:spacing w:before="240" w:line="360" w:lineRule="auto"/>
        <w:jc w:val="both"/>
        <w:rPr>
          <w:lang w:val="en-GB"/>
        </w:rPr>
      </w:pPr>
      <w:r w:rsidRPr="00773C04">
        <w:rPr>
          <w:lang w:val="en-GB"/>
        </w:rPr>
        <w:lastRenderedPageBreak/>
        <w:t xml:space="preserve">Extraversion and neuroticism were not found to be significant </w:t>
      </w:r>
      <w:r w:rsidR="00566EF8">
        <w:rPr>
          <w:lang w:val="en-GB"/>
        </w:rPr>
        <w:t>regressors</w:t>
      </w:r>
      <w:r w:rsidRPr="00773C04">
        <w:rPr>
          <w:lang w:val="en-GB"/>
        </w:rPr>
        <w:t xml:space="preserve"> o</w:t>
      </w:r>
      <w:r w:rsidR="00566EF8">
        <w:rPr>
          <w:lang w:val="en-GB"/>
        </w:rPr>
        <w:t>n</w:t>
      </w:r>
      <w:r w:rsidRPr="00773C04">
        <w:rPr>
          <w:lang w:val="en-GB"/>
        </w:rPr>
        <w:t xml:space="preserve"> GPA, and no significant mediational effects were found for </w:t>
      </w:r>
      <w:r w:rsidR="00ED289C" w:rsidRPr="0018698D">
        <w:rPr>
          <w:lang w:val="en-GB"/>
        </w:rPr>
        <w:t xml:space="preserve">academic </w:t>
      </w:r>
      <w:r w:rsidR="00ED289C">
        <w:rPr>
          <w:lang w:val="en-GB"/>
        </w:rPr>
        <w:t>self-</w:t>
      </w:r>
      <w:r w:rsidR="00ED289C" w:rsidRPr="0018698D">
        <w:rPr>
          <w:lang w:val="en-GB"/>
        </w:rPr>
        <w:t>efficacy</w:t>
      </w:r>
      <w:r w:rsidRPr="00773C04">
        <w:rPr>
          <w:lang w:val="en-GB"/>
        </w:rPr>
        <w:t xml:space="preserve"> and learning strategies in these relationships. </w:t>
      </w:r>
    </w:p>
    <w:p w14:paraId="5377552A" w14:textId="4641A7B8" w:rsidR="00961884" w:rsidRDefault="00961884" w:rsidP="00B14B39">
      <w:pPr>
        <w:spacing w:before="240" w:line="360" w:lineRule="auto"/>
        <w:jc w:val="both"/>
        <w:rPr>
          <w:lang w:val="en-GB"/>
        </w:rPr>
      </w:pPr>
      <w:r w:rsidRPr="00961884">
        <w:rPr>
          <w:lang w:val="en-GB"/>
        </w:rPr>
        <w:t xml:space="preserve">Path analysis was performed to test the fit of the overall model. Since the fit indices were not within </w:t>
      </w:r>
      <w:r w:rsidR="00C72876">
        <w:rPr>
          <w:lang w:val="en-GB"/>
        </w:rPr>
        <w:t xml:space="preserve">the </w:t>
      </w:r>
      <w:r w:rsidRPr="00961884">
        <w:rPr>
          <w:lang w:val="en-GB"/>
        </w:rPr>
        <w:t>acceptable thresholds (</w:t>
      </w:r>
      <w:r w:rsidRPr="00BE019A">
        <w:rPr>
          <w:i/>
          <w:lang w:val="en-GB"/>
        </w:rPr>
        <w:t>χ</w:t>
      </w:r>
      <w:r w:rsidRPr="00BE019A">
        <w:rPr>
          <w:i/>
          <w:vertAlign w:val="superscript"/>
          <w:lang w:val="en-GB"/>
        </w:rPr>
        <w:t>2</w:t>
      </w:r>
      <w:r w:rsidRPr="00961884">
        <w:rPr>
          <w:lang w:val="en-GB"/>
        </w:rPr>
        <w:t xml:space="preserve">=10.1, </w:t>
      </w:r>
      <w:r w:rsidRPr="00BE019A">
        <w:rPr>
          <w:i/>
          <w:lang w:val="en-GB"/>
        </w:rPr>
        <w:t>df</w:t>
      </w:r>
      <w:r w:rsidRPr="00961884">
        <w:rPr>
          <w:lang w:val="en-GB"/>
        </w:rPr>
        <w:t xml:space="preserve">=1, </w:t>
      </w:r>
      <w:r w:rsidRPr="00BE019A">
        <w:rPr>
          <w:i/>
          <w:lang w:val="en-GB"/>
        </w:rPr>
        <w:t>p</w:t>
      </w:r>
      <w:r w:rsidRPr="00961884">
        <w:rPr>
          <w:lang w:val="en-GB"/>
        </w:rPr>
        <w:t xml:space="preserve">&gt;0.05; RMSEA=.149; CFI=.983; TLI=.498), the model was </w:t>
      </w:r>
      <w:proofErr w:type="spellStart"/>
      <w:r w:rsidRPr="00961884">
        <w:rPr>
          <w:lang w:val="en-GB"/>
        </w:rPr>
        <w:t>respecified</w:t>
      </w:r>
      <w:proofErr w:type="spellEnd"/>
      <w:r w:rsidRPr="00961884">
        <w:rPr>
          <w:lang w:val="en-GB"/>
        </w:rPr>
        <w:t xml:space="preserve">. We removed the paths from gender to mediators (academic self-efficacy, promoting learning process and protecting self-esteem), from extraversion to promoting learning process, and from neuroticism to GPA. Correlation analysis, PROCESS and path analysis have all indicated that relationships </w:t>
      </w:r>
      <w:r w:rsidR="00C72876">
        <w:rPr>
          <w:lang w:val="en-GB"/>
        </w:rPr>
        <w:t>between these variables</w:t>
      </w:r>
      <w:r w:rsidR="00FF6683">
        <w:rPr>
          <w:lang w:val="en-GB"/>
        </w:rPr>
        <w:t xml:space="preserve"> </w:t>
      </w:r>
      <w:r w:rsidRPr="00961884">
        <w:rPr>
          <w:lang w:val="en-GB"/>
        </w:rPr>
        <w:t>were nonsignificant or negligible. The new model fitted the data (</w:t>
      </w:r>
      <w:r w:rsidRPr="00BE019A">
        <w:rPr>
          <w:i/>
          <w:lang w:val="en-GB"/>
        </w:rPr>
        <w:t>χ</w:t>
      </w:r>
      <w:r w:rsidRPr="00BE019A">
        <w:rPr>
          <w:i/>
          <w:vertAlign w:val="superscript"/>
          <w:lang w:val="en-GB"/>
        </w:rPr>
        <w:t>2</w:t>
      </w:r>
      <w:r w:rsidRPr="00961884">
        <w:rPr>
          <w:lang w:val="en-GB"/>
        </w:rPr>
        <w:t xml:space="preserve">=14.2, </w:t>
      </w:r>
      <w:r w:rsidRPr="00BE019A">
        <w:rPr>
          <w:i/>
          <w:lang w:val="en-GB"/>
        </w:rPr>
        <w:t>df</w:t>
      </w:r>
      <w:r w:rsidRPr="00961884">
        <w:rPr>
          <w:lang w:val="en-GB"/>
        </w:rPr>
        <w:t xml:space="preserve">=6, </w:t>
      </w:r>
      <w:r w:rsidRPr="00BE019A">
        <w:rPr>
          <w:i/>
          <w:lang w:val="en-GB"/>
        </w:rPr>
        <w:t>p</w:t>
      </w:r>
      <w:r w:rsidRPr="00961884">
        <w:rPr>
          <w:lang w:val="en-GB"/>
        </w:rPr>
        <w:t xml:space="preserve">&lt;0.05; RMSEA=.058; CFI=.985; TLI=.924) and its parameter estimates </w:t>
      </w:r>
      <w:r w:rsidR="00C72876">
        <w:rPr>
          <w:lang w:val="en-GB"/>
        </w:rPr>
        <w:t>replicated</w:t>
      </w:r>
      <w:r w:rsidRPr="00961884">
        <w:rPr>
          <w:lang w:val="en-GB"/>
        </w:rPr>
        <w:t xml:space="preserve"> findings </w:t>
      </w:r>
      <w:r w:rsidR="00C72876">
        <w:rPr>
          <w:lang w:val="en-GB"/>
        </w:rPr>
        <w:t>obtained with</w:t>
      </w:r>
      <w:r w:rsidRPr="00961884">
        <w:rPr>
          <w:lang w:val="en-GB"/>
        </w:rPr>
        <w:t xml:space="preserve"> PROCESS procedure (Appendix Figure 2. and Table 6.).</w:t>
      </w:r>
    </w:p>
    <w:p w14:paraId="587AF378" w14:textId="77777777" w:rsidR="00F82F0D" w:rsidRDefault="00F82F0D" w:rsidP="00D043AE">
      <w:pPr>
        <w:spacing w:line="360" w:lineRule="auto"/>
        <w:jc w:val="both"/>
        <w:rPr>
          <w:b/>
          <w:lang w:val="en-GB"/>
        </w:rPr>
      </w:pPr>
    </w:p>
    <w:p w14:paraId="7D3C2706" w14:textId="456BED49" w:rsidR="00D043AE" w:rsidRDefault="00D043AE" w:rsidP="00D043AE">
      <w:pPr>
        <w:spacing w:line="360" w:lineRule="auto"/>
        <w:jc w:val="both"/>
        <w:rPr>
          <w:b/>
          <w:lang w:val="en-GB"/>
        </w:rPr>
      </w:pPr>
      <w:r>
        <w:rPr>
          <w:b/>
          <w:lang w:val="en-GB"/>
        </w:rPr>
        <w:t>Discussion</w:t>
      </w:r>
    </w:p>
    <w:p w14:paraId="5F51B629" w14:textId="1C713202" w:rsidR="00724F1A" w:rsidRDefault="00724F1A" w:rsidP="00724F1A">
      <w:pPr>
        <w:spacing w:after="240" w:line="360" w:lineRule="auto"/>
        <w:jc w:val="both"/>
        <w:rPr>
          <w:lang w:val="en-GB"/>
        </w:rPr>
      </w:pPr>
      <w:r w:rsidRPr="00724F1A">
        <w:rPr>
          <w:lang w:val="en-GB"/>
        </w:rPr>
        <w:t xml:space="preserve">This study explored the role of academic self-efficacy and motivational learning strategies in the relationship between personality and academic performance with particular emphasis on previously unexplored serial mediation effects. We hypothesized that personality traits have both direct and indirect effects on student achievement, and that </w:t>
      </w:r>
      <w:r w:rsidR="00EA7853">
        <w:rPr>
          <w:lang w:val="en-GB"/>
        </w:rPr>
        <w:t xml:space="preserve">academic </w:t>
      </w:r>
      <w:r w:rsidRPr="00724F1A">
        <w:rPr>
          <w:lang w:val="en-GB"/>
        </w:rPr>
        <w:t>self-efficacy and learning strategies serially mediate this effect.</w:t>
      </w:r>
      <w:r>
        <w:rPr>
          <w:lang w:val="en-GB"/>
        </w:rPr>
        <w:t xml:space="preserve"> </w:t>
      </w:r>
    </w:p>
    <w:p w14:paraId="0ADEF58A" w14:textId="3DD4C310" w:rsidR="00B14B39" w:rsidRDefault="00D043AE" w:rsidP="00B14B39">
      <w:pPr>
        <w:spacing w:line="360" w:lineRule="auto"/>
        <w:jc w:val="both"/>
        <w:rPr>
          <w:lang w:val="en-GB"/>
        </w:rPr>
      </w:pPr>
      <w:r>
        <w:rPr>
          <w:lang w:val="en-GB"/>
        </w:rPr>
        <w:t>In our study, students’ conscientiousness was the only personality trait that had significant effects on all outcome variables (</w:t>
      </w:r>
      <w:r w:rsidR="00ED289C" w:rsidRPr="0018698D">
        <w:rPr>
          <w:lang w:val="en-GB"/>
        </w:rPr>
        <w:t xml:space="preserve">academic </w:t>
      </w:r>
      <w:r w:rsidR="00ED289C">
        <w:rPr>
          <w:lang w:val="en-GB"/>
        </w:rPr>
        <w:t>self-</w:t>
      </w:r>
      <w:r w:rsidR="00ED289C" w:rsidRPr="0018698D">
        <w:rPr>
          <w:lang w:val="en-GB"/>
        </w:rPr>
        <w:t>efficacy</w:t>
      </w:r>
      <w:r>
        <w:rPr>
          <w:lang w:val="en-GB"/>
        </w:rPr>
        <w:t xml:space="preserve">, learning strategies and GPA), </w:t>
      </w:r>
      <w:r w:rsidR="002700D2">
        <w:rPr>
          <w:lang w:val="en-GB"/>
        </w:rPr>
        <w:t>which partially confirms</w:t>
      </w:r>
      <w:r>
        <w:rPr>
          <w:lang w:val="en-GB"/>
        </w:rPr>
        <w:t xml:space="preserve"> Hypothesis a). Conscientious students were more likely to be academically efficient, to use strategies of promoting learning process, to avoid using strategies of protecting self-esteem and to have higher GPA. </w:t>
      </w:r>
      <w:r w:rsidR="00556892">
        <w:rPr>
          <w:lang w:val="en-GB"/>
        </w:rPr>
        <w:t xml:space="preserve"> </w:t>
      </w:r>
      <w:r w:rsidR="005D06FE">
        <w:rPr>
          <w:lang w:val="en-GB"/>
        </w:rPr>
        <w:t xml:space="preserve">In accordance with Hypothesis d), </w:t>
      </w:r>
      <w:r w:rsidR="00ED289C" w:rsidRPr="0018698D">
        <w:rPr>
          <w:lang w:val="en-GB"/>
        </w:rPr>
        <w:t xml:space="preserve">academic </w:t>
      </w:r>
      <w:r w:rsidR="00ED289C">
        <w:rPr>
          <w:lang w:val="en-GB"/>
        </w:rPr>
        <w:t>self-</w:t>
      </w:r>
      <w:r w:rsidR="00ED289C" w:rsidRPr="0018698D">
        <w:rPr>
          <w:lang w:val="en-GB"/>
        </w:rPr>
        <w:t>efficacy</w:t>
      </w:r>
      <w:r w:rsidR="005D06FE">
        <w:rPr>
          <w:lang w:val="en-GB"/>
        </w:rPr>
        <w:t xml:space="preserve"> and strategies of protecting self-esteem mediated the relationship between conscientiousness and GPA. More precisely, the finding that conscientious students have higher GPA can partially be explained with their relatively high </w:t>
      </w:r>
      <w:r w:rsidR="00ED289C" w:rsidRPr="0018698D">
        <w:rPr>
          <w:lang w:val="en-GB"/>
        </w:rPr>
        <w:t xml:space="preserve">academic </w:t>
      </w:r>
      <w:r w:rsidR="00ED289C">
        <w:rPr>
          <w:lang w:val="en-GB"/>
        </w:rPr>
        <w:t>self-</w:t>
      </w:r>
      <w:r w:rsidR="00ED289C" w:rsidRPr="0018698D">
        <w:rPr>
          <w:lang w:val="en-GB"/>
        </w:rPr>
        <w:t>efficacy</w:t>
      </w:r>
      <w:r w:rsidR="005D06FE">
        <w:rPr>
          <w:lang w:val="en-GB"/>
        </w:rPr>
        <w:t xml:space="preserve"> and avoidance of using strategies of protecting self-esteem. </w:t>
      </w:r>
      <w:r w:rsidR="00556892">
        <w:rPr>
          <w:lang w:val="en-GB"/>
        </w:rPr>
        <w:t>The findings of our study provide further empirical support to the already established role of conscientiousness in academic performance of elementary school students. Conscientious students are well-organized, self-disciplined and achievement-striving, which is directly reflected in their higher performance (</w:t>
      </w:r>
      <w:proofErr w:type="spellStart"/>
      <w:r w:rsidR="00556892">
        <w:rPr>
          <w:lang w:val="en-GB"/>
        </w:rPr>
        <w:t>Noftle</w:t>
      </w:r>
      <w:proofErr w:type="spellEnd"/>
      <w:r w:rsidR="00556892">
        <w:rPr>
          <w:lang w:val="en-GB"/>
        </w:rPr>
        <w:t xml:space="preserve"> &amp; Robins, 2007; </w:t>
      </w:r>
      <w:proofErr w:type="spellStart"/>
      <w:r w:rsidR="00556892">
        <w:rPr>
          <w:lang w:val="en-GB"/>
        </w:rPr>
        <w:t>Poropat</w:t>
      </w:r>
      <w:proofErr w:type="spellEnd"/>
      <w:r w:rsidR="00556892">
        <w:rPr>
          <w:lang w:val="en-GB"/>
        </w:rPr>
        <w:t xml:space="preserve">, 2009). In addition to direct effects, conscientiousness partly operates through motivational characteristics such as self-presentations and regulation of learning.  Higher </w:t>
      </w:r>
      <w:r w:rsidR="00EA7853">
        <w:rPr>
          <w:lang w:val="en-GB"/>
        </w:rPr>
        <w:t xml:space="preserve">academic </w:t>
      </w:r>
      <w:r w:rsidR="00556892">
        <w:rPr>
          <w:lang w:val="en-GB"/>
        </w:rPr>
        <w:t>self-</w:t>
      </w:r>
      <w:r w:rsidR="00556892">
        <w:rPr>
          <w:lang w:val="en-GB"/>
        </w:rPr>
        <w:lastRenderedPageBreak/>
        <w:t xml:space="preserve">efficacy and adaptive approach to learning of conscientious students promotes their achievement in elementary school, supporting empirical evidence obtained across different educational levels and contexts </w:t>
      </w:r>
      <w:r w:rsidR="00556892" w:rsidRPr="00727874">
        <w:rPr>
          <w:lang w:val="en-GB"/>
        </w:rPr>
        <w:t>(</w:t>
      </w:r>
      <w:proofErr w:type="spellStart"/>
      <w:r w:rsidR="00556892" w:rsidRPr="00727874">
        <w:rPr>
          <w:lang w:val="en-GB"/>
        </w:rPr>
        <w:t>Trautwein</w:t>
      </w:r>
      <w:proofErr w:type="spellEnd"/>
      <w:r w:rsidR="00556892">
        <w:rPr>
          <w:lang w:val="en-GB"/>
        </w:rPr>
        <w:t xml:space="preserve"> et al., 2009; </w:t>
      </w:r>
      <w:proofErr w:type="spellStart"/>
      <w:r w:rsidR="00556892">
        <w:rPr>
          <w:lang w:val="en-GB"/>
        </w:rPr>
        <w:t>Caprara</w:t>
      </w:r>
      <w:proofErr w:type="spellEnd"/>
      <w:r w:rsidR="00556892">
        <w:rPr>
          <w:lang w:val="en-GB"/>
        </w:rPr>
        <w:t xml:space="preserve"> et al., 2011; </w:t>
      </w:r>
      <w:proofErr w:type="spellStart"/>
      <w:r w:rsidR="00556892">
        <w:rPr>
          <w:lang w:val="en-GB"/>
        </w:rPr>
        <w:t>Stajkovic</w:t>
      </w:r>
      <w:proofErr w:type="spellEnd"/>
      <w:r w:rsidR="00556892">
        <w:rPr>
          <w:lang w:val="en-GB"/>
        </w:rPr>
        <w:t xml:space="preserve"> et al.,</w:t>
      </w:r>
      <w:r w:rsidR="00A4117C">
        <w:rPr>
          <w:lang w:val="en-GB"/>
        </w:rPr>
        <w:t xml:space="preserve"> </w:t>
      </w:r>
      <w:r w:rsidR="00556892">
        <w:rPr>
          <w:lang w:val="en-GB"/>
        </w:rPr>
        <w:t>2018).</w:t>
      </w:r>
      <w:r w:rsidR="00B14B39">
        <w:rPr>
          <w:lang w:val="en-GB"/>
        </w:rPr>
        <w:t xml:space="preserve"> </w:t>
      </w:r>
    </w:p>
    <w:p w14:paraId="0262494C" w14:textId="3D690487" w:rsidR="00556892" w:rsidRDefault="00D043AE" w:rsidP="00A934C4">
      <w:pPr>
        <w:spacing w:before="240" w:after="240" w:line="360" w:lineRule="auto"/>
        <w:jc w:val="both"/>
        <w:rPr>
          <w:lang w:val="en-GB"/>
        </w:rPr>
      </w:pPr>
      <w:r>
        <w:rPr>
          <w:lang w:val="en-GB"/>
        </w:rPr>
        <w:t xml:space="preserve">Open students were more likely to be academically efficient, but, somewhat surprisingly, there were no </w:t>
      </w:r>
      <w:r w:rsidR="005D06FE">
        <w:rPr>
          <w:lang w:val="en-GB"/>
        </w:rPr>
        <w:t xml:space="preserve">direct </w:t>
      </w:r>
      <w:r>
        <w:rPr>
          <w:lang w:val="en-GB"/>
        </w:rPr>
        <w:t>effects of openness on learning strategies and GPA.</w:t>
      </w:r>
      <w:r w:rsidR="00EC3E7A">
        <w:rPr>
          <w:lang w:val="en-GB"/>
        </w:rPr>
        <w:t xml:space="preserve"> While meta-analytic</w:t>
      </w:r>
      <w:r w:rsidR="005D06FE">
        <w:rPr>
          <w:lang w:val="en-GB"/>
        </w:rPr>
        <w:t xml:space="preserve"> evidence supports direct relations of openness and </w:t>
      </w:r>
      <w:r w:rsidR="00791B25">
        <w:rPr>
          <w:lang w:val="en-GB"/>
        </w:rPr>
        <w:t>academic</w:t>
      </w:r>
      <w:r w:rsidR="005D06FE">
        <w:rPr>
          <w:lang w:val="en-GB"/>
        </w:rPr>
        <w:t xml:space="preserve"> achievement (</w:t>
      </w:r>
      <w:proofErr w:type="spellStart"/>
      <w:r w:rsidR="005D06FE">
        <w:rPr>
          <w:lang w:val="en-GB"/>
        </w:rPr>
        <w:t>Poropat</w:t>
      </w:r>
      <w:proofErr w:type="spellEnd"/>
      <w:r w:rsidR="005D06FE">
        <w:rPr>
          <w:lang w:val="en-GB"/>
        </w:rPr>
        <w:t xml:space="preserve"> 2009; 2014), this is not the case with our </w:t>
      </w:r>
      <w:r w:rsidR="00FC7EC6">
        <w:rPr>
          <w:lang w:val="en-GB"/>
        </w:rPr>
        <w:t xml:space="preserve">sample. </w:t>
      </w:r>
      <w:r w:rsidR="00791B25">
        <w:rPr>
          <w:lang w:val="en-GB"/>
        </w:rPr>
        <w:t>However, o</w:t>
      </w:r>
      <w:r w:rsidR="00A4117C">
        <w:rPr>
          <w:lang w:val="en-GB"/>
        </w:rPr>
        <w:t>penness was indirectly related to</w:t>
      </w:r>
      <w:r w:rsidR="005D06FE">
        <w:rPr>
          <w:lang w:val="en-GB"/>
        </w:rPr>
        <w:t xml:space="preserve"> GPA through </w:t>
      </w:r>
      <w:r w:rsidR="00ED289C" w:rsidRPr="0018698D">
        <w:rPr>
          <w:lang w:val="en-GB"/>
        </w:rPr>
        <w:t xml:space="preserve">academic </w:t>
      </w:r>
      <w:r w:rsidR="00ED289C">
        <w:rPr>
          <w:lang w:val="en-GB"/>
        </w:rPr>
        <w:t>self-</w:t>
      </w:r>
      <w:r w:rsidR="00ED289C" w:rsidRPr="0018698D">
        <w:rPr>
          <w:lang w:val="en-GB"/>
        </w:rPr>
        <w:t>efficacy</w:t>
      </w:r>
      <w:r w:rsidR="005D06FE">
        <w:rPr>
          <w:lang w:val="en-GB"/>
        </w:rPr>
        <w:t>. Open students in our study tend</w:t>
      </w:r>
      <w:r w:rsidR="00791B25">
        <w:rPr>
          <w:lang w:val="en-GB"/>
        </w:rPr>
        <w:t>ed</w:t>
      </w:r>
      <w:r w:rsidR="005D06FE">
        <w:rPr>
          <w:lang w:val="en-GB"/>
        </w:rPr>
        <w:t xml:space="preserve"> to have</w:t>
      </w:r>
      <w:r w:rsidR="00791B25">
        <w:rPr>
          <w:lang w:val="en-GB"/>
        </w:rPr>
        <w:t xml:space="preserve"> a</w:t>
      </w:r>
      <w:r w:rsidR="005D06FE">
        <w:rPr>
          <w:lang w:val="en-GB"/>
        </w:rPr>
        <w:t xml:space="preserve"> higher GPA due to their higher </w:t>
      </w:r>
      <w:r w:rsidR="00566EF8">
        <w:rPr>
          <w:lang w:val="en-GB"/>
        </w:rPr>
        <w:t xml:space="preserve">academic </w:t>
      </w:r>
      <w:r w:rsidR="005D06FE">
        <w:rPr>
          <w:lang w:val="en-GB"/>
        </w:rPr>
        <w:t xml:space="preserve">self-efficacy, </w:t>
      </w:r>
      <w:r w:rsidR="00791B25">
        <w:rPr>
          <w:lang w:val="en-GB"/>
        </w:rPr>
        <w:t>consistent</w:t>
      </w:r>
      <w:r w:rsidR="00FC7EC6">
        <w:rPr>
          <w:lang w:val="en-GB"/>
        </w:rPr>
        <w:t xml:space="preserve"> with findings that both conscientiousness and openness are related to positive academic self-perceptions (</w:t>
      </w:r>
      <w:proofErr w:type="spellStart"/>
      <w:r w:rsidR="00FC7EC6" w:rsidRPr="00FC7EC6">
        <w:rPr>
          <w:color w:val="000000" w:themeColor="text1"/>
          <w:shd w:val="clear" w:color="auto" w:fill="FFFFFF"/>
        </w:rPr>
        <w:t>Marsh</w:t>
      </w:r>
      <w:proofErr w:type="spellEnd"/>
      <w:r w:rsidR="00FC7EC6" w:rsidRPr="00FC7EC6">
        <w:rPr>
          <w:color w:val="000000" w:themeColor="text1"/>
          <w:shd w:val="clear" w:color="auto" w:fill="FFFFFF"/>
        </w:rPr>
        <w:t xml:space="preserve">, </w:t>
      </w:r>
      <w:proofErr w:type="spellStart"/>
      <w:r w:rsidR="00FC7EC6" w:rsidRPr="00FC7EC6">
        <w:rPr>
          <w:color w:val="000000" w:themeColor="text1"/>
          <w:shd w:val="clear" w:color="auto" w:fill="FFFFFF"/>
        </w:rPr>
        <w:t>Trautwein</w:t>
      </w:r>
      <w:proofErr w:type="spellEnd"/>
      <w:r w:rsidR="00FC7EC6" w:rsidRPr="00FC7EC6">
        <w:rPr>
          <w:color w:val="000000" w:themeColor="text1"/>
          <w:shd w:val="clear" w:color="auto" w:fill="FFFFFF"/>
        </w:rPr>
        <w:t xml:space="preserve">, </w:t>
      </w:r>
      <w:proofErr w:type="spellStart"/>
      <w:r w:rsidR="00FC7EC6" w:rsidRPr="00FC7EC6">
        <w:rPr>
          <w:color w:val="000000" w:themeColor="text1"/>
          <w:shd w:val="clear" w:color="auto" w:fill="FFFFFF"/>
        </w:rPr>
        <w:t>Lüdtke</w:t>
      </w:r>
      <w:proofErr w:type="spellEnd"/>
      <w:r w:rsidR="00FC7EC6" w:rsidRPr="00FC7EC6">
        <w:rPr>
          <w:color w:val="000000" w:themeColor="text1"/>
          <w:shd w:val="clear" w:color="auto" w:fill="FFFFFF"/>
        </w:rPr>
        <w:t xml:space="preserve">, </w:t>
      </w:r>
      <w:proofErr w:type="spellStart"/>
      <w:r w:rsidR="00FC7EC6" w:rsidRPr="00FC7EC6">
        <w:rPr>
          <w:color w:val="000000" w:themeColor="text1"/>
          <w:shd w:val="clear" w:color="auto" w:fill="FFFFFF"/>
        </w:rPr>
        <w:t>Köller</w:t>
      </w:r>
      <w:proofErr w:type="spellEnd"/>
      <w:r w:rsidR="005349C6">
        <w:rPr>
          <w:color w:val="000000" w:themeColor="text1"/>
          <w:shd w:val="clear" w:color="auto" w:fill="FFFFFF"/>
        </w:rPr>
        <w:t>,</w:t>
      </w:r>
      <w:r w:rsidR="00FC7EC6" w:rsidRPr="00FC7EC6">
        <w:rPr>
          <w:color w:val="000000" w:themeColor="text1"/>
          <w:shd w:val="clear" w:color="auto" w:fill="FFFFFF"/>
        </w:rPr>
        <w:t xml:space="preserve"> &amp; </w:t>
      </w:r>
      <w:proofErr w:type="spellStart"/>
      <w:r w:rsidR="00FC7EC6" w:rsidRPr="00FC7EC6">
        <w:rPr>
          <w:color w:val="000000" w:themeColor="text1"/>
          <w:shd w:val="clear" w:color="auto" w:fill="FFFFFF"/>
        </w:rPr>
        <w:t>Baumert</w:t>
      </w:r>
      <w:proofErr w:type="spellEnd"/>
      <w:r w:rsidR="00FC7EC6">
        <w:rPr>
          <w:color w:val="000000" w:themeColor="text1"/>
          <w:shd w:val="clear" w:color="auto" w:fill="FFFFFF"/>
        </w:rPr>
        <w:t xml:space="preserve">, </w:t>
      </w:r>
      <w:r w:rsidR="00FC7EC6" w:rsidRPr="00FC7EC6">
        <w:rPr>
          <w:rStyle w:val="nlmyear"/>
          <w:color w:val="000000" w:themeColor="text1"/>
        </w:rPr>
        <w:t>2006</w:t>
      </w:r>
      <w:r w:rsidR="00FC7EC6" w:rsidRPr="00FC7EC6">
        <w:rPr>
          <w:color w:val="000000" w:themeColor="text1"/>
          <w:shd w:val="clear" w:color="auto" w:fill="FFFFFF"/>
        </w:rPr>
        <w:t>).</w:t>
      </w:r>
      <w:r w:rsidR="00FC7EC6" w:rsidRPr="00FC7EC6">
        <w:rPr>
          <w:rStyle w:val="apple-converted-space"/>
          <w:color w:val="000000" w:themeColor="text1"/>
          <w:shd w:val="clear" w:color="auto" w:fill="FFFFFF"/>
        </w:rPr>
        <w:t> </w:t>
      </w:r>
      <w:r w:rsidR="00A4117C">
        <w:rPr>
          <w:rStyle w:val="apple-converted-space"/>
          <w:color w:val="000000" w:themeColor="text1"/>
          <w:shd w:val="clear" w:color="auto" w:fill="FFFFFF"/>
        </w:rPr>
        <w:t xml:space="preserve"> </w:t>
      </w:r>
      <w:r w:rsidR="00A4117C" w:rsidRPr="001155BC">
        <w:rPr>
          <w:rStyle w:val="apple-converted-space"/>
          <w:color w:val="000000" w:themeColor="text1"/>
          <w:shd w:val="clear" w:color="auto" w:fill="FFFFFF"/>
          <w:lang w:val="en-GB"/>
        </w:rPr>
        <w:t>Conscientious and open students tend to develop adaptive self-beliefs and behaviours that promote academic success (</w:t>
      </w:r>
      <w:r w:rsidR="00A4117C" w:rsidRPr="00727874">
        <w:rPr>
          <w:rFonts w:eastAsia="Calibri"/>
          <w:lang w:val="en-GB"/>
        </w:rPr>
        <w:t xml:space="preserve">McIlroy, Poole, </w:t>
      </w:r>
      <w:proofErr w:type="spellStart"/>
      <w:r w:rsidR="00A4117C" w:rsidRPr="00727874">
        <w:rPr>
          <w:rFonts w:eastAsia="Calibri"/>
          <w:lang w:val="en-GB"/>
        </w:rPr>
        <w:t>Ursavas</w:t>
      </w:r>
      <w:proofErr w:type="spellEnd"/>
      <w:r w:rsidR="00974E53">
        <w:rPr>
          <w:rFonts w:eastAsia="Calibri"/>
          <w:lang w:val="en-GB"/>
        </w:rPr>
        <w:t>,</w:t>
      </w:r>
      <w:r w:rsidR="00A4117C" w:rsidRPr="00727874">
        <w:rPr>
          <w:rFonts w:eastAsia="Calibri"/>
          <w:lang w:val="en-GB"/>
        </w:rPr>
        <w:t xml:space="preserve"> </w:t>
      </w:r>
      <w:r w:rsidR="00A4117C">
        <w:rPr>
          <w:rFonts w:eastAsia="Calibri"/>
          <w:lang w:val="en-GB"/>
        </w:rPr>
        <w:t xml:space="preserve">&amp; </w:t>
      </w:r>
      <w:r w:rsidR="00A4117C" w:rsidRPr="00727874">
        <w:rPr>
          <w:rFonts w:eastAsia="Calibri"/>
          <w:lang w:val="en-GB"/>
        </w:rPr>
        <w:t>Moriarty, 2015</w:t>
      </w:r>
      <w:r w:rsidR="00A4117C">
        <w:rPr>
          <w:rFonts w:eastAsia="Calibri"/>
          <w:lang w:val="en-GB"/>
        </w:rPr>
        <w:t xml:space="preserve">). </w:t>
      </w:r>
    </w:p>
    <w:p w14:paraId="331C63EC" w14:textId="22125CF1" w:rsidR="007C0243" w:rsidRDefault="00D043AE" w:rsidP="00D043AE">
      <w:pPr>
        <w:spacing w:line="360" w:lineRule="auto"/>
        <w:jc w:val="both"/>
        <w:rPr>
          <w:lang w:val="en-GB"/>
        </w:rPr>
      </w:pPr>
      <w:proofErr w:type="gramStart"/>
      <w:r>
        <w:rPr>
          <w:lang w:val="en-GB"/>
        </w:rPr>
        <w:t>Similar</w:t>
      </w:r>
      <w:r w:rsidR="006143B1">
        <w:rPr>
          <w:lang w:val="en-GB"/>
        </w:rPr>
        <w:t>ly</w:t>
      </w:r>
      <w:proofErr w:type="gramEnd"/>
      <w:r w:rsidR="006143B1">
        <w:rPr>
          <w:lang w:val="en-GB"/>
        </w:rPr>
        <w:t xml:space="preserve"> to</w:t>
      </w:r>
      <w:r>
        <w:rPr>
          <w:lang w:val="en-GB"/>
        </w:rPr>
        <w:t xml:space="preserve"> conscientious students, agre</w:t>
      </w:r>
      <w:r w:rsidR="009976CF">
        <w:rPr>
          <w:lang w:val="en-GB"/>
        </w:rPr>
        <w:t>e</w:t>
      </w:r>
      <w:r>
        <w:rPr>
          <w:lang w:val="en-GB"/>
        </w:rPr>
        <w:t xml:space="preserve">able students were more likely to promote learning process and to avoid strategies of protecting self-esteem. </w:t>
      </w:r>
      <w:r w:rsidR="00791B25">
        <w:rPr>
          <w:lang w:val="en-GB"/>
        </w:rPr>
        <w:t>Furthermore, we found</w:t>
      </w:r>
      <w:r w:rsidR="008835D2">
        <w:rPr>
          <w:lang w:val="en-GB"/>
        </w:rPr>
        <w:t xml:space="preserve"> an</w:t>
      </w:r>
      <w:r w:rsidR="00791B25">
        <w:rPr>
          <w:lang w:val="en-GB"/>
        </w:rPr>
        <w:t xml:space="preserve"> indirect effect of agreeableness on GPA through less frequent use of strategies aimed at protecting self-esteem. </w:t>
      </w:r>
      <w:r w:rsidR="008835D2">
        <w:rPr>
          <w:lang w:val="en-GB"/>
        </w:rPr>
        <w:t>The r</w:t>
      </w:r>
      <w:r w:rsidR="00791B25">
        <w:rPr>
          <w:lang w:val="en-GB"/>
        </w:rPr>
        <w:t xml:space="preserve">elation of agreeableness with academic achievement </w:t>
      </w:r>
      <w:r w:rsidR="008835D2">
        <w:rPr>
          <w:lang w:val="en-GB"/>
        </w:rPr>
        <w:t xml:space="preserve">can </w:t>
      </w:r>
      <w:r w:rsidR="00791B25">
        <w:rPr>
          <w:lang w:val="en-GB"/>
        </w:rPr>
        <w:t>particularly</w:t>
      </w:r>
      <w:r w:rsidR="008835D2">
        <w:rPr>
          <w:lang w:val="en-GB"/>
        </w:rPr>
        <w:t xml:space="preserve"> be</w:t>
      </w:r>
      <w:r w:rsidR="00791B25">
        <w:rPr>
          <w:lang w:val="en-GB"/>
        </w:rPr>
        <w:t xml:space="preserve"> found at the elementary school level </w:t>
      </w:r>
      <w:r w:rsidR="006143B1">
        <w:rPr>
          <w:lang w:val="en-GB"/>
        </w:rPr>
        <w:t>(</w:t>
      </w:r>
      <w:proofErr w:type="spellStart"/>
      <w:r w:rsidR="006143B1">
        <w:rPr>
          <w:lang w:val="en-GB"/>
        </w:rPr>
        <w:t>Poropat</w:t>
      </w:r>
      <w:proofErr w:type="spellEnd"/>
      <w:r w:rsidR="006143B1">
        <w:rPr>
          <w:lang w:val="en-GB"/>
        </w:rPr>
        <w:t>, 2009)</w:t>
      </w:r>
      <w:r w:rsidR="00731904">
        <w:rPr>
          <w:lang w:val="en-GB"/>
        </w:rPr>
        <w:t>.</w:t>
      </w:r>
      <w:r w:rsidR="008835D2">
        <w:rPr>
          <w:lang w:val="en-GB"/>
        </w:rPr>
        <w:t xml:space="preserve"> </w:t>
      </w:r>
      <w:r w:rsidR="00731904">
        <w:rPr>
          <w:lang w:val="en-GB"/>
        </w:rPr>
        <w:t>Our data indicate that this relationship is mediated by self-regulated learning, in this particular case lower use of self-protective learning strategies.</w:t>
      </w:r>
    </w:p>
    <w:p w14:paraId="05B4F694" w14:textId="2F1D6B20" w:rsidR="006143B1" w:rsidRDefault="00D043AE" w:rsidP="007C0243">
      <w:pPr>
        <w:spacing w:before="240" w:line="360" w:lineRule="auto"/>
        <w:jc w:val="both"/>
        <w:rPr>
          <w:lang w:val="en-GB"/>
        </w:rPr>
      </w:pPr>
      <w:r>
        <w:rPr>
          <w:lang w:val="en-GB"/>
        </w:rPr>
        <w:t>Neuroticism and extraversion showed no effects on any of the outcomes</w:t>
      </w:r>
      <w:r w:rsidR="003F041E">
        <w:rPr>
          <w:lang w:val="en-GB"/>
        </w:rPr>
        <w:t>. This is</w:t>
      </w:r>
      <w:r w:rsidR="006143B1">
        <w:rPr>
          <w:lang w:val="en-GB"/>
        </w:rPr>
        <w:t xml:space="preserve"> in line with the inconsistent findings on the role of these personality traits in academic outcomes (</w:t>
      </w:r>
      <w:proofErr w:type="spellStart"/>
      <w:r w:rsidR="0077164E">
        <w:rPr>
          <w:lang w:val="en-GB"/>
        </w:rPr>
        <w:t>Poropat</w:t>
      </w:r>
      <w:proofErr w:type="spellEnd"/>
      <w:r w:rsidR="0077164E">
        <w:rPr>
          <w:lang w:val="en-GB"/>
        </w:rPr>
        <w:t xml:space="preserve"> 2016; </w:t>
      </w:r>
      <w:proofErr w:type="spellStart"/>
      <w:r w:rsidR="0077164E">
        <w:rPr>
          <w:lang w:val="en-GB"/>
        </w:rPr>
        <w:t>Vedel</w:t>
      </w:r>
      <w:proofErr w:type="spellEnd"/>
      <w:r w:rsidR="0077164E">
        <w:rPr>
          <w:lang w:val="en-GB"/>
        </w:rPr>
        <w:t xml:space="preserve"> &amp;</w:t>
      </w:r>
      <w:r w:rsidR="007C0243">
        <w:rPr>
          <w:lang w:val="en-GB"/>
        </w:rPr>
        <w:t xml:space="preserve"> </w:t>
      </w:r>
      <w:proofErr w:type="spellStart"/>
      <w:r w:rsidR="0077164E">
        <w:rPr>
          <w:lang w:val="en-GB"/>
        </w:rPr>
        <w:t>Poropat</w:t>
      </w:r>
      <w:proofErr w:type="spellEnd"/>
      <w:r w:rsidR="0077164E">
        <w:rPr>
          <w:lang w:val="en-GB"/>
        </w:rPr>
        <w:t>, 2017).</w:t>
      </w:r>
    </w:p>
    <w:p w14:paraId="083226E0" w14:textId="65FC77E7" w:rsidR="00A57B9B" w:rsidRDefault="00A57B9B" w:rsidP="00A57B9B">
      <w:pPr>
        <w:spacing w:before="240" w:line="360" w:lineRule="auto"/>
        <w:jc w:val="both"/>
        <w:rPr>
          <w:lang w:val="en-GB"/>
        </w:rPr>
      </w:pPr>
      <w:r>
        <w:rPr>
          <w:lang w:val="en-GB"/>
        </w:rPr>
        <w:t xml:space="preserve">In relation to Hypothesis b), students with higher </w:t>
      </w:r>
      <w:r w:rsidR="00ED289C" w:rsidRPr="0018698D">
        <w:rPr>
          <w:lang w:val="en-GB"/>
        </w:rPr>
        <w:t xml:space="preserve">academic </w:t>
      </w:r>
      <w:r w:rsidR="00ED289C">
        <w:rPr>
          <w:lang w:val="en-GB"/>
        </w:rPr>
        <w:t>self-</w:t>
      </w:r>
      <w:r w:rsidR="00ED289C" w:rsidRPr="0018698D">
        <w:rPr>
          <w:lang w:val="en-GB"/>
        </w:rPr>
        <w:t>efficacy</w:t>
      </w:r>
      <w:r>
        <w:rPr>
          <w:lang w:val="en-GB"/>
        </w:rPr>
        <w:t xml:space="preserve"> were less inclined to use strategies of protecting self-esteem. The effect of </w:t>
      </w:r>
      <w:r w:rsidR="00ED289C" w:rsidRPr="0018698D">
        <w:rPr>
          <w:lang w:val="en-GB"/>
        </w:rPr>
        <w:t xml:space="preserve">academic </w:t>
      </w:r>
      <w:r w:rsidR="00ED289C">
        <w:rPr>
          <w:lang w:val="en-GB"/>
        </w:rPr>
        <w:t>self-</w:t>
      </w:r>
      <w:r w:rsidR="00ED289C" w:rsidRPr="0018698D">
        <w:rPr>
          <w:lang w:val="en-GB"/>
        </w:rPr>
        <w:t>efficacy</w:t>
      </w:r>
      <w:r>
        <w:rPr>
          <w:lang w:val="en-GB"/>
        </w:rPr>
        <w:t xml:space="preserve"> on promoting learning process was not found, meaning that Hypothesis b) was only partially confirmed. In line with the findings that students with higher self-efficacy tend to use more effective self-regulatory learning strategies (</w:t>
      </w:r>
      <w:proofErr w:type="spellStart"/>
      <w:r>
        <w:rPr>
          <w:lang w:val="en-GB"/>
        </w:rPr>
        <w:t>Pajares</w:t>
      </w:r>
      <w:proofErr w:type="spellEnd"/>
      <w:r>
        <w:rPr>
          <w:lang w:val="en-GB"/>
        </w:rPr>
        <w:t>, 2008; Zimmerman, 2000), we expected that academic self-efficacy beliefs would influence not only the use of strategies for promoting self-esteem, but also the more constructive strategy of promoting learning process. However, data did not support this hypothesis.</w:t>
      </w:r>
    </w:p>
    <w:p w14:paraId="22A492A1" w14:textId="2B6BECC9" w:rsidR="00D043AE" w:rsidRDefault="00D043AE" w:rsidP="00664019">
      <w:pPr>
        <w:spacing w:before="240" w:line="360" w:lineRule="auto"/>
        <w:jc w:val="both"/>
        <w:rPr>
          <w:lang w:val="en-GB"/>
        </w:rPr>
      </w:pPr>
      <w:r>
        <w:rPr>
          <w:lang w:val="en-GB"/>
        </w:rPr>
        <w:lastRenderedPageBreak/>
        <w:t xml:space="preserve">Further, students with higher </w:t>
      </w:r>
      <w:r w:rsidR="00ED289C" w:rsidRPr="0018698D">
        <w:rPr>
          <w:lang w:val="en-GB"/>
        </w:rPr>
        <w:t xml:space="preserve">academic </w:t>
      </w:r>
      <w:r w:rsidR="00ED289C">
        <w:rPr>
          <w:lang w:val="en-GB"/>
        </w:rPr>
        <w:t>self-</w:t>
      </w:r>
      <w:r w:rsidR="00ED289C" w:rsidRPr="0018698D">
        <w:rPr>
          <w:lang w:val="en-GB"/>
        </w:rPr>
        <w:t>efficacy</w:t>
      </w:r>
      <w:r w:rsidR="00F628FA">
        <w:rPr>
          <w:lang w:val="en-GB"/>
        </w:rPr>
        <w:t xml:space="preserve"> and </w:t>
      </w:r>
      <w:r>
        <w:rPr>
          <w:lang w:val="en-GB"/>
        </w:rPr>
        <w:t>students who avoid using strat</w:t>
      </w:r>
      <w:r w:rsidR="00046D77">
        <w:rPr>
          <w:lang w:val="en-GB"/>
        </w:rPr>
        <w:t>egies of protecting self-esteem</w:t>
      </w:r>
      <w:r>
        <w:rPr>
          <w:lang w:val="en-GB"/>
        </w:rPr>
        <w:t xml:space="preserve"> both have higher GPA, </w:t>
      </w:r>
      <w:bookmarkStart w:id="3" w:name="_Hlk58426710"/>
      <w:r>
        <w:rPr>
          <w:lang w:val="en-GB"/>
        </w:rPr>
        <w:t>which is in line with Hypothesis c)</w:t>
      </w:r>
      <w:bookmarkEnd w:id="3"/>
      <w:r>
        <w:rPr>
          <w:lang w:val="en-GB"/>
        </w:rPr>
        <w:t xml:space="preserve">. </w:t>
      </w:r>
      <w:r w:rsidR="007B22B0" w:rsidRPr="00454DBB">
        <w:rPr>
          <w:lang w:val="en-GB"/>
        </w:rPr>
        <w:t xml:space="preserve">The finding that students with higher </w:t>
      </w:r>
      <w:r w:rsidR="00ED289C" w:rsidRPr="0018698D">
        <w:rPr>
          <w:lang w:val="en-GB"/>
        </w:rPr>
        <w:t xml:space="preserve">academic </w:t>
      </w:r>
      <w:r w:rsidR="00ED289C">
        <w:rPr>
          <w:lang w:val="en-GB"/>
        </w:rPr>
        <w:t>self-</w:t>
      </w:r>
      <w:r w:rsidR="00ED289C" w:rsidRPr="0018698D">
        <w:rPr>
          <w:lang w:val="en-GB"/>
        </w:rPr>
        <w:t>efficacy</w:t>
      </w:r>
      <w:r w:rsidR="007B22B0" w:rsidRPr="00454DBB">
        <w:rPr>
          <w:lang w:val="en-GB"/>
        </w:rPr>
        <w:t xml:space="preserve"> beliefs </w:t>
      </w:r>
      <w:r w:rsidR="00F628FA">
        <w:rPr>
          <w:lang w:val="en-GB"/>
        </w:rPr>
        <w:t>have</w:t>
      </w:r>
      <w:r w:rsidR="007B22B0" w:rsidRPr="00454DBB">
        <w:rPr>
          <w:lang w:val="en-GB"/>
        </w:rPr>
        <w:t xml:space="preserve"> better grades is in line with </w:t>
      </w:r>
      <w:r w:rsidR="00F628FA">
        <w:rPr>
          <w:lang w:val="en-GB"/>
        </w:rPr>
        <w:t>empirical evidence on</w:t>
      </w:r>
      <w:r w:rsidR="005C3752" w:rsidRPr="00454DBB">
        <w:rPr>
          <w:lang w:val="en-GB"/>
        </w:rPr>
        <w:t xml:space="preserve"> the effect of perceived self-efficacy on academic outcomes, as self-efficacy is considered one of the key predictors of s</w:t>
      </w:r>
      <w:r w:rsidR="00F628FA">
        <w:rPr>
          <w:lang w:val="en-GB"/>
        </w:rPr>
        <w:t xml:space="preserve">tudent motivation and learning </w:t>
      </w:r>
      <w:r w:rsidR="005C3752" w:rsidRPr="00454DBB">
        <w:rPr>
          <w:lang w:val="en-GB"/>
        </w:rPr>
        <w:t>and</w:t>
      </w:r>
      <w:r w:rsidR="00F628FA">
        <w:rPr>
          <w:lang w:val="en-GB"/>
        </w:rPr>
        <w:t>,</w:t>
      </w:r>
      <w:r w:rsidR="005C3752" w:rsidRPr="00454DBB">
        <w:rPr>
          <w:lang w:val="en-GB"/>
        </w:rPr>
        <w:t xml:space="preserve"> consequently, academic achievement (</w:t>
      </w:r>
      <w:proofErr w:type="spellStart"/>
      <w:r w:rsidR="00347A9E">
        <w:rPr>
          <w:lang w:val="en-GB"/>
        </w:rPr>
        <w:t>Lončarić</w:t>
      </w:r>
      <w:proofErr w:type="spellEnd"/>
      <w:r w:rsidR="00347A9E">
        <w:rPr>
          <w:lang w:val="en-GB"/>
        </w:rPr>
        <w:t xml:space="preserve">, 2014; </w:t>
      </w:r>
      <w:r w:rsidR="005C3752" w:rsidRPr="00454DBB">
        <w:rPr>
          <w:lang w:val="en-GB"/>
        </w:rPr>
        <w:t>Zimmerman, 2000).</w:t>
      </w:r>
      <w:r w:rsidR="00454DBB">
        <w:rPr>
          <w:lang w:val="en-GB"/>
        </w:rPr>
        <w:t xml:space="preserve"> When it comes to the role of </w:t>
      </w:r>
      <w:r w:rsidR="00370D89">
        <w:rPr>
          <w:lang w:val="en-GB"/>
        </w:rPr>
        <w:t>using stra</w:t>
      </w:r>
      <w:r w:rsidR="000B5183">
        <w:rPr>
          <w:lang w:val="en-GB"/>
        </w:rPr>
        <w:t xml:space="preserve">tegies of protecting self-esteem, research </w:t>
      </w:r>
      <w:r w:rsidR="00454EA1">
        <w:rPr>
          <w:lang w:val="en-GB"/>
        </w:rPr>
        <w:t xml:space="preserve">yields somewhat inconclusive results. While </w:t>
      </w:r>
      <w:r w:rsidR="000B5183">
        <w:rPr>
          <w:lang w:val="en-GB"/>
        </w:rPr>
        <w:t>self-handicapping</w:t>
      </w:r>
      <w:r w:rsidR="00454EA1">
        <w:rPr>
          <w:lang w:val="en-GB"/>
        </w:rPr>
        <w:t xml:space="preserve"> as one of the aspects of protecting self-esteem is negatively related</w:t>
      </w:r>
      <w:r w:rsidR="000B5183">
        <w:rPr>
          <w:lang w:val="en-GB"/>
        </w:rPr>
        <w:t xml:space="preserve"> to academ</w:t>
      </w:r>
      <w:r w:rsidR="001C035C">
        <w:rPr>
          <w:lang w:val="en-GB"/>
        </w:rPr>
        <w:t xml:space="preserve">ic achievement (Schwinger, </w:t>
      </w:r>
      <w:proofErr w:type="spellStart"/>
      <w:r w:rsidR="001C035C">
        <w:rPr>
          <w:lang w:val="en-GB"/>
        </w:rPr>
        <w:t>Wirthwein</w:t>
      </w:r>
      <w:proofErr w:type="spellEnd"/>
      <w:r w:rsidR="001C035C">
        <w:rPr>
          <w:lang w:val="en-GB"/>
        </w:rPr>
        <w:t xml:space="preserve">, </w:t>
      </w:r>
      <w:proofErr w:type="spellStart"/>
      <w:r w:rsidR="001C035C">
        <w:rPr>
          <w:lang w:val="en-GB"/>
        </w:rPr>
        <w:t>Lemmer</w:t>
      </w:r>
      <w:proofErr w:type="spellEnd"/>
      <w:r w:rsidR="001C035C">
        <w:rPr>
          <w:lang w:val="en-GB"/>
        </w:rPr>
        <w:t xml:space="preserve">, &amp; </w:t>
      </w:r>
      <w:proofErr w:type="spellStart"/>
      <w:r w:rsidR="001C035C">
        <w:rPr>
          <w:lang w:val="en-GB"/>
        </w:rPr>
        <w:t>Steinmayr</w:t>
      </w:r>
      <w:proofErr w:type="spellEnd"/>
      <w:r w:rsidR="000B5183">
        <w:rPr>
          <w:lang w:val="en-GB"/>
        </w:rPr>
        <w:t>, 2014</w:t>
      </w:r>
      <w:r w:rsidR="00454EA1">
        <w:rPr>
          <w:lang w:val="en-GB"/>
        </w:rPr>
        <w:t xml:space="preserve">), defensive pessimism has been </w:t>
      </w:r>
      <w:r w:rsidR="00A57B9B">
        <w:rPr>
          <w:lang w:val="en-GB"/>
        </w:rPr>
        <w:t xml:space="preserve">shown </w:t>
      </w:r>
      <w:r w:rsidR="00454EA1">
        <w:rPr>
          <w:lang w:val="en-GB"/>
        </w:rPr>
        <w:t>to be a functional strategy for some students</w:t>
      </w:r>
      <w:r w:rsidR="00B41C5E">
        <w:rPr>
          <w:lang w:val="en-GB"/>
        </w:rPr>
        <w:t>,</w:t>
      </w:r>
      <w:r w:rsidR="00454EA1">
        <w:rPr>
          <w:lang w:val="en-GB"/>
        </w:rPr>
        <w:t xml:space="preserve"> which can result in satisfactory academic achievement (</w:t>
      </w:r>
      <w:proofErr w:type="spellStart"/>
      <w:r w:rsidR="00454EA1">
        <w:rPr>
          <w:lang w:val="en-GB"/>
        </w:rPr>
        <w:t>Eronen</w:t>
      </w:r>
      <w:proofErr w:type="spellEnd"/>
      <w:r w:rsidR="005349C6">
        <w:rPr>
          <w:lang w:val="en-GB"/>
        </w:rPr>
        <w:t xml:space="preserve">, </w:t>
      </w:r>
      <w:proofErr w:type="spellStart"/>
      <w:r w:rsidR="005349C6">
        <w:rPr>
          <w:lang w:val="en-GB"/>
        </w:rPr>
        <w:t>Nurmi</w:t>
      </w:r>
      <w:proofErr w:type="spellEnd"/>
      <w:r w:rsidR="005349C6">
        <w:rPr>
          <w:lang w:val="en-GB"/>
        </w:rPr>
        <w:t xml:space="preserve">, &amp; </w:t>
      </w:r>
      <w:proofErr w:type="spellStart"/>
      <w:r w:rsidR="005349C6">
        <w:rPr>
          <w:lang w:val="en-GB"/>
        </w:rPr>
        <w:t>Salmela-Aro</w:t>
      </w:r>
      <w:proofErr w:type="spellEnd"/>
      <w:r w:rsidR="005349C6">
        <w:rPr>
          <w:lang w:val="en-GB"/>
        </w:rPr>
        <w:t xml:space="preserve">, </w:t>
      </w:r>
      <w:r w:rsidR="00454EA1">
        <w:rPr>
          <w:lang w:val="en-GB"/>
        </w:rPr>
        <w:t>1998)</w:t>
      </w:r>
      <w:r w:rsidR="00B41C5E">
        <w:rPr>
          <w:lang w:val="en-GB"/>
        </w:rPr>
        <w:t xml:space="preserve">. </w:t>
      </w:r>
      <w:r w:rsidR="005379D4">
        <w:rPr>
          <w:lang w:val="en-GB"/>
        </w:rPr>
        <w:t xml:space="preserve">On the other hand, strategies of protecting self-esteem are considered defensive strategies and have been </w:t>
      </w:r>
      <w:r w:rsidR="00046D77">
        <w:rPr>
          <w:lang w:val="en-GB"/>
        </w:rPr>
        <w:t>found</w:t>
      </w:r>
      <w:r w:rsidR="005379D4">
        <w:rPr>
          <w:lang w:val="en-GB"/>
        </w:rPr>
        <w:t xml:space="preserve"> to be negatively related to academic achievement (</w:t>
      </w:r>
      <w:proofErr w:type="spellStart"/>
      <w:r w:rsidR="005379D4">
        <w:rPr>
          <w:lang w:val="en-GB"/>
        </w:rPr>
        <w:t>Lončarić</w:t>
      </w:r>
      <w:proofErr w:type="spellEnd"/>
      <w:r w:rsidR="005379D4">
        <w:rPr>
          <w:lang w:val="en-GB"/>
        </w:rPr>
        <w:t>, 2014), which is in line with our finding that students who use less strategies for promoting self-esteem have higher GPA.</w:t>
      </w:r>
    </w:p>
    <w:p w14:paraId="1E99F365" w14:textId="61E0E915" w:rsidR="00D043AE" w:rsidRDefault="006143B1" w:rsidP="0091076A">
      <w:pPr>
        <w:spacing w:before="240" w:after="240" w:line="360" w:lineRule="auto"/>
        <w:jc w:val="both"/>
        <w:rPr>
          <w:lang w:val="en-GB"/>
        </w:rPr>
      </w:pPr>
      <w:r>
        <w:rPr>
          <w:lang w:val="en-GB"/>
        </w:rPr>
        <w:t xml:space="preserve">Our study adds to the existing literature by examining serial mediation of </w:t>
      </w:r>
      <w:r w:rsidR="00ED289C" w:rsidRPr="0018698D">
        <w:rPr>
          <w:lang w:val="en-GB"/>
        </w:rPr>
        <w:t xml:space="preserve">academic </w:t>
      </w:r>
      <w:r w:rsidR="00ED289C">
        <w:rPr>
          <w:lang w:val="en-GB"/>
        </w:rPr>
        <w:t>self-</w:t>
      </w:r>
      <w:r w:rsidR="00ED289C" w:rsidRPr="0018698D">
        <w:rPr>
          <w:lang w:val="en-GB"/>
        </w:rPr>
        <w:t>efficacy</w:t>
      </w:r>
      <w:r>
        <w:rPr>
          <w:lang w:val="en-GB"/>
        </w:rPr>
        <w:t xml:space="preserve"> and learning strategies on </w:t>
      </w:r>
      <w:r w:rsidR="0077164E">
        <w:rPr>
          <w:lang w:val="en-GB"/>
        </w:rPr>
        <w:t>GPA</w:t>
      </w:r>
      <w:r>
        <w:rPr>
          <w:lang w:val="en-GB"/>
        </w:rPr>
        <w:t>,</w:t>
      </w:r>
      <w:r w:rsidR="003D11D9">
        <w:rPr>
          <w:lang w:val="en-GB"/>
        </w:rPr>
        <w:t xml:space="preserve"> thus providing insights into the processes </w:t>
      </w:r>
      <w:r w:rsidR="00A57B9B">
        <w:rPr>
          <w:lang w:val="en-GB"/>
        </w:rPr>
        <w:t>through</w:t>
      </w:r>
      <w:r w:rsidR="003D11D9">
        <w:rPr>
          <w:lang w:val="en-GB"/>
        </w:rPr>
        <w:t xml:space="preserve"> which </w:t>
      </w:r>
      <w:r w:rsidR="0077164E">
        <w:rPr>
          <w:lang w:val="en-GB"/>
        </w:rPr>
        <w:t>personality traits</w:t>
      </w:r>
      <w:r w:rsidR="003D11D9">
        <w:rPr>
          <w:lang w:val="en-GB"/>
        </w:rPr>
        <w:t xml:space="preserve"> </w:t>
      </w:r>
      <w:r w:rsidR="0077164E">
        <w:rPr>
          <w:lang w:val="en-GB"/>
        </w:rPr>
        <w:t>exert their</w:t>
      </w:r>
      <w:r w:rsidR="003D11D9">
        <w:rPr>
          <w:lang w:val="en-GB"/>
        </w:rPr>
        <w:t xml:space="preserve"> influence </w:t>
      </w:r>
      <w:r w:rsidR="0077164E">
        <w:rPr>
          <w:lang w:val="en-GB"/>
        </w:rPr>
        <w:t>on academic achievement</w:t>
      </w:r>
      <w:r>
        <w:rPr>
          <w:lang w:val="en-GB"/>
        </w:rPr>
        <w:t xml:space="preserve">. </w:t>
      </w:r>
      <w:r w:rsidR="00D043AE">
        <w:rPr>
          <w:lang w:val="en-GB"/>
        </w:rPr>
        <w:t>Findings related to Hypothesis e)</w:t>
      </w:r>
      <w:r w:rsidR="0077164E">
        <w:rPr>
          <w:lang w:val="en-GB"/>
        </w:rPr>
        <w:t xml:space="preserve"> </w:t>
      </w:r>
      <w:r w:rsidR="00D043AE">
        <w:rPr>
          <w:lang w:val="en-GB"/>
        </w:rPr>
        <w:t xml:space="preserve">point to </w:t>
      </w:r>
      <w:r w:rsidR="00ED289C" w:rsidRPr="0018698D">
        <w:rPr>
          <w:lang w:val="en-GB"/>
        </w:rPr>
        <w:t xml:space="preserve">academic </w:t>
      </w:r>
      <w:r w:rsidR="00ED289C">
        <w:rPr>
          <w:lang w:val="en-GB"/>
        </w:rPr>
        <w:t>self-</w:t>
      </w:r>
      <w:r w:rsidR="00ED289C" w:rsidRPr="0018698D">
        <w:rPr>
          <w:lang w:val="en-GB"/>
        </w:rPr>
        <w:t>efficacy</w:t>
      </w:r>
      <w:r w:rsidR="00D043AE">
        <w:rPr>
          <w:lang w:val="en-GB"/>
        </w:rPr>
        <w:t xml:space="preserve"> and </w:t>
      </w:r>
      <w:r>
        <w:rPr>
          <w:lang w:val="en-GB"/>
        </w:rPr>
        <w:t xml:space="preserve">strategies of </w:t>
      </w:r>
      <w:r w:rsidR="00D043AE">
        <w:rPr>
          <w:lang w:val="en-GB"/>
        </w:rPr>
        <w:t>protecting self-esteem as serial mediators of conscientiousness on GPA.</w:t>
      </w:r>
      <w:r w:rsidR="0077164E">
        <w:rPr>
          <w:lang w:val="en-GB"/>
        </w:rPr>
        <w:t xml:space="preserve"> </w:t>
      </w:r>
      <w:r w:rsidR="00D043AE">
        <w:rPr>
          <w:lang w:val="en-GB"/>
        </w:rPr>
        <w:t xml:space="preserve">Low </w:t>
      </w:r>
      <w:r w:rsidR="00ED289C" w:rsidRPr="0018698D">
        <w:rPr>
          <w:lang w:val="en-GB"/>
        </w:rPr>
        <w:t xml:space="preserve">academic </w:t>
      </w:r>
      <w:r w:rsidR="00ED289C">
        <w:rPr>
          <w:lang w:val="en-GB"/>
        </w:rPr>
        <w:t>self-</w:t>
      </w:r>
      <w:r w:rsidR="00ED289C" w:rsidRPr="0018698D">
        <w:rPr>
          <w:lang w:val="en-GB"/>
        </w:rPr>
        <w:t>efficacy</w:t>
      </w:r>
      <w:r w:rsidR="00D043AE">
        <w:rPr>
          <w:lang w:val="en-GB"/>
        </w:rPr>
        <w:t xml:space="preserve"> partially explains why students with low conscientiousness use strategies of protecting self-esteem, which further results in lower school grades. Similarly, </w:t>
      </w:r>
      <w:r w:rsidR="00ED289C" w:rsidRPr="0018698D">
        <w:rPr>
          <w:lang w:val="en-GB"/>
        </w:rPr>
        <w:t xml:space="preserve">academic </w:t>
      </w:r>
      <w:r w:rsidR="00ED289C">
        <w:rPr>
          <w:lang w:val="en-GB"/>
        </w:rPr>
        <w:t>self-</w:t>
      </w:r>
      <w:r w:rsidR="00ED289C" w:rsidRPr="0018698D">
        <w:rPr>
          <w:lang w:val="en-GB"/>
        </w:rPr>
        <w:t>efficacy</w:t>
      </w:r>
      <w:r w:rsidR="00D043AE">
        <w:rPr>
          <w:lang w:val="en-GB"/>
        </w:rPr>
        <w:t xml:space="preserve"> and protecting self-esteem were serial mediators of openness on GPA. Other serial mediation effects of personality traits on GPA through </w:t>
      </w:r>
      <w:r w:rsidR="00ED289C" w:rsidRPr="0018698D">
        <w:rPr>
          <w:lang w:val="en-GB"/>
        </w:rPr>
        <w:t xml:space="preserve">academic </w:t>
      </w:r>
      <w:r w:rsidR="00ED289C">
        <w:rPr>
          <w:lang w:val="en-GB"/>
        </w:rPr>
        <w:t>self-</w:t>
      </w:r>
      <w:r w:rsidR="00ED289C" w:rsidRPr="0018698D">
        <w:rPr>
          <w:lang w:val="en-GB"/>
        </w:rPr>
        <w:t>efficacy</w:t>
      </w:r>
      <w:r w:rsidR="00D043AE">
        <w:rPr>
          <w:lang w:val="en-GB"/>
        </w:rPr>
        <w:t xml:space="preserve"> and motivational learning strategies did not prove significant. </w:t>
      </w:r>
    </w:p>
    <w:p w14:paraId="21FEC8FD" w14:textId="3D11E45A" w:rsidR="0091076A" w:rsidRPr="0091076A" w:rsidRDefault="0091076A" w:rsidP="0091076A">
      <w:pPr>
        <w:spacing w:line="360" w:lineRule="auto"/>
        <w:jc w:val="both"/>
        <w:rPr>
          <w:b/>
          <w:lang w:val="en-GB"/>
        </w:rPr>
      </w:pPr>
      <w:r>
        <w:rPr>
          <w:b/>
          <w:lang w:val="en-GB"/>
        </w:rPr>
        <w:t>Limitations and conclusion</w:t>
      </w:r>
    </w:p>
    <w:p w14:paraId="1CC5B12B" w14:textId="61C674DD" w:rsidR="008A51B7" w:rsidRDefault="00CE7AFC" w:rsidP="00A03E56">
      <w:pPr>
        <w:spacing w:after="240" w:line="360" w:lineRule="auto"/>
        <w:jc w:val="both"/>
        <w:rPr>
          <w:lang w:val="en-GB"/>
        </w:rPr>
      </w:pPr>
      <w:r>
        <w:rPr>
          <w:lang w:val="en-GB"/>
        </w:rPr>
        <w:t>Although mediational analysis allows tentative conclusions about causality between variables by estimating direct and indirect effects, it cannot be used to imply causality</w:t>
      </w:r>
      <w:r w:rsidRPr="000F6E38">
        <w:rPr>
          <w:lang w:val="en-GB"/>
        </w:rPr>
        <w:t xml:space="preserve"> </w:t>
      </w:r>
      <w:r>
        <w:rPr>
          <w:lang w:val="en-GB"/>
        </w:rPr>
        <w:t xml:space="preserve">because of the cross-sectional nature of the design. </w:t>
      </w:r>
      <w:r w:rsidR="00DC09DC">
        <w:rPr>
          <w:lang w:val="en-GB"/>
        </w:rPr>
        <w:t>Assumptions of causality should therefore be guided by theory and confirmed through the use of longitudinal research design.</w:t>
      </w:r>
      <w:r w:rsidR="00DF44AC">
        <w:rPr>
          <w:lang w:val="en-GB"/>
        </w:rPr>
        <w:t xml:space="preserve"> </w:t>
      </w:r>
      <w:r w:rsidR="00EE009C">
        <w:rPr>
          <w:lang w:val="en-GB"/>
        </w:rPr>
        <w:t>Furthermore, the research sample included students from Croatia’s capital and its vicinity, who all belonged to one age group (14-15 years old).  Testing the proposed model on samples from di</w:t>
      </w:r>
      <w:r w:rsidR="0018711A">
        <w:rPr>
          <w:lang w:val="en-GB"/>
        </w:rPr>
        <w:t>verse</w:t>
      </w:r>
      <w:r w:rsidR="00EE009C">
        <w:rPr>
          <w:lang w:val="en-GB"/>
        </w:rPr>
        <w:t xml:space="preserve"> contexts and </w:t>
      </w:r>
      <w:r w:rsidR="0018711A">
        <w:rPr>
          <w:lang w:val="en-GB"/>
        </w:rPr>
        <w:t>different age groups would significantly improve the generalizability of the findings.</w:t>
      </w:r>
      <w:r w:rsidR="00DF44AC">
        <w:rPr>
          <w:lang w:val="en-GB"/>
        </w:rPr>
        <w:t xml:space="preserve"> </w:t>
      </w:r>
      <w:r w:rsidR="0004188F">
        <w:rPr>
          <w:lang w:val="en-GB"/>
        </w:rPr>
        <w:t xml:space="preserve">In addition, since the direct effect of conscientiousness on GPA remains significant controlling for </w:t>
      </w:r>
      <w:r w:rsidR="0004188F">
        <w:rPr>
          <w:lang w:val="en-GB"/>
        </w:rPr>
        <w:lastRenderedPageBreak/>
        <w:t xml:space="preserve">the effects of </w:t>
      </w:r>
      <w:r w:rsidR="00566EF8">
        <w:rPr>
          <w:lang w:val="en-GB"/>
        </w:rPr>
        <w:t xml:space="preserve">academic </w:t>
      </w:r>
      <w:r w:rsidR="0004188F">
        <w:rPr>
          <w:lang w:val="en-GB"/>
        </w:rPr>
        <w:t xml:space="preserve">self-efficacy and motivational learning strategies, </w:t>
      </w:r>
      <w:r w:rsidR="00DE108E">
        <w:rPr>
          <w:lang w:val="en-GB"/>
        </w:rPr>
        <w:t>this suggests that there could also be alternative explanations of the relationship between personality and achievement.</w:t>
      </w:r>
      <w:r w:rsidR="0004188F">
        <w:rPr>
          <w:lang w:val="en-GB"/>
        </w:rPr>
        <w:t xml:space="preserve"> </w:t>
      </w:r>
      <w:r w:rsidR="008A51B7">
        <w:rPr>
          <w:lang w:val="en-GB"/>
        </w:rPr>
        <w:t xml:space="preserve">Finally, this study used self-report </w:t>
      </w:r>
      <w:r w:rsidR="003957D9">
        <w:rPr>
          <w:lang w:val="en-GB"/>
        </w:rPr>
        <w:t>measures of all variables, which may have resulted in social desirability bias. These measures could be corroborated in further research by other-reports of personality and learning strategies, since these could provide more valid measured of these variables.</w:t>
      </w:r>
    </w:p>
    <w:p w14:paraId="73EF2B8F" w14:textId="70708BEA" w:rsidR="008201C9" w:rsidRDefault="0004188F" w:rsidP="008201C9">
      <w:pPr>
        <w:spacing w:line="360" w:lineRule="auto"/>
        <w:jc w:val="both"/>
        <w:rPr>
          <w:lang w:val="en-GB"/>
        </w:rPr>
      </w:pPr>
      <w:r>
        <w:rPr>
          <w:lang w:val="en-GB"/>
        </w:rPr>
        <w:t>Despite the limitations described above, t</w:t>
      </w:r>
      <w:r w:rsidR="008232FC" w:rsidRPr="00DC09DC">
        <w:rPr>
          <w:lang w:val="en-GB"/>
        </w:rPr>
        <w:t>he results of the present study</w:t>
      </w:r>
      <w:r>
        <w:rPr>
          <w:lang w:val="en-GB"/>
        </w:rPr>
        <w:t xml:space="preserve"> </w:t>
      </w:r>
      <w:r w:rsidR="00327AB8">
        <w:rPr>
          <w:lang w:val="en-GB"/>
        </w:rPr>
        <w:t xml:space="preserve">provide findings that </w:t>
      </w:r>
      <w:r>
        <w:rPr>
          <w:lang w:val="en-GB"/>
        </w:rPr>
        <w:t>contribut</w:t>
      </w:r>
      <w:r w:rsidR="00327AB8">
        <w:rPr>
          <w:lang w:val="en-GB"/>
        </w:rPr>
        <w:t>e</w:t>
      </w:r>
      <w:r>
        <w:rPr>
          <w:lang w:val="en-GB"/>
        </w:rPr>
        <w:t xml:space="preserve"> to understanding the complex relationship between personality and academic achievement through the </w:t>
      </w:r>
      <w:r w:rsidR="00FF750D">
        <w:rPr>
          <w:lang w:val="en-GB"/>
        </w:rPr>
        <w:t xml:space="preserve">effects of </w:t>
      </w:r>
      <w:r w:rsidR="00EA7853">
        <w:rPr>
          <w:lang w:val="en-GB"/>
        </w:rPr>
        <w:t xml:space="preserve">academic </w:t>
      </w:r>
      <w:r w:rsidR="00FF750D">
        <w:rPr>
          <w:lang w:val="en-GB"/>
        </w:rPr>
        <w:t>self-efficacy beliefs and motivational learning strategies.</w:t>
      </w:r>
      <w:r w:rsidR="00220C40">
        <w:rPr>
          <w:lang w:val="en-GB"/>
        </w:rPr>
        <w:t xml:space="preserve"> </w:t>
      </w:r>
      <w:r w:rsidR="00F628FA">
        <w:rPr>
          <w:lang w:val="en-GB"/>
        </w:rPr>
        <w:t xml:space="preserve">Specifically, </w:t>
      </w:r>
      <w:r w:rsidR="00354FCB">
        <w:rPr>
          <w:lang w:val="en-GB"/>
        </w:rPr>
        <w:t xml:space="preserve">testing a model which included </w:t>
      </w:r>
      <w:r w:rsidR="00ED289C" w:rsidRPr="0018698D">
        <w:rPr>
          <w:lang w:val="en-GB"/>
        </w:rPr>
        <w:t xml:space="preserve">academic </w:t>
      </w:r>
      <w:r w:rsidR="00ED289C">
        <w:rPr>
          <w:lang w:val="en-GB"/>
        </w:rPr>
        <w:t>self-</w:t>
      </w:r>
      <w:r w:rsidR="00ED289C" w:rsidRPr="0018698D">
        <w:rPr>
          <w:lang w:val="en-GB"/>
        </w:rPr>
        <w:t>efficacy</w:t>
      </w:r>
      <w:r w:rsidR="00354FCB">
        <w:rPr>
          <w:lang w:val="en-GB"/>
        </w:rPr>
        <w:t xml:space="preserve"> and motivational learning strategies as mediators of the relationship between personality and achievement</w:t>
      </w:r>
      <w:r w:rsidR="00F628FA">
        <w:rPr>
          <w:lang w:val="en-GB"/>
        </w:rPr>
        <w:t xml:space="preserve"> provided evidence of </w:t>
      </w:r>
      <w:r w:rsidR="00D133D1">
        <w:rPr>
          <w:lang w:val="en-GB"/>
        </w:rPr>
        <w:t xml:space="preserve">serial mediation – conscientious students tend to have higher </w:t>
      </w:r>
      <w:r w:rsidR="00566EF8">
        <w:rPr>
          <w:lang w:val="en-GB"/>
        </w:rPr>
        <w:t xml:space="preserve">academic </w:t>
      </w:r>
      <w:r w:rsidR="00D133D1">
        <w:rPr>
          <w:lang w:val="en-GB"/>
        </w:rPr>
        <w:t xml:space="preserve">self-efficacy, which results in avoiding the use of strategies for protecting self-esteem, </w:t>
      </w:r>
      <w:r w:rsidR="00547DFC">
        <w:rPr>
          <w:lang w:val="en-GB"/>
        </w:rPr>
        <w:t xml:space="preserve">which in turn leads to </w:t>
      </w:r>
      <w:r w:rsidR="00D133D1">
        <w:rPr>
          <w:lang w:val="en-GB"/>
        </w:rPr>
        <w:t>higher GPA.</w:t>
      </w:r>
      <w:r w:rsidR="003D0613">
        <w:rPr>
          <w:lang w:val="en-GB"/>
        </w:rPr>
        <w:t xml:space="preserve"> These results shed light on the important role of learning strategies </w:t>
      </w:r>
      <w:r w:rsidR="00B96C3C">
        <w:rPr>
          <w:lang w:val="en-GB"/>
        </w:rPr>
        <w:t>as mechanisms underlying the relationship between conscientiousness</w:t>
      </w:r>
      <w:r w:rsidR="008201C9">
        <w:rPr>
          <w:lang w:val="en-GB"/>
        </w:rPr>
        <w:t xml:space="preserve">, </w:t>
      </w:r>
      <w:r w:rsidR="00EA7853">
        <w:rPr>
          <w:lang w:val="en-GB"/>
        </w:rPr>
        <w:t xml:space="preserve">academic </w:t>
      </w:r>
      <w:r w:rsidR="008201C9">
        <w:rPr>
          <w:lang w:val="en-GB"/>
        </w:rPr>
        <w:t xml:space="preserve">self-efficacy and achievement. Practical implications </w:t>
      </w:r>
      <w:r w:rsidR="00F628FA">
        <w:rPr>
          <w:lang w:val="en-GB"/>
        </w:rPr>
        <w:t>of this study suggest the benefits of promoting</w:t>
      </w:r>
      <w:r w:rsidR="008201C9">
        <w:rPr>
          <w:lang w:val="en-GB"/>
        </w:rPr>
        <w:t xml:space="preserve"> the use of </w:t>
      </w:r>
      <w:r w:rsidR="00F628FA">
        <w:rPr>
          <w:lang w:val="en-GB"/>
        </w:rPr>
        <w:t xml:space="preserve">adaptive </w:t>
      </w:r>
      <w:r w:rsidR="008201C9">
        <w:rPr>
          <w:lang w:val="en-GB"/>
        </w:rPr>
        <w:t xml:space="preserve">motivational learning strategies </w:t>
      </w:r>
      <w:r w:rsidR="00F628FA">
        <w:rPr>
          <w:lang w:val="en-GB"/>
        </w:rPr>
        <w:t xml:space="preserve">to strengthen the effects of conscientiousness and </w:t>
      </w:r>
      <w:r w:rsidR="00EA7853">
        <w:rPr>
          <w:lang w:val="en-GB"/>
        </w:rPr>
        <w:t xml:space="preserve">academic </w:t>
      </w:r>
      <w:r w:rsidR="00F628FA">
        <w:rPr>
          <w:lang w:val="en-GB"/>
        </w:rPr>
        <w:t>self-efficacy on student achievement</w:t>
      </w:r>
      <w:r w:rsidR="008201C9">
        <w:rPr>
          <w:lang w:val="en-GB"/>
        </w:rPr>
        <w:t>.</w:t>
      </w:r>
    </w:p>
    <w:p w14:paraId="709CBAC5" w14:textId="4E28AFDF" w:rsidR="002136BC" w:rsidRPr="008201C9" w:rsidRDefault="008201C9" w:rsidP="008201C9">
      <w:pPr>
        <w:spacing w:after="160" w:line="259" w:lineRule="auto"/>
        <w:rPr>
          <w:lang w:val="en-GB"/>
        </w:rPr>
      </w:pPr>
      <w:r>
        <w:rPr>
          <w:lang w:val="en-GB"/>
        </w:rPr>
        <w:br w:type="page"/>
      </w:r>
    </w:p>
    <w:p w14:paraId="59690E80" w14:textId="486C0B02" w:rsidR="003D56A6" w:rsidRDefault="003D56A6" w:rsidP="00AA0BAA">
      <w:pPr>
        <w:spacing w:line="360" w:lineRule="auto"/>
        <w:jc w:val="both"/>
        <w:rPr>
          <w:b/>
          <w:lang w:val="en-GB"/>
        </w:rPr>
      </w:pPr>
      <w:r>
        <w:rPr>
          <w:b/>
          <w:lang w:val="en-GB"/>
        </w:rPr>
        <w:lastRenderedPageBreak/>
        <w:t>References</w:t>
      </w:r>
    </w:p>
    <w:p w14:paraId="2236CB53" w14:textId="1F1606DE" w:rsidR="002136BC" w:rsidRPr="002330E2" w:rsidRDefault="002136BC" w:rsidP="002136BC">
      <w:pPr>
        <w:ind w:left="851" w:hanging="851"/>
        <w:jc w:val="both"/>
        <w:rPr>
          <w:lang w:val="en-GB"/>
        </w:rPr>
      </w:pPr>
      <w:proofErr w:type="spellStart"/>
      <w:r w:rsidRPr="002330E2">
        <w:rPr>
          <w:lang w:val="en-GB"/>
        </w:rPr>
        <w:t>Bidjerano</w:t>
      </w:r>
      <w:proofErr w:type="spellEnd"/>
      <w:r w:rsidRPr="002330E2">
        <w:rPr>
          <w:lang w:val="en-GB"/>
        </w:rPr>
        <w:t>, T., &amp; Dai, D. Y. (2007). The relationship between the big-five model of personality and self-regulated learning strategies. </w:t>
      </w:r>
      <w:r w:rsidRPr="002330E2">
        <w:rPr>
          <w:i/>
          <w:lang w:val="en-GB"/>
        </w:rPr>
        <w:t>Learning and individual differences, 17</w:t>
      </w:r>
      <w:r w:rsidRPr="002330E2">
        <w:rPr>
          <w:lang w:val="en-GB"/>
        </w:rPr>
        <w:t>(1), 69-81.</w:t>
      </w:r>
    </w:p>
    <w:p w14:paraId="34B67451" w14:textId="32A3AF59" w:rsidR="003D56A6" w:rsidRPr="002330E2" w:rsidRDefault="003D56A6" w:rsidP="003D56A6">
      <w:pPr>
        <w:ind w:left="851" w:hanging="851"/>
        <w:jc w:val="both"/>
        <w:rPr>
          <w:lang w:val="en-GB"/>
        </w:rPr>
      </w:pPr>
      <w:proofErr w:type="spellStart"/>
      <w:r w:rsidRPr="002330E2">
        <w:rPr>
          <w:lang w:val="en-GB"/>
        </w:rPr>
        <w:t>Bratko</w:t>
      </w:r>
      <w:proofErr w:type="spellEnd"/>
      <w:r w:rsidRPr="002330E2">
        <w:rPr>
          <w:lang w:val="en-GB"/>
        </w:rPr>
        <w:t>, D., Chamorro-</w:t>
      </w:r>
      <w:proofErr w:type="spellStart"/>
      <w:r w:rsidRPr="002330E2">
        <w:rPr>
          <w:lang w:val="en-GB"/>
        </w:rPr>
        <w:t>Premuzic</w:t>
      </w:r>
      <w:proofErr w:type="spellEnd"/>
      <w:r w:rsidRPr="002330E2">
        <w:rPr>
          <w:lang w:val="en-GB"/>
        </w:rPr>
        <w:t>, T., &amp; Saks, Z. (2006). Personality and school performance: Incremental validity of self- and peer-ratings over intelligence. </w:t>
      </w:r>
      <w:r w:rsidRPr="002330E2">
        <w:rPr>
          <w:i/>
          <w:iCs/>
          <w:lang w:val="en-GB"/>
        </w:rPr>
        <w:t>Personality and Individual Differences, 41</w:t>
      </w:r>
      <w:r w:rsidRPr="002330E2">
        <w:rPr>
          <w:lang w:val="en-GB"/>
        </w:rPr>
        <w:t>(1), 131-142.</w:t>
      </w:r>
    </w:p>
    <w:p w14:paraId="4C8AB250" w14:textId="45DD4D19" w:rsidR="006B27EC" w:rsidRPr="002330E2" w:rsidRDefault="006B27EC" w:rsidP="003D56A6">
      <w:pPr>
        <w:ind w:left="851" w:hanging="851"/>
        <w:jc w:val="both"/>
        <w:rPr>
          <w:sz w:val="32"/>
          <w:lang w:val="en-GB"/>
        </w:rPr>
      </w:pPr>
      <w:proofErr w:type="spellStart"/>
      <w:r w:rsidRPr="00BE019A">
        <w:rPr>
          <w:szCs w:val="20"/>
          <w:shd w:val="clear" w:color="auto" w:fill="FFFFFF"/>
          <w:lang w:val="en-GB"/>
        </w:rPr>
        <w:t>Caprara</w:t>
      </w:r>
      <w:proofErr w:type="spellEnd"/>
      <w:r w:rsidRPr="00BE019A">
        <w:rPr>
          <w:szCs w:val="20"/>
          <w:shd w:val="clear" w:color="auto" w:fill="FFFFFF"/>
          <w:lang w:val="en-GB"/>
        </w:rPr>
        <w:t xml:space="preserve">, G. V., </w:t>
      </w:r>
      <w:proofErr w:type="spellStart"/>
      <w:r w:rsidRPr="00BE019A">
        <w:rPr>
          <w:szCs w:val="20"/>
          <w:shd w:val="clear" w:color="auto" w:fill="FFFFFF"/>
          <w:lang w:val="en-GB"/>
        </w:rPr>
        <w:t>Vecchione</w:t>
      </w:r>
      <w:proofErr w:type="spellEnd"/>
      <w:r w:rsidRPr="00BE019A">
        <w:rPr>
          <w:szCs w:val="20"/>
          <w:shd w:val="clear" w:color="auto" w:fill="FFFFFF"/>
          <w:lang w:val="en-GB"/>
        </w:rPr>
        <w:t xml:space="preserve">, M., </w:t>
      </w:r>
      <w:proofErr w:type="spellStart"/>
      <w:r w:rsidRPr="00BE019A">
        <w:rPr>
          <w:szCs w:val="20"/>
          <w:shd w:val="clear" w:color="auto" w:fill="FFFFFF"/>
          <w:lang w:val="en-GB"/>
        </w:rPr>
        <w:t>Alessandri</w:t>
      </w:r>
      <w:proofErr w:type="spellEnd"/>
      <w:r w:rsidRPr="00BE019A">
        <w:rPr>
          <w:szCs w:val="20"/>
          <w:shd w:val="clear" w:color="auto" w:fill="FFFFFF"/>
          <w:lang w:val="en-GB"/>
        </w:rPr>
        <w:t xml:space="preserve">, G., </w:t>
      </w:r>
      <w:proofErr w:type="spellStart"/>
      <w:r w:rsidRPr="00BE019A">
        <w:rPr>
          <w:szCs w:val="20"/>
          <w:shd w:val="clear" w:color="auto" w:fill="FFFFFF"/>
          <w:lang w:val="en-GB"/>
        </w:rPr>
        <w:t>Gerbino</w:t>
      </w:r>
      <w:proofErr w:type="spellEnd"/>
      <w:r w:rsidRPr="00BE019A">
        <w:rPr>
          <w:szCs w:val="20"/>
          <w:shd w:val="clear" w:color="auto" w:fill="FFFFFF"/>
          <w:lang w:val="en-GB"/>
        </w:rPr>
        <w:t xml:space="preserve">, M., &amp; </w:t>
      </w:r>
      <w:proofErr w:type="spellStart"/>
      <w:r w:rsidRPr="00BE019A">
        <w:rPr>
          <w:szCs w:val="20"/>
          <w:shd w:val="clear" w:color="auto" w:fill="FFFFFF"/>
          <w:lang w:val="en-GB"/>
        </w:rPr>
        <w:t>Barbaranelli</w:t>
      </w:r>
      <w:proofErr w:type="spellEnd"/>
      <w:r w:rsidRPr="00BE019A">
        <w:rPr>
          <w:szCs w:val="20"/>
          <w:shd w:val="clear" w:color="auto" w:fill="FFFFFF"/>
          <w:lang w:val="en-GB"/>
        </w:rPr>
        <w:t>, C. (2011). The contribution of personality traits and self‐efficacy beliefs to academic achievement: A longitudinal study. </w:t>
      </w:r>
      <w:r w:rsidRPr="00BE019A">
        <w:rPr>
          <w:i/>
          <w:iCs/>
          <w:szCs w:val="20"/>
          <w:shd w:val="clear" w:color="auto" w:fill="FFFFFF"/>
          <w:lang w:val="en-GB"/>
        </w:rPr>
        <w:t>British Journal of Educational Psychology</w:t>
      </w:r>
      <w:r w:rsidRPr="00BE019A">
        <w:rPr>
          <w:szCs w:val="20"/>
          <w:shd w:val="clear" w:color="auto" w:fill="FFFFFF"/>
          <w:lang w:val="en-GB"/>
        </w:rPr>
        <w:t>, </w:t>
      </w:r>
      <w:r w:rsidRPr="00BE019A">
        <w:rPr>
          <w:i/>
          <w:iCs/>
          <w:szCs w:val="20"/>
          <w:shd w:val="clear" w:color="auto" w:fill="FFFFFF"/>
          <w:lang w:val="en-GB"/>
        </w:rPr>
        <w:t>81</w:t>
      </w:r>
      <w:r w:rsidRPr="00BE019A">
        <w:rPr>
          <w:szCs w:val="20"/>
          <w:shd w:val="clear" w:color="auto" w:fill="FFFFFF"/>
          <w:lang w:val="en-GB"/>
        </w:rPr>
        <w:t>(1), 78-96.</w:t>
      </w:r>
    </w:p>
    <w:p w14:paraId="3D853020" w14:textId="54E4335B" w:rsidR="002136BC" w:rsidRPr="00BE019A" w:rsidRDefault="002136BC" w:rsidP="003D56A6">
      <w:pPr>
        <w:ind w:left="851" w:hanging="851"/>
        <w:jc w:val="both"/>
        <w:rPr>
          <w:shd w:val="clear" w:color="auto" w:fill="FFFFFF"/>
          <w:lang w:val="en-GB"/>
        </w:rPr>
      </w:pPr>
      <w:r w:rsidRPr="00BE019A">
        <w:rPr>
          <w:shd w:val="clear" w:color="auto" w:fill="FFFFFF"/>
          <w:lang w:val="en-GB"/>
        </w:rPr>
        <w:t>Chamorro-</w:t>
      </w:r>
      <w:proofErr w:type="spellStart"/>
      <w:r w:rsidRPr="00BE019A">
        <w:rPr>
          <w:shd w:val="clear" w:color="auto" w:fill="FFFFFF"/>
          <w:lang w:val="en-GB"/>
        </w:rPr>
        <w:t>Premuzic</w:t>
      </w:r>
      <w:proofErr w:type="spellEnd"/>
      <w:r w:rsidRPr="00BE019A">
        <w:rPr>
          <w:shd w:val="clear" w:color="auto" w:fill="FFFFFF"/>
          <w:lang w:val="en-GB"/>
        </w:rPr>
        <w:t>, T., &amp; Furnham, A. (2009). Mainly Openness: The relationship between the Big Five personality traits and learning approaches. </w:t>
      </w:r>
      <w:r w:rsidRPr="00BE019A">
        <w:rPr>
          <w:i/>
          <w:iCs/>
          <w:shd w:val="clear" w:color="auto" w:fill="FFFFFF"/>
          <w:lang w:val="en-GB"/>
        </w:rPr>
        <w:t xml:space="preserve">Learning and individual </w:t>
      </w:r>
      <w:r w:rsidR="002330E2" w:rsidRPr="00BE019A">
        <w:rPr>
          <w:i/>
          <w:iCs/>
          <w:shd w:val="clear" w:color="auto" w:fill="FFFFFF"/>
          <w:lang w:val="en-GB"/>
        </w:rPr>
        <w:t>d</w:t>
      </w:r>
      <w:r w:rsidRPr="00BE019A">
        <w:rPr>
          <w:i/>
          <w:iCs/>
          <w:shd w:val="clear" w:color="auto" w:fill="FFFFFF"/>
          <w:lang w:val="en-GB"/>
        </w:rPr>
        <w:t>ifferences</w:t>
      </w:r>
      <w:r w:rsidRPr="00BE019A">
        <w:rPr>
          <w:shd w:val="clear" w:color="auto" w:fill="FFFFFF"/>
          <w:lang w:val="en-GB"/>
        </w:rPr>
        <w:t>, </w:t>
      </w:r>
      <w:r w:rsidRPr="00BE019A">
        <w:rPr>
          <w:i/>
          <w:iCs/>
          <w:shd w:val="clear" w:color="auto" w:fill="FFFFFF"/>
          <w:lang w:val="en-GB"/>
        </w:rPr>
        <w:t>19</w:t>
      </w:r>
      <w:r w:rsidRPr="00BE019A">
        <w:rPr>
          <w:shd w:val="clear" w:color="auto" w:fill="FFFFFF"/>
          <w:lang w:val="en-GB"/>
        </w:rPr>
        <w:t>(4), 524-529.</w:t>
      </w:r>
    </w:p>
    <w:p w14:paraId="02B40679" w14:textId="1588D951" w:rsidR="002136BC" w:rsidRPr="00BE019A" w:rsidRDefault="002136BC" w:rsidP="003D56A6">
      <w:pPr>
        <w:ind w:left="851" w:hanging="851"/>
        <w:jc w:val="both"/>
        <w:rPr>
          <w:szCs w:val="20"/>
          <w:shd w:val="clear" w:color="auto" w:fill="FFFFFF"/>
          <w:lang w:val="en-GB"/>
        </w:rPr>
      </w:pPr>
      <w:r w:rsidRPr="00BE019A">
        <w:rPr>
          <w:szCs w:val="20"/>
          <w:shd w:val="clear" w:color="auto" w:fill="FFFFFF"/>
          <w:lang w:val="en-GB"/>
        </w:rPr>
        <w:t xml:space="preserve">De </w:t>
      </w:r>
      <w:proofErr w:type="spellStart"/>
      <w:r w:rsidRPr="00BE019A">
        <w:rPr>
          <w:szCs w:val="20"/>
          <w:shd w:val="clear" w:color="auto" w:fill="FFFFFF"/>
          <w:lang w:val="en-GB"/>
        </w:rPr>
        <w:t>Feyter</w:t>
      </w:r>
      <w:proofErr w:type="spellEnd"/>
      <w:r w:rsidRPr="00BE019A">
        <w:rPr>
          <w:szCs w:val="20"/>
          <w:shd w:val="clear" w:color="auto" w:fill="FFFFFF"/>
          <w:lang w:val="en-GB"/>
        </w:rPr>
        <w:t xml:space="preserve">, T., </w:t>
      </w:r>
      <w:proofErr w:type="spellStart"/>
      <w:r w:rsidRPr="00BE019A">
        <w:rPr>
          <w:szCs w:val="20"/>
          <w:shd w:val="clear" w:color="auto" w:fill="FFFFFF"/>
          <w:lang w:val="en-GB"/>
        </w:rPr>
        <w:t>Caers</w:t>
      </w:r>
      <w:proofErr w:type="spellEnd"/>
      <w:r w:rsidRPr="00BE019A">
        <w:rPr>
          <w:szCs w:val="20"/>
          <w:shd w:val="clear" w:color="auto" w:fill="FFFFFF"/>
          <w:lang w:val="en-GB"/>
        </w:rPr>
        <w:t xml:space="preserve">, R., Vigna, C., &amp; </w:t>
      </w:r>
      <w:proofErr w:type="spellStart"/>
      <w:r w:rsidRPr="00BE019A">
        <w:rPr>
          <w:szCs w:val="20"/>
          <w:shd w:val="clear" w:color="auto" w:fill="FFFFFF"/>
          <w:lang w:val="en-GB"/>
        </w:rPr>
        <w:t>Berings</w:t>
      </w:r>
      <w:proofErr w:type="spellEnd"/>
      <w:r w:rsidRPr="00BE019A">
        <w:rPr>
          <w:szCs w:val="20"/>
          <w:shd w:val="clear" w:color="auto" w:fill="FFFFFF"/>
          <w:lang w:val="en-GB"/>
        </w:rPr>
        <w:t xml:space="preserve">, D. (2012). </w:t>
      </w:r>
      <w:proofErr w:type="spellStart"/>
      <w:r w:rsidRPr="00BE019A">
        <w:rPr>
          <w:szCs w:val="20"/>
          <w:shd w:val="clear" w:color="auto" w:fill="FFFFFF"/>
          <w:lang w:val="en-GB"/>
        </w:rPr>
        <w:t>Unraveling</w:t>
      </w:r>
      <w:proofErr w:type="spellEnd"/>
      <w:r w:rsidRPr="00BE019A">
        <w:rPr>
          <w:szCs w:val="20"/>
          <w:shd w:val="clear" w:color="auto" w:fill="FFFFFF"/>
          <w:lang w:val="en-GB"/>
        </w:rPr>
        <w:t xml:space="preserve"> the impact of the Big Five personality traits on academic performance: The moderating and mediating effects of self-efficacy and academic motivation. </w:t>
      </w:r>
      <w:r w:rsidRPr="00BE019A">
        <w:rPr>
          <w:i/>
          <w:iCs/>
          <w:szCs w:val="20"/>
          <w:shd w:val="clear" w:color="auto" w:fill="FFFFFF"/>
          <w:lang w:val="en-GB"/>
        </w:rPr>
        <w:t xml:space="preserve">Learning and individual </w:t>
      </w:r>
      <w:r w:rsidR="002330E2" w:rsidRPr="00BE019A">
        <w:rPr>
          <w:i/>
          <w:iCs/>
          <w:szCs w:val="20"/>
          <w:shd w:val="clear" w:color="auto" w:fill="FFFFFF"/>
          <w:lang w:val="en-GB"/>
        </w:rPr>
        <w:t>d</w:t>
      </w:r>
      <w:r w:rsidRPr="00BE019A">
        <w:rPr>
          <w:i/>
          <w:iCs/>
          <w:szCs w:val="20"/>
          <w:shd w:val="clear" w:color="auto" w:fill="FFFFFF"/>
          <w:lang w:val="en-GB"/>
        </w:rPr>
        <w:t>ifferences</w:t>
      </w:r>
      <w:r w:rsidRPr="00BE019A">
        <w:rPr>
          <w:szCs w:val="20"/>
          <w:shd w:val="clear" w:color="auto" w:fill="FFFFFF"/>
          <w:lang w:val="en-GB"/>
        </w:rPr>
        <w:t>, </w:t>
      </w:r>
      <w:r w:rsidRPr="00BE019A">
        <w:rPr>
          <w:i/>
          <w:iCs/>
          <w:szCs w:val="20"/>
          <w:shd w:val="clear" w:color="auto" w:fill="FFFFFF"/>
          <w:lang w:val="en-GB"/>
        </w:rPr>
        <w:t>22</w:t>
      </w:r>
      <w:r w:rsidRPr="00BE019A">
        <w:rPr>
          <w:szCs w:val="20"/>
          <w:shd w:val="clear" w:color="auto" w:fill="FFFFFF"/>
          <w:lang w:val="en-GB"/>
        </w:rPr>
        <w:t>(4), 439-448.</w:t>
      </w:r>
    </w:p>
    <w:p w14:paraId="4E890132" w14:textId="1478144A" w:rsidR="002136BC" w:rsidRPr="00BE019A" w:rsidRDefault="002136BC" w:rsidP="003D56A6">
      <w:pPr>
        <w:ind w:left="851" w:hanging="851"/>
        <w:jc w:val="both"/>
        <w:rPr>
          <w:szCs w:val="20"/>
          <w:shd w:val="clear" w:color="auto" w:fill="FFFFFF"/>
          <w:lang w:val="en-GB"/>
        </w:rPr>
      </w:pPr>
      <w:r w:rsidRPr="00BE019A">
        <w:rPr>
          <w:szCs w:val="20"/>
          <w:shd w:val="clear" w:color="auto" w:fill="FFFFFF"/>
          <w:lang w:val="en-GB"/>
        </w:rPr>
        <w:t xml:space="preserve">Di Giunta, L., </w:t>
      </w:r>
      <w:proofErr w:type="spellStart"/>
      <w:r w:rsidRPr="00BE019A">
        <w:rPr>
          <w:szCs w:val="20"/>
          <w:shd w:val="clear" w:color="auto" w:fill="FFFFFF"/>
          <w:lang w:val="en-GB"/>
        </w:rPr>
        <w:t>Alessandri</w:t>
      </w:r>
      <w:proofErr w:type="spellEnd"/>
      <w:r w:rsidRPr="00BE019A">
        <w:rPr>
          <w:szCs w:val="20"/>
          <w:shd w:val="clear" w:color="auto" w:fill="FFFFFF"/>
          <w:lang w:val="en-GB"/>
        </w:rPr>
        <w:t xml:space="preserve">, G., </w:t>
      </w:r>
      <w:proofErr w:type="spellStart"/>
      <w:r w:rsidRPr="00BE019A">
        <w:rPr>
          <w:szCs w:val="20"/>
          <w:shd w:val="clear" w:color="auto" w:fill="FFFFFF"/>
          <w:lang w:val="en-GB"/>
        </w:rPr>
        <w:t>Gerbino</w:t>
      </w:r>
      <w:proofErr w:type="spellEnd"/>
      <w:r w:rsidRPr="00BE019A">
        <w:rPr>
          <w:szCs w:val="20"/>
          <w:shd w:val="clear" w:color="auto" w:fill="FFFFFF"/>
          <w:lang w:val="en-GB"/>
        </w:rPr>
        <w:t xml:space="preserve">, M., </w:t>
      </w:r>
      <w:proofErr w:type="spellStart"/>
      <w:r w:rsidRPr="00BE019A">
        <w:rPr>
          <w:szCs w:val="20"/>
          <w:shd w:val="clear" w:color="auto" w:fill="FFFFFF"/>
          <w:lang w:val="en-GB"/>
        </w:rPr>
        <w:t>Kanacri</w:t>
      </w:r>
      <w:proofErr w:type="spellEnd"/>
      <w:r w:rsidRPr="00BE019A">
        <w:rPr>
          <w:szCs w:val="20"/>
          <w:shd w:val="clear" w:color="auto" w:fill="FFFFFF"/>
          <w:lang w:val="en-GB"/>
        </w:rPr>
        <w:t xml:space="preserve">, P. L., </w:t>
      </w:r>
      <w:proofErr w:type="spellStart"/>
      <w:r w:rsidRPr="00BE019A">
        <w:rPr>
          <w:szCs w:val="20"/>
          <w:shd w:val="clear" w:color="auto" w:fill="FFFFFF"/>
          <w:lang w:val="en-GB"/>
        </w:rPr>
        <w:t>Zuffiano</w:t>
      </w:r>
      <w:proofErr w:type="spellEnd"/>
      <w:r w:rsidRPr="00BE019A">
        <w:rPr>
          <w:szCs w:val="20"/>
          <w:shd w:val="clear" w:color="auto" w:fill="FFFFFF"/>
          <w:lang w:val="en-GB"/>
        </w:rPr>
        <w:t xml:space="preserve">, A., &amp; </w:t>
      </w:r>
      <w:proofErr w:type="spellStart"/>
      <w:r w:rsidRPr="00BE019A">
        <w:rPr>
          <w:szCs w:val="20"/>
          <w:shd w:val="clear" w:color="auto" w:fill="FFFFFF"/>
          <w:lang w:val="en-GB"/>
        </w:rPr>
        <w:t>Caprara</w:t>
      </w:r>
      <w:proofErr w:type="spellEnd"/>
      <w:r w:rsidRPr="00BE019A">
        <w:rPr>
          <w:szCs w:val="20"/>
          <w:shd w:val="clear" w:color="auto" w:fill="FFFFFF"/>
          <w:lang w:val="en-GB"/>
        </w:rPr>
        <w:t>, G. V. (2013). The determinants of scholastic achievement: The contribution of personality traits, self-esteem, and academic self-efficacy. </w:t>
      </w:r>
      <w:r w:rsidRPr="00BE019A">
        <w:rPr>
          <w:i/>
          <w:iCs/>
          <w:szCs w:val="20"/>
          <w:shd w:val="clear" w:color="auto" w:fill="FFFFFF"/>
          <w:lang w:val="en-GB"/>
        </w:rPr>
        <w:t xml:space="preserve">Learning and individual </w:t>
      </w:r>
      <w:r w:rsidR="002330E2" w:rsidRPr="00BE019A">
        <w:rPr>
          <w:i/>
          <w:iCs/>
          <w:szCs w:val="20"/>
          <w:shd w:val="clear" w:color="auto" w:fill="FFFFFF"/>
          <w:lang w:val="en-GB"/>
        </w:rPr>
        <w:t>d</w:t>
      </w:r>
      <w:r w:rsidRPr="00BE019A">
        <w:rPr>
          <w:i/>
          <w:iCs/>
          <w:szCs w:val="20"/>
          <w:shd w:val="clear" w:color="auto" w:fill="FFFFFF"/>
          <w:lang w:val="en-GB"/>
        </w:rPr>
        <w:t>ifferences</w:t>
      </w:r>
      <w:r w:rsidRPr="00BE019A">
        <w:rPr>
          <w:szCs w:val="20"/>
          <w:shd w:val="clear" w:color="auto" w:fill="FFFFFF"/>
          <w:lang w:val="en-GB"/>
        </w:rPr>
        <w:t>, </w:t>
      </w:r>
      <w:r w:rsidRPr="00BE019A">
        <w:rPr>
          <w:i/>
          <w:iCs/>
          <w:szCs w:val="20"/>
          <w:shd w:val="clear" w:color="auto" w:fill="FFFFFF"/>
          <w:lang w:val="en-GB"/>
        </w:rPr>
        <w:t>27</w:t>
      </w:r>
      <w:r w:rsidRPr="00BE019A">
        <w:rPr>
          <w:szCs w:val="20"/>
          <w:shd w:val="clear" w:color="auto" w:fill="FFFFFF"/>
          <w:lang w:val="en-GB"/>
        </w:rPr>
        <w:t>, 102-108.</w:t>
      </w:r>
    </w:p>
    <w:p w14:paraId="63827DFE" w14:textId="1392F866" w:rsidR="00FE5F53" w:rsidRPr="002330E2" w:rsidRDefault="00FE5F53" w:rsidP="003D56A6">
      <w:pPr>
        <w:ind w:left="851" w:hanging="851"/>
        <w:jc w:val="both"/>
        <w:rPr>
          <w:b/>
          <w:sz w:val="48"/>
          <w:lang w:val="en-GB" w:eastAsia="en-US"/>
        </w:rPr>
      </w:pPr>
      <w:proofErr w:type="spellStart"/>
      <w:r w:rsidRPr="00BE019A">
        <w:rPr>
          <w:szCs w:val="20"/>
          <w:shd w:val="clear" w:color="auto" w:fill="FFFFFF"/>
        </w:rPr>
        <w:t>Eronen</w:t>
      </w:r>
      <w:proofErr w:type="spellEnd"/>
      <w:r w:rsidRPr="00BE019A">
        <w:rPr>
          <w:szCs w:val="20"/>
          <w:shd w:val="clear" w:color="auto" w:fill="FFFFFF"/>
        </w:rPr>
        <w:t xml:space="preserve">, S., Nurmi, J. E., &amp; </w:t>
      </w:r>
      <w:proofErr w:type="spellStart"/>
      <w:r w:rsidRPr="00BE019A">
        <w:rPr>
          <w:szCs w:val="20"/>
          <w:shd w:val="clear" w:color="auto" w:fill="FFFFFF"/>
        </w:rPr>
        <w:t>Salmela</w:t>
      </w:r>
      <w:proofErr w:type="spellEnd"/>
      <w:r w:rsidRPr="00BE019A">
        <w:rPr>
          <w:szCs w:val="20"/>
          <w:shd w:val="clear" w:color="auto" w:fill="FFFFFF"/>
        </w:rPr>
        <w:t xml:space="preserve">-Aro, K. (1998). </w:t>
      </w:r>
      <w:proofErr w:type="spellStart"/>
      <w:r w:rsidRPr="00BE019A">
        <w:rPr>
          <w:szCs w:val="20"/>
          <w:shd w:val="clear" w:color="auto" w:fill="FFFFFF"/>
        </w:rPr>
        <w:t>Optimistic</w:t>
      </w:r>
      <w:proofErr w:type="spellEnd"/>
      <w:r w:rsidRPr="00BE019A">
        <w:rPr>
          <w:szCs w:val="20"/>
          <w:shd w:val="clear" w:color="auto" w:fill="FFFFFF"/>
        </w:rPr>
        <w:t xml:space="preserve">, </w:t>
      </w:r>
      <w:proofErr w:type="spellStart"/>
      <w:r w:rsidRPr="00BE019A">
        <w:rPr>
          <w:szCs w:val="20"/>
          <w:shd w:val="clear" w:color="auto" w:fill="FFFFFF"/>
        </w:rPr>
        <w:t>defensive-pessimistic</w:t>
      </w:r>
      <w:proofErr w:type="spellEnd"/>
      <w:r w:rsidRPr="00BE019A">
        <w:rPr>
          <w:szCs w:val="20"/>
          <w:shd w:val="clear" w:color="auto" w:fill="FFFFFF"/>
        </w:rPr>
        <w:t xml:space="preserve">, </w:t>
      </w:r>
      <w:proofErr w:type="spellStart"/>
      <w:r w:rsidRPr="00BE019A">
        <w:rPr>
          <w:szCs w:val="20"/>
          <w:shd w:val="clear" w:color="auto" w:fill="FFFFFF"/>
        </w:rPr>
        <w:t>impulsive</w:t>
      </w:r>
      <w:proofErr w:type="spellEnd"/>
      <w:r w:rsidRPr="00BE019A">
        <w:rPr>
          <w:szCs w:val="20"/>
          <w:shd w:val="clear" w:color="auto" w:fill="FFFFFF"/>
        </w:rPr>
        <w:t xml:space="preserve"> </w:t>
      </w:r>
      <w:proofErr w:type="spellStart"/>
      <w:r w:rsidRPr="00BE019A">
        <w:rPr>
          <w:szCs w:val="20"/>
          <w:shd w:val="clear" w:color="auto" w:fill="FFFFFF"/>
        </w:rPr>
        <w:t>and</w:t>
      </w:r>
      <w:proofErr w:type="spellEnd"/>
      <w:r w:rsidRPr="00BE019A">
        <w:rPr>
          <w:szCs w:val="20"/>
          <w:shd w:val="clear" w:color="auto" w:fill="FFFFFF"/>
        </w:rPr>
        <w:t xml:space="preserve"> </w:t>
      </w:r>
      <w:proofErr w:type="spellStart"/>
      <w:r w:rsidRPr="00BE019A">
        <w:rPr>
          <w:szCs w:val="20"/>
          <w:shd w:val="clear" w:color="auto" w:fill="FFFFFF"/>
        </w:rPr>
        <w:t>self-handicapping</w:t>
      </w:r>
      <w:proofErr w:type="spellEnd"/>
      <w:r w:rsidRPr="00BE019A">
        <w:rPr>
          <w:szCs w:val="20"/>
          <w:shd w:val="clear" w:color="auto" w:fill="FFFFFF"/>
        </w:rPr>
        <w:t xml:space="preserve"> </w:t>
      </w:r>
      <w:proofErr w:type="spellStart"/>
      <w:r w:rsidRPr="00BE019A">
        <w:rPr>
          <w:szCs w:val="20"/>
          <w:shd w:val="clear" w:color="auto" w:fill="FFFFFF"/>
        </w:rPr>
        <w:t>strategies</w:t>
      </w:r>
      <w:proofErr w:type="spellEnd"/>
      <w:r w:rsidRPr="00BE019A">
        <w:rPr>
          <w:szCs w:val="20"/>
          <w:shd w:val="clear" w:color="auto" w:fill="FFFFFF"/>
        </w:rPr>
        <w:t xml:space="preserve"> </w:t>
      </w:r>
      <w:proofErr w:type="spellStart"/>
      <w:r w:rsidRPr="00BE019A">
        <w:rPr>
          <w:szCs w:val="20"/>
          <w:shd w:val="clear" w:color="auto" w:fill="FFFFFF"/>
        </w:rPr>
        <w:t>in</w:t>
      </w:r>
      <w:proofErr w:type="spellEnd"/>
      <w:r w:rsidRPr="00BE019A">
        <w:rPr>
          <w:szCs w:val="20"/>
          <w:shd w:val="clear" w:color="auto" w:fill="FFFFFF"/>
        </w:rPr>
        <w:t xml:space="preserve"> </w:t>
      </w:r>
      <w:proofErr w:type="spellStart"/>
      <w:r w:rsidRPr="00BE019A">
        <w:rPr>
          <w:szCs w:val="20"/>
          <w:shd w:val="clear" w:color="auto" w:fill="FFFFFF"/>
        </w:rPr>
        <w:t>university</w:t>
      </w:r>
      <w:proofErr w:type="spellEnd"/>
      <w:r w:rsidRPr="00BE019A">
        <w:rPr>
          <w:szCs w:val="20"/>
          <w:shd w:val="clear" w:color="auto" w:fill="FFFFFF"/>
        </w:rPr>
        <w:t xml:space="preserve"> </w:t>
      </w:r>
      <w:proofErr w:type="spellStart"/>
      <w:r w:rsidRPr="00BE019A">
        <w:rPr>
          <w:szCs w:val="20"/>
          <w:shd w:val="clear" w:color="auto" w:fill="FFFFFF"/>
        </w:rPr>
        <w:t>environments</w:t>
      </w:r>
      <w:proofErr w:type="spellEnd"/>
      <w:r w:rsidRPr="00BE019A">
        <w:rPr>
          <w:szCs w:val="20"/>
          <w:shd w:val="clear" w:color="auto" w:fill="FFFFFF"/>
        </w:rPr>
        <w:t>. </w:t>
      </w:r>
      <w:proofErr w:type="spellStart"/>
      <w:r w:rsidRPr="00BE019A">
        <w:rPr>
          <w:i/>
          <w:iCs/>
          <w:szCs w:val="20"/>
          <w:shd w:val="clear" w:color="auto" w:fill="FFFFFF"/>
        </w:rPr>
        <w:t>Learning</w:t>
      </w:r>
      <w:proofErr w:type="spellEnd"/>
      <w:r w:rsidRPr="00BE019A">
        <w:rPr>
          <w:i/>
          <w:iCs/>
          <w:szCs w:val="20"/>
          <w:shd w:val="clear" w:color="auto" w:fill="FFFFFF"/>
        </w:rPr>
        <w:t xml:space="preserve"> </w:t>
      </w:r>
      <w:proofErr w:type="spellStart"/>
      <w:r w:rsidRPr="00BE019A">
        <w:rPr>
          <w:i/>
          <w:iCs/>
          <w:szCs w:val="20"/>
          <w:shd w:val="clear" w:color="auto" w:fill="FFFFFF"/>
        </w:rPr>
        <w:t>and</w:t>
      </w:r>
      <w:proofErr w:type="spellEnd"/>
      <w:r w:rsidRPr="00BE019A">
        <w:rPr>
          <w:i/>
          <w:iCs/>
          <w:szCs w:val="20"/>
          <w:shd w:val="clear" w:color="auto" w:fill="FFFFFF"/>
        </w:rPr>
        <w:t xml:space="preserve"> </w:t>
      </w:r>
      <w:proofErr w:type="spellStart"/>
      <w:r w:rsidRPr="00BE019A">
        <w:rPr>
          <w:i/>
          <w:iCs/>
          <w:szCs w:val="20"/>
          <w:shd w:val="clear" w:color="auto" w:fill="FFFFFF"/>
        </w:rPr>
        <w:t>Instruction</w:t>
      </w:r>
      <w:proofErr w:type="spellEnd"/>
      <w:r w:rsidRPr="00BE019A">
        <w:rPr>
          <w:szCs w:val="20"/>
          <w:shd w:val="clear" w:color="auto" w:fill="FFFFFF"/>
        </w:rPr>
        <w:t>, </w:t>
      </w:r>
      <w:r w:rsidRPr="00BE019A">
        <w:rPr>
          <w:i/>
          <w:iCs/>
          <w:szCs w:val="20"/>
          <w:shd w:val="clear" w:color="auto" w:fill="FFFFFF"/>
        </w:rPr>
        <w:t>8</w:t>
      </w:r>
      <w:r w:rsidRPr="00BE019A">
        <w:rPr>
          <w:szCs w:val="20"/>
          <w:shd w:val="clear" w:color="auto" w:fill="FFFFFF"/>
        </w:rPr>
        <w:t>(2), 159-177.</w:t>
      </w:r>
    </w:p>
    <w:p w14:paraId="5699260F" w14:textId="291363B8" w:rsidR="003D56A6" w:rsidRPr="002330E2" w:rsidRDefault="003D56A6" w:rsidP="003D56A6">
      <w:pPr>
        <w:ind w:left="851" w:hanging="851"/>
        <w:jc w:val="both"/>
        <w:rPr>
          <w:lang w:val="en-GB"/>
        </w:rPr>
      </w:pPr>
      <w:bookmarkStart w:id="4" w:name="_ENREF_82"/>
      <w:r w:rsidRPr="002330E2">
        <w:rPr>
          <w:lang w:val="en-GB"/>
        </w:rPr>
        <w:t>Graziano, W.G. &amp; Eisenberg, N. (1997). Agreeableness: A dimension of personality. In</w:t>
      </w:r>
      <w:r w:rsidR="002330E2">
        <w:rPr>
          <w:lang w:val="en-GB"/>
        </w:rPr>
        <w:t>:</w:t>
      </w:r>
      <w:r w:rsidRPr="002330E2">
        <w:rPr>
          <w:lang w:val="en-GB"/>
        </w:rPr>
        <w:t xml:space="preserve"> R. Hogan, J. Johnson, &amp; S. Briggs (Eds.). </w:t>
      </w:r>
      <w:r w:rsidRPr="002330E2">
        <w:rPr>
          <w:i/>
          <w:lang w:val="en-GB"/>
        </w:rPr>
        <w:t>Handbook of personality psychology</w:t>
      </w:r>
      <w:r w:rsidRPr="002330E2">
        <w:rPr>
          <w:lang w:val="en-GB"/>
        </w:rPr>
        <w:t xml:space="preserve"> (pp. 825–847). Academic Press. </w:t>
      </w:r>
    </w:p>
    <w:p w14:paraId="2863A5E9" w14:textId="4169F475" w:rsidR="00712ABD" w:rsidRPr="002330E2" w:rsidRDefault="00712ABD" w:rsidP="003D56A6">
      <w:pPr>
        <w:ind w:left="851" w:hanging="851"/>
        <w:jc w:val="both"/>
        <w:rPr>
          <w:sz w:val="32"/>
          <w:lang w:val="en-GB"/>
        </w:rPr>
      </w:pPr>
      <w:proofErr w:type="spellStart"/>
      <w:r w:rsidRPr="00BE019A">
        <w:rPr>
          <w:szCs w:val="20"/>
          <w:shd w:val="clear" w:color="auto" w:fill="FFFFFF"/>
        </w:rPr>
        <w:t>Ha</w:t>
      </w:r>
      <w:r w:rsidRPr="002330E2">
        <w:rPr>
          <w:szCs w:val="20"/>
          <w:shd w:val="clear" w:color="auto" w:fill="FFFFFF"/>
        </w:rPr>
        <w:t>yes</w:t>
      </w:r>
      <w:proofErr w:type="spellEnd"/>
      <w:r w:rsidRPr="002330E2">
        <w:rPr>
          <w:szCs w:val="20"/>
          <w:shd w:val="clear" w:color="auto" w:fill="FFFFFF"/>
        </w:rPr>
        <w:t>, A. F. (2018). </w:t>
      </w:r>
      <w:proofErr w:type="spellStart"/>
      <w:r w:rsidRPr="002330E2">
        <w:rPr>
          <w:i/>
          <w:iCs/>
          <w:szCs w:val="20"/>
          <w:shd w:val="clear" w:color="auto" w:fill="FFFFFF"/>
        </w:rPr>
        <w:t>Introduction</w:t>
      </w:r>
      <w:proofErr w:type="spellEnd"/>
      <w:r w:rsidRPr="002330E2">
        <w:rPr>
          <w:i/>
          <w:iCs/>
          <w:szCs w:val="20"/>
          <w:shd w:val="clear" w:color="auto" w:fill="FFFFFF"/>
        </w:rPr>
        <w:t xml:space="preserve"> to </w:t>
      </w:r>
      <w:proofErr w:type="spellStart"/>
      <w:r w:rsidRPr="002330E2">
        <w:rPr>
          <w:i/>
          <w:iCs/>
          <w:szCs w:val="20"/>
          <w:shd w:val="clear" w:color="auto" w:fill="FFFFFF"/>
        </w:rPr>
        <w:t>mediation</w:t>
      </w:r>
      <w:proofErr w:type="spellEnd"/>
      <w:r w:rsidRPr="002330E2">
        <w:rPr>
          <w:i/>
          <w:iCs/>
          <w:szCs w:val="20"/>
          <w:shd w:val="clear" w:color="auto" w:fill="FFFFFF"/>
        </w:rPr>
        <w:t xml:space="preserve">, </w:t>
      </w:r>
      <w:proofErr w:type="spellStart"/>
      <w:r w:rsidRPr="002330E2">
        <w:rPr>
          <w:i/>
          <w:iCs/>
          <w:szCs w:val="20"/>
          <w:shd w:val="clear" w:color="auto" w:fill="FFFFFF"/>
        </w:rPr>
        <w:t>moderation</w:t>
      </w:r>
      <w:proofErr w:type="spellEnd"/>
      <w:r w:rsidRPr="002330E2">
        <w:rPr>
          <w:i/>
          <w:iCs/>
          <w:szCs w:val="20"/>
          <w:shd w:val="clear" w:color="auto" w:fill="FFFFFF"/>
        </w:rPr>
        <w:t xml:space="preserve">, </w:t>
      </w:r>
      <w:proofErr w:type="spellStart"/>
      <w:r w:rsidRPr="002330E2">
        <w:rPr>
          <w:i/>
          <w:iCs/>
          <w:szCs w:val="20"/>
          <w:shd w:val="clear" w:color="auto" w:fill="FFFFFF"/>
        </w:rPr>
        <w:t>and</w:t>
      </w:r>
      <w:proofErr w:type="spellEnd"/>
      <w:r w:rsidRPr="002330E2">
        <w:rPr>
          <w:i/>
          <w:iCs/>
          <w:szCs w:val="20"/>
          <w:shd w:val="clear" w:color="auto" w:fill="FFFFFF"/>
        </w:rPr>
        <w:t xml:space="preserve"> </w:t>
      </w:r>
      <w:proofErr w:type="spellStart"/>
      <w:r w:rsidRPr="002330E2">
        <w:rPr>
          <w:i/>
          <w:iCs/>
          <w:szCs w:val="20"/>
          <w:shd w:val="clear" w:color="auto" w:fill="FFFFFF"/>
        </w:rPr>
        <w:t>conditional</w:t>
      </w:r>
      <w:proofErr w:type="spellEnd"/>
      <w:r w:rsidRPr="002330E2">
        <w:rPr>
          <w:i/>
          <w:iCs/>
          <w:szCs w:val="20"/>
          <w:shd w:val="clear" w:color="auto" w:fill="FFFFFF"/>
        </w:rPr>
        <w:t xml:space="preserve"> </w:t>
      </w:r>
      <w:proofErr w:type="spellStart"/>
      <w:r w:rsidRPr="002330E2">
        <w:rPr>
          <w:i/>
          <w:iCs/>
          <w:szCs w:val="20"/>
          <w:shd w:val="clear" w:color="auto" w:fill="FFFFFF"/>
        </w:rPr>
        <w:t>process</w:t>
      </w:r>
      <w:proofErr w:type="spellEnd"/>
      <w:r w:rsidRPr="002330E2">
        <w:rPr>
          <w:i/>
          <w:iCs/>
          <w:szCs w:val="20"/>
          <w:shd w:val="clear" w:color="auto" w:fill="FFFFFF"/>
        </w:rPr>
        <w:t xml:space="preserve"> </w:t>
      </w:r>
      <w:proofErr w:type="spellStart"/>
      <w:r w:rsidRPr="002330E2">
        <w:rPr>
          <w:i/>
          <w:iCs/>
          <w:szCs w:val="20"/>
          <w:shd w:val="clear" w:color="auto" w:fill="FFFFFF"/>
        </w:rPr>
        <w:t>analysis</w:t>
      </w:r>
      <w:proofErr w:type="spellEnd"/>
      <w:r w:rsidRPr="002330E2">
        <w:rPr>
          <w:i/>
          <w:iCs/>
          <w:szCs w:val="20"/>
          <w:shd w:val="clear" w:color="auto" w:fill="FFFFFF"/>
        </w:rPr>
        <w:t xml:space="preserve">: A </w:t>
      </w:r>
      <w:proofErr w:type="spellStart"/>
      <w:r w:rsidRPr="002330E2">
        <w:rPr>
          <w:i/>
          <w:iCs/>
          <w:szCs w:val="20"/>
          <w:shd w:val="clear" w:color="auto" w:fill="FFFFFF"/>
        </w:rPr>
        <w:t>regression-based</w:t>
      </w:r>
      <w:proofErr w:type="spellEnd"/>
      <w:r w:rsidRPr="002330E2">
        <w:rPr>
          <w:i/>
          <w:iCs/>
          <w:szCs w:val="20"/>
          <w:shd w:val="clear" w:color="auto" w:fill="FFFFFF"/>
        </w:rPr>
        <w:t xml:space="preserve"> </w:t>
      </w:r>
      <w:proofErr w:type="spellStart"/>
      <w:r w:rsidRPr="002330E2">
        <w:rPr>
          <w:i/>
          <w:iCs/>
          <w:szCs w:val="20"/>
          <w:shd w:val="clear" w:color="auto" w:fill="FFFFFF"/>
        </w:rPr>
        <w:t>approach</w:t>
      </w:r>
      <w:proofErr w:type="spellEnd"/>
      <w:r w:rsidRPr="002330E2">
        <w:rPr>
          <w:szCs w:val="20"/>
          <w:shd w:val="clear" w:color="auto" w:fill="FFFFFF"/>
        </w:rPr>
        <w:t xml:space="preserve">. </w:t>
      </w:r>
      <w:proofErr w:type="spellStart"/>
      <w:r w:rsidRPr="002330E2">
        <w:rPr>
          <w:szCs w:val="20"/>
          <w:shd w:val="clear" w:color="auto" w:fill="FFFFFF"/>
        </w:rPr>
        <w:t>Guilford</w:t>
      </w:r>
      <w:proofErr w:type="spellEnd"/>
      <w:r w:rsidRPr="002330E2">
        <w:rPr>
          <w:szCs w:val="20"/>
          <w:shd w:val="clear" w:color="auto" w:fill="FFFFFF"/>
        </w:rPr>
        <w:t xml:space="preserve"> </w:t>
      </w:r>
      <w:proofErr w:type="spellStart"/>
      <w:r w:rsidRPr="002330E2">
        <w:rPr>
          <w:szCs w:val="20"/>
          <w:shd w:val="clear" w:color="auto" w:fill="FFFFFF"/>
        </w:rPr>
        <w:t>publications</w:t>
      </w:r>
      <w:proofErr w:type="spellEnd"/>
      <w:r w:rsidRPr="002330E2">
        <w:rPr>
          <w:szCs w:val="20"/>
          <w:shd w:val="clear" w:color="auto" w:fill="FFFFFF"/>
        </w:rPr>
        <w:t>.</w:t>
      </w:r>
    </w:p>
    <w:p w14:paraId="37E11B29" w14:textId="34E77E39" w:rsidR="002E77F5" w:rsidRDefault="002E77F5" w:rsidP="003D56A6">
      <w:pPr>
        <w:ind w:left="851" w:hanging="851"/>
        <w:jc w:val="both"/>
        <w:rPr>
          <w:szCs w:val="20"/>
          <w:shd w:val="clear" w:color="auto" w:fill="FFFFFF"/>
        </w:rPr>
      </w:pPr>
      <w:r w:rsidRPr="00BE019A">
        <w:rPr>
          <w:szCs w:val="20"/>
          <w:shd w:val="clear" w:color="auto" w:fill="FFFFFF"/>
        </w:rPr>
        <w:t xml:space="preserve">John, O. P., &amp; </w:t>
      </w:r>
      <w:proofErr w:type="spellStart"/>
      <w:r w:rsidRPr="00BE019A">
        <w:rPr>
          <w:szCs w:val="20"/>
          <w:shd w:val="clear" w:color="auto" w:fill="FFFFFF"/>
        </w:rPr>
        <w:t>Srivastava</w:t>
      </w:r>
      <w:proofErr w:type="spellEnd"/>
      <w:r w:rsidRPr="00BE019A">
        <w:rPr>
          <w:szCs w:val="20"/>
          <w:shd w:val="clear" w:color="auto" w:fill="FFFFFF"/>
        </w:rPr>
        <w:t xml:space="preserve">, S. (1999). </w:t>
      </w:r>
      <w:proofErr w:type="spellStart"/>
      <w:r w:rsidRPr="00BE019A">
        <w:rPr>
          <w:szCs w:val="20"/>
          <w:shd w:val="clear" w:color="auto" w:fill="FFFFFF"/>
        </w:rPr>
        <w:t>The</w:t>
      </w:r>
      <w:proofErr w:type="spellEnd"/>
      <w:r w:rsidRPr="00BE019A">
        <w:rPr>
          <w:szCs w:val="20"/>
          <w:shd w:val="clear" w:color="auto" w:fill="FFFFFF"/>
        </w:rPr>
        <w:t xml:space="preserve"> Big </w:t>
      </w:r>
      <w:proofErr w:type="spellStart"/>
      <w:r w:rsidRPr="00BE019A">
        <w:rPr>
          <w:szCs w:val="20"/>
          <w:shd w:val="clear" w:color="auto" w:fill="FFFFFF"/>
        </w:rPr>
        <w:t>Five</w:t>
      </w:r>
      <w:proofErr w:type="spellEnd"/>
      <w:r w:rsidRPr="00BE019A">
        <w:rPr>
          <w:szCs w:val="20"/>
          <w:shd w:val="clear" w:color="auto" w:fill="FFFFFF"/>
        </w:rPr>
        <w:t xml:space="preserve"> </w:t>
      </w:r>
      <w:proofErr w:type="spellStart"/>
      <w:r w:rsidRPr="00BE019A">
        <w:rPr>
          <w:szCs w:val="20"/>
          <w:shd w:val="clear" w:color="auto" w:fill="FFFFFF"/>
        </w:rPr>
        <w:t>trait</w:t>
      </w:r>
      <w:proofErr w:type="spellEnd"/>
      <w:r w:rsidRPr="00BE019A">
        <w:rPr>
          <w:szCs w:val="20"/>
          <w:shd w:val="clear" w:color="auto" w:fill="FFFFFF"/>
        </w:rPr>
        <w:t xml:space="preserve"> </w:t>
      </w:r>
      <w:proofErr w:type="spellStart"/>
      <w:r w:rsidRPr="00BE019A">
        <w:rPr>
          <w:szCs w:val="20"/>
          <w:shd w:val="clear" w:color="auto" w:fill="FFFFFF"/>
        </w:rPr>
        <w:t>taxonomy</w:t>
      </w:r>
      <w:proofErr w:type="spellEnd"/>
      <w:r w:rsidRPr="00BE019A">
        <w:rPr>
          <w:szCs w:val="20"/>
          <w:shd w:val="clear" w:color="auto" w:fill="FFFFFF"/>
        </w:rPr>
        <w:t xml:space="preserve">: </w:t>
      </w:r>
      <w:proofErr w:type="spellStart"/>
      <w:r w:rsidRPr="00BE019A">
        <w:rPr>
          <w:szCs w:val="20"/>
          <w:shd w:val="clear" w:color="auto" w:fill="FFFFFF"/>
        </w:rPr>
        <w:t>History</w:t>
      </w:r>
      <w:proofErr w:type="spellEnd"/>
      <w:r w:rsidRPr="00BE019A">
        <w:rPr>
          <w:szCs w:val="20"/>
          <w:shd w:val="clear" w:color="auto" w:fill="FFFFFF"/>
        </w:rPr>
        <w:t xml:space="preserve">, </w:t>
      </w:r>
      <w:proofErr w:type="spellStart"/>
      <w:r w:rsidRPr="00BE019A">
        <w:rPr>
          <w:szCs w:val="20"/>
          <w:shd w:val="clear" w:color="auto" w:fill="FFFFFF"/>
        </w:rPr>
        <w:t>measurement</w:t>
      </w:r>
      <w:proofErr w:type="spellEnd"/>
      <w:r w:rsidRPr="00BE019A">
        <w:rPr>
          <w:szCs w:val="20"/>
          <w:shd w:val="clear" w:color="auto" w:fill="FFFFFF"/>
        </w:rPr>
        <w:t xml:space="preserve">, </w:t>
      </w:r>
      <w:proofErr w:type="spellStart"/>
      <w:r w:rsidRPr="00BE019A">
        <w:rPr>
          <w:szCs w:val="20"/>
          <w:shd w:val="clear" w:color="auto" w:fill="FFFFFF"/>
        </w:rPr>
        <w:t>and</w:t>
      </w:r>
      <w:proofErr w:type="spellEnd"/>
      <w:r w:rsidRPr="00BE019A">
        <w:rPr>
          <w:szCs w:val="20"/>
          <w:shd w:val="clear" w:color="auto" w:fill="FFFFFF"/>
        </w:rPr>
        <w:t xml:space="preserve"> </w:t>
      </w:r>
      <w:proofErr w:type="spellStart"/>
      <w:r w:rsidRPr="00BE019A">
        <w:rPr>
          <w:szCs w:val="20"/>
          <w:shd w:val="clear" w:color="auto" w:fill="FFFFFF"/>
        </w:rPr>
        <w:t>theoretical</w:t>
      </w:r>
      <w:proofErr w:type="spellEnd"/>
      <w:r w:rsidRPr="00BE019A">
        <w:rPr>
          <w:szCs w:val="20"/>
          <w:shd w:val="clear" w:color="auto" w:fill="FFFFFF"/>
        </w:rPr>
        <w:t xml:space="preserve"> </w:t>
      </w:r>
      <w:proofErr w:type="spellStart"/>
      <w:r w:rsidRPr="00BE019A">
        <w:rPr>
          <w:szCs w:val="20"/>
          <w:shd w:val="clear" w:color="auto" w:fill="FFFFFF"/>
        </w:rPr>
        <w:t>perspectives</w:t>
      </w:r>
      <w:proofErr w:type="spellEnd"/>
      <w:r w:rsidRPr="00BE019A">
        <w:rPr>
          <w:szCs w:val="20"/>
          <w:shd w:val="clear" w:color="auto" w:fill="FFFFFF"/>
        </w:rPr>
        <w:t>. </w:t>
      </w:r>
      <w:proofErr w:type="spellStart"/>
      <w:r w:rsidRPr="00BE019A">
        <w:rPr>
          <w:i/>
          <w:iCs/>
          <w:szCs w:val="20"/>
          <w:shd w:val="clear" w:color="auto" w:fill="FFFFFF"/>
        </w:rPr>
        <w:t>Handbook</w:t>
      </w:r>
      <w:proofErr w:type="spellEnd"/>
      <w:r w:rsidRPr="00BE019A">
        <w:rPr>
          <w:i/>
          <w:iCs/>
          <w:szCs w:val="20"/>
          <w:shd w:val="clear" w:color="auto" w:fill="FFFFFF"/>
        </w:rPr>
        <w:t xml:space="preserve"> </w:t>
      </w:r>
      <w:proofErr w:type="spellStart"/>
      <w:r w:rsidRPr="00BE019A">
        <w:rPr>
          <w:i/>
          <w:iCs/>
          <w:szCs w:val="20"/>
          <w:shd w:val="clear" w:color="auto" w:fill="FFFFFF"/>
        </w:rPr>
        <w:t>of</w:t>
      </w:r>
      <w:proofErr w:type="spellEnd"/>
      <w:r w:rsidRPr="00BE019A">
        <w:rPr>
          <w:i/>
          <w:iCs/>
          <w:szCs w:val="20"/>
          <w:shd w:val="clear" w:color="auto" w:fill="FFFFFF"/>
        </w:rPr>
        <w:t xml:space="preserve"> </w:t>
      </w:r>
      <w:proofErr w:type="spellStart"/>
      <w:r w:rsidRPr="00BE019A">
        <w:rPr>
          <w:i/>
          <w:iCs/>
          <w:szCs w:val="20"/>
          <w:shd w:val="clear" w:color="auto" w:fill="FFFFFF"/>
        </w:rPr>
        <w:t>personality</w:t>
      </w:r>
      <w:proofErr w:type="spellEnd"/>
      <w:r w:rsidRPr="00BE019A">
        <w:rPr>
          <w:i/>
          <w:iCs/>
          <w:szCs w:val="20"/>
          <w:shd w:val="clear" w:color="auto" w:fill="FFFFFF"/>
        </w:rPr>
        <w:t xml:space="preserve">: </w:t>
      </w:r>
      <w:proofErr w:type="spellStart"/>
      <w:r w:rsidRPr="00BE019A">
        <w:rPr>
          <w:i/>
          <w:iCs/>
          <w:szCs w:val="20"/>
          <w:shd w:val="clear" w:color="auto" w:fill="FFFFFF"/>
        </w:rPr>
        <w:t>Theory</w:t>
      </w:r>
      <w:proofErr w:type="spellEnd"/>
      <w:r w:rsidRPr="00BE019A">
        <w:rPr>
          <w:i/>
          <w:iCs/>
          <w:szCs w:val="20"/>
          <w:shd w:val="clear" w:color="auto" w:fill="FFFFFF"/>
        </w:rPr>
        <w:t xml:space="preserve"> </w:t>
      </w:r>
      <w:proofErr w:type="spellStart"/>
      <w:r w:rsidRPr="00BE019A">
        <w:rPr>
          <w:i/>
          <w:iCs/>
          <w:szCs w:val="20"/>
          <w:shd w:val="clear" w:color="auto" w:fill="FFFFFF"/>
        </w:rPr>
        <w:t>and</w:t>
      </w:r>
      <w:proofErr w:type="spellEnd"/>
      <w:r w:rsidRPr="00BE019A">
        <w:rPr>
          <w:i/>
          <w:iCs/>
          <w:szCs w:val="20"/>
          <w:shd w:val="clear" w:color="auto" w:fill="FFFFFF"/>
        </w:rPr>
        <w:t xml:space="preserve"> </w:t>
      </w:r>
      <w:proofErr w:type="spellStart"/>
      <w:r w:rsidRPr="00BE019A">
        <w:rPr>
          <w:i/>
          <w:iCs/>
          <w:szCs w:val="20"/>
          <w:shd w:val="clear" w:color="auto" w:fill="FFFFFF"/>
        </w:rPr>
        <w:t>research</w:t>
      </w:r>
      <w:proofErr w:type="spellEnd"/>
      <w:r w:rsidRPr="00BE019A">
        <w:rPr>
          <w:szCs w:val="20"/>
          <w:shd w:val="clear" w:color="auto" w:fill="FFFFFF"/>
        </w:rPr>
        <w:t>, </w:t>
      </w:r>
      <w:r w:rsidRPr="00BE019A">
        <w:rPr>
          <w:i/>
          <w:iCs/>
          <w:szCs w:val="20"/>
          <w:shd w:val="clear" w:color="auto" w:fill="FFFFFF"/>
        </w:rPr>
        <w:t>2</w:t>
      </w:r>
      <w:r w:rsidR="00A934C4" w:rsidRPr="00BE019A">
        <w:rPr>
          <w:szCs w:val="20"/>
          <w:shd w:val="clear" w:color="auto" w:fill="FFFFFF"/>
        </w:rPr>
        <w:t>,</w:t>
      </w:r>
      <w:r w:rsidRPr="00BE019A">
        <w:rPr>
          <w:szCs w:val="20"/>
          <w:shd w:val="clear" w:color="auto" w:fill="FFFFFF"/>
        </w:rPr>
        <w:t xml:space="preserve"> 102-138.</w:t>
      </w:r>
    </w:p>
    <w:p w14:paraId="2FE232A4" w14:textId="3F9721C5" w:rsidR="00DD26C2" w:rsidRPr="00BE019A" w:rsidRDefault="00DD26C2" w:rsidP="003D56A6">
      <w:pPr>
        <w:ind w:left="851" w:hanging="851"/>
        <w:jc w:val="both"/>
        <w:rPr>
          <w:lang w:val="en-GB"/>
        </w:rPr>
      </w:pPr>
      <w:proofErr w:type="spellStart"/>
      <w:r w:rsidRPr="00BE019A">
        <w:rPr>
          <w:lang w:val="en-GB"/>
        </w:rPr>
        <w:t>Kardum</w:t>
      </w:r>
      <w:proofErr w:type="spellEnd"/>
      <w:r w:rsidRPr="00BE019A">
        <w:rPr>
          <w:lang w:val="en-GB"/>
        </w:rPr>
        <w:t xml:space="preserve">, I., </w:t>
      </w:r>
      <w:proofErr w:type="spellStart"/>
      <w:r w:rsidRPr="00BE019A">
        <w:rPr>
          <w:lang w:val="en-GB"/>
        </w:rPr>
        <w:t>Gračanin</w:t>
      </w:r>
      <w:proofErr w:type="spellEnd"/>
      <w:r w:rsidRPr="00BE019A">
        <w:rPr>
          <w:lang w:val="en-GB"/>
        </w:rPr>
        <w:t xml:space="preserve">, A., &amp; </w:t>
      </w:r>
      <w:proofErr w:type="spellStart"/>
      <w:r w:rsidRPr="00BE019A">
        <w:rPr>
          <w:lang w:val="en-GB"/>
        </w:rPr>
        <w:t>Hudek-Knežević</w:t>
      </w:r>
      <w:proofErr w:type="spellEnd"/>
      <w:r w:rsidRPr="00BE019A">
        <w:rPr>
          <w:lang w:val="en-GB"/>
        </w:rPr>
        <w:t xml:space="preserve">, J. (2006). </w:t>
      </w:r>
      <w:proofErr w:type="spellStart"/>
      <w:r w:rsidRPr="00BE019A">
        <w:rPr>
          <w:lang w:val="en-GB"/>
        </w:rPr>
        <w:t>Odnos</w:t>
      </w:r>
      <w:proofErr w:type="spellEnd"/>
      <w:r w:rsidRPr="00BE019A">
        <w:rPr>
          <w:lang w:val="en-GB"/>
        </w:rPr>
        <w:t xml:space="preserve"> </w:t>
      </w:r>
      <w:proofErr w:type="spellStart"/>
      <w:r w:rsidRPr="00BE019A">
        <w:rPr>
          <w:lang w:val="en-GB"/>
        </w:rPr>
        <w:t>crta</w:t>
      </w:r>
      <w:proofErr w:type="spellEnd"/>
      <w:r w:rsidRPr="00BE019A">
        <w:rPr>
          <w:lang w:val="en-GB"/>
        </w:rPr>
        <w:t xml:space="preserve"> </w:t>
      </w:r>
      <w:proofErr w:type="spellStart"/>
      <w:r w:rsidRPr="00BE019A">
        <w:rPr>
          <w:lang w:val="en-GB"/>
        </w:rPr>
        <w:t>ličnosti</w:t>
      </w:r>
      <w:proofErr w:type="spellEnd"/>
      <w:r w:rsidRPr="00BE019A">
        <w:rPr>
          <w:lang w:val="en-GB"/>
        </w:rPr>
        <w:t xml:space="preserve"> </w:t>
      </w:r>
      <w:proofErr w:type="spellStart"/>
      <w:r w:rsidRPr="00BE019A">
        <w:rPr>
          <w:lang w:val="en-GB"/>
        </w:rPr>
        <w:t>i</w:t>
      </w:r>
      <w:proofErr w:type="spellEnd"/>
      <w:r w:rsidRPr="00BE019A">
        <w:rPr>
          <w:lang w:val="en-GB"/>
        </w:rPr>
        <w:t xml:space="preserve"> </w:t>
      </w:r>
      <w:proofErr w:type="spellStart"/>
      <w:r w:rsidRPr="00BE019A">
        <w:rPr>
          <w:lang w:val="en-GB"/>
        </w:rPr>
        <w:t>stilova</w:t>
      </w:r>
      <w:proofErr w:type="spellEnd"/>
      <w:r w:rsidRPr="00BE019A">
        <w:rPr>
          <w:lang w:val="en-GB"/>
        </w:rPr>
        <w:t xml:space="preserve"> </w:t>
      </w:r>
      <w:proofErr w:type="spellStart"/>
      <w:r w:rsidRPr="00BE019A">
        <w:rPr>
          <w:lang w:val="en-GB"/>
        </w:rPr>
        <w:t>privrženosti</w:t>
      </w:r>
      <w:proofErr w:type="spellEnd"/>
      <w:r w:rsidRPr="00BE019A">
        <w:rPr>
          <w:lang w:val="en-GB"/>
        </w:rPr>
        <w:t xml:space="preserve"> s </w:t>
      </w:r>
      <w:proofErr w:type="spellStart"/>
      <w:r w:rsidRPr="00BE019A">
        <w:rPr>
          <w:lang w:val="en-GB"/>
        </w:rPr>
        <w:t>različitim</w:t>
      </w:r>
      <w:proofErr w:type="spellEnd"/>
      <w:r w:rsidRPr="00BE019A">
        <w:rPr>
          <w:lang w:val="en-GB"/>
        </w:rPr>
        <w:t xml:space="preserve"> </w:t>
      </w:r>
      <w:proofErr w:type="spellStart"/>
      <w:r w:rsidRPr="00BE019A">
        <w:rPr>
          <w:lang w:val="en-GB"/>
        </w:rPr>
        <w:t>aspektima</w:t>
      </w:r>
      <w:proofErr w:type="spellEnd"/>
      <w:r w:rsidRPr="00BE019A">
        <w:rPr>
          <w:lang w:val="en-GB"/>
        </w:rPr>
        <w:t xml:space="preserve"> </w:t>
      </w:r>
      <w:proofErr w:type="spellStart"/>
      <w:r w:rsidRPr="00BE019A">
        <w:rPr>
          <w:lang w:val="en-GB"/>
        </w:rPr>
        <w:t>seksualnosti</w:t>
      </w:r>
      <w:proofErr w:type="spellEnd"/>
      <w:r w:rsidRPr="00BE019A">
        <w:rPr>
          <w:lang w:val="en-GB"/>
        </w:rPr>
        <w:t xml:space="preserve"> </w:t>
      </w:r>
      <w:proofErr w:type="spellStart"/>
      <w:r w:rsidRPr="00BE019A">
        <w:rPr>
          <w:lang w:val="en-GB"/>
        </w:rPr>
        <w:t>kod</w:t>
      </w:r>
      <w:proofErr w:type="spellEnd"/>
      <w:r w:rsidRPr="00BE019A">
        <w:rPr>
          <w:lang w:val="en-GB"/>
        </w:rPr>
        <w:t xml:space="preserve"> </w:t>
      </w:r>
      <w:proofErr w:type="spellStart"/>
      <w:r w:rsidRPr="00BE019A">
        <w:rPr>
          <w:lang w:val="en-GB"/>
        </w:rPr>
        <w:t>žena</w:t>
      </w:r>
      <w:proofErr w:type="spellEnd"/>
      <w:r w:rsidRPr="00BE019A">
        <w:rPr>
          <w:lang w:val="en-GB"/>
        </w:rPr>
        <w:t xml:space="preserve"> </w:t>
      </w:r>
      <w:proofErr w:type="spellStart"/>
      <w:r w:rsidRPr="00BE019A">
        <w:rPr>
          <w:lang w:val="en-GB"/>
        </w:rPr>
        <w:t>i</w:t>
      </w:r>
      <w:proofErr w:type="spellEnd"/>
      <w:r w:rsidRPr="00BE019A">
        <w:rPr>
          <w:lang w:val="en-GB"/>
        </w:rPr>
        <w:t xml:space="preserve"> </w:t>
      </w:r>
      <w:proofErr w:type="spellStart"/>
      <w:r w:rsidRPr="00BE019A">
        <w:rPr>
          <w:lang w:val="en-GB"/>
        </w:rPr>
        <w:t>muškaraca</w:t>
      </w:r>
      <w:proofErr w:type="spellEnd"/>
      <w:r w:rsidRPr="00BE019A">
        <w:rPr>
          <w:lang w:val="en-GB"/>
        </w:rPr>
        <w:t xml:space="preserve">. </w:t>
      </w:r>
      <w:r>
        <w:rPr>
          <w:lang w:val="en-GB"/>
        </w:rPr>
        <w:t xml:space="preserve">[Personality traits and attachment styles in relation to different aspects of sexuality in women and men.] </w:t>
      </w:r>
      <w:proofErr w:type="spellStart"/>
      <w:r w:rsidRPr="00BE019A">
        <w:rPr>
          <w:i/>
          <w:lang w:val="en-GB"/>
        </w:rPr>
        <w:t>Psihologijske</w:t>
      </w:r>
      <w:proofErr w:type="spellEnd"/>
      <w:r w:rsidRPr="00BE019A">
        <w:rPr>
          <w:i/>
          <w:lang w:val="en-GB"/>
        </w:rPr>
        <w:t xml:space="preserve"> </w:t>
      </w:r>
      <w:proofErr w:type="spellStart"/>
      <w:r w:rsidRPr="00BE019A">
        <w:rPr>
          <w:i/>
          <w:lang w:val="en-GB"/>
        </w:rPr>
        <w:t>teme</w:t>
      </w:r>
      <w:proofErr w:type="spellEnd"/>
      <w:r w:rsidRPr="00BE019A">
        <w:rPr>
          <w:i/>
          <w:lang w:val="en-GB"/>
        </w:rPr>
        <w:t>, 15</w:t>
      </w:r>
      <w:r w:rsidRPr="00BE019A">
        <w:rPr>
          <w:lang w:val="en-GB"/>
        </w:rPr>
        <w:t>(1), 101-128.</w:t>
      </w:r>
    </w:p>
    <w:p w14:paraId="64A61EB4" w14:textId="4C2F5C7A" w:rsidR="002136BC" w:rsidRPr="002330E2" w:rsidRDefault="002136BC" w:rsidP="003D56A6">
      <w:pPr>
        <w:ind w:left="851" w:hanging="851"/>
        <w:jc w:val="both"/>
        <w:rPr>
          <w:lang w:val="en-GB"/>
        </w:rPr>
      </w:pPr>
      <w:proofErr w:type="spellStart"/>
      <w:r w:rsidRPr="002330E2">
        <w:rPr>
          <w:lang w:val="en-GB"/>
        </w:rPr>
        <w:t>Komarraju</w:t>
      </w:r>
      <w:proofErr w:type="spellEnd"/>
      <w:r w:rsidRPr="002330E2">
        <w:rPr>
          <w:lang w:val="en-GB"/>
        </w:rPr>
        <w:t xml:space="preserve">, M., Karau, S. J., &amp; </w:t>
      </w:r>
      <w:proofErr w:type="spellStart"/>
      <w:r w:rsidRPr="002330E2">
        <w:rPr>
          <w:lang w:val="en-GB"/>
        </w:rPr>
        <w:t>Schmeck</w:t>
      </w:r>
      <w:proofErr w:type="spellEnd"/>
      <w:r w:rsidRPr="002330E2">
        <w:rPr>
          <w:lang w:val="en-GB"/>
        </w:rPr>
        <w:t xml:space="preserve">, R. R. (2009). Role of the Big Five personality traits in predicting college students' academic motivation and achievement. </w:t>
      </w:r>
      <w:r w:rsidRPr="002330E2">
        <w:rPr>
          <w:i/>
          <w:lang w:val="en-GB"/>
        </w:rPr>
        <w:t>Learning and individual differences, 19</w:t>
      </w:r>
      <w:r w:rsidRPr="002330E2">
        <w:rPr>
          <w:lang w:val="en-GB"/>
        </w:rPr>
        <w:t>(1), 47-52.</w:t>
      </w:r>
    </w:p>
    <w:p w14:paraId="4FFB9B6C" w14:textId="47FF3D2D" w:rsidR="002136BC" w:rsidRPr="00BE019A" w:rsidRDefault="002136BC" w:rsidP="003D56A6">
      <w:pPr>
        <w:ind w:left="851" w:hanging="851"/>
        <w:jc w:val="both"/>
        <w:rPr>
          <w:szCs w:val="20"/>
          <w:shd w:val="clear" w:color="auto" w:fill="FFFFFF"/>
          <w:lang w:val="en-GB"/>
        </w:rPr>
      </w:pPr>
      <w:proofErr w:type="spellStart"/>
      <w:r w:rsidRPr="00BE019A">
        <w:rPr>
          <w:szCs w:val="20"/>
          <w:shd w:val="clear" w:color="auto" w:fill="FFFFFF"/>
          <w:lang w:val="en-GB"/>
        </w:rPr>
        <w:t>Komarraju</w:t>
      </w:r>
      <w:proofErr w:type="spellEnd"/>
      <w:r w:rsidRPr="00BE019A">
        <w:rPr>
          <w:szCs w:val="20"/>
          <w:shd w:val="clear" w:color="auto" w:fill="FFFFFF"/>
          <w:lang w:val="en-GB"/>
        </w:rPr>
        <w:t xml:space="preserve">, M., Karau, S. J., </w:t>
      </w:r>
      <w:proofErr w:type="spellStart"/>
      <w:r w:rsidRPr="00BE019A">
        <w:rPr>
          <w:szCs w:val="20"/>
          <w:shd w:val="clear" w:color="auto" w:fill="FFFFFF"/>
          <w:lang w:val="en-GB"/>
        </w:rPr>
        <w:t>Schmeck</w:t>
      </w:r>
      <w:proofErr w:type="spellEnd"/>
      <w:r w:rsidRPr="00BE019A">
        <w:rPr>
          <w:szCs w:val="20"/>
          <w:shd w:val="clear" w:color="auto" w:fill="FFFFFF"/>
          <w:lang w:val="en-GB"/>
        </w:rPr>
        <w:t xml:space="preserve">, R. R., &amp; </w:t>
      </w:r>
      <w:proofErr w:type="spellStart"/>
      <w:r w:rsidRPr="00BE019A">
        <w:rPr>
          <w:szCs w:val="20"/>
          <w:shd w:val="clear" w:color="auto" w:fill="FFFFFF"/>
          <w:lang w:val="en-GB"/>
        </w:rPr>
        <w:t>Avdic</w:t>
      </w:r>
      <w:proofErr w:type="spellEnd"/>
      <w:r w:rsidRPr="00BE019A">
        <w:rPr>
          <w:szCs w:val="20"/>
          <w:shd w:val="clear" w:color="auto" w:fill="FFFFFF"/>
          <w:lang w:val="en-GB"/>
        </w:rPr>
        <w:t>, A. (2011). The Big Five personality traits, learning styles, and academic achievement. </w:t>
      </w:r>
      <w:r w:rsidRPr="00BE019A">
        <w:rPr>
          <w:i/>
          <w:iCs/>
          <w:szCs w:val="20"/>
          <w:shd w:val="clear" w:color="auto" w:fill="FFFFFF"/>
          <w:lang w:val="en-GB"/>
        </w:rPr>
        <w:t>Personality and individual differences</w:t>
      </w:r>
      <w:r w:rsidRPr="00BE019A">
        <w:rPr>
          <w:szCs w:val="20"/>
          <w:shd w:val="clear" w:color="auto" w:fill="FFFFFF"/>
          <w:lang w:val="en-GB"/>
        </w:rPr>
        <w:t>, </w:t>
      </w:r>
      <w:r w:rsidRPr="00BE019A">
        <w:rPr>
          <w:i/>
          <w:iCs/>
          <w:szCs w:val="20"/>
          <w:shd w:val="clear" w:color="auto" w:fill="FFFFFF"/>
          <w:lang w:val="en-GB"/>
        </w:rPr>
        <w:t>51</w:t>
      </w:r>
      <w:r w:rsidRPr="00BE019A">
        <w:rPr>
          <w:szCs w:val="20"/>
          <w:shd w:val="clear" w:color="auto" w:fill="FFFFFF"/>
          <w:lang w:val="en-GB"/>
        </w:rPr>
        <w:t>(4), 472-477.</w:t>
      </w:r>
    </w:p>
    <w:p w14:paraId="25DAB679" w14:textId="5573956F" w:rsidR="006B27EC" w:rsidRPr="002330E2" w:rsidRDefault="006B27EC" w:rsidP="006B27EC">
      <w:pPr>
        <w:autoSpaceDE w:val="0"/>
        <w:autoSpaceDN w:val="0"/>
        <w:adjustRightInd w:val="0"/>
        <w:ind w:left="709" w:hanging="709"/>
        <w:rPr>
          <w:rFonts w:ascii="Times-Roman" w:eastAsiaTheme="minorHAnsi" w:hAnsi="Times-Roman" w:cs="Times-Roman"/>
          <w:lang w:val="en-GB" w:eastAsia="en-US"/>
        </w:rPr>
      </w:pPr>
      <w:proofErr w:type="spellStart"/>
      <w:r w:rsidRPr="002330E2">
        <w:rPr>
          <w:rFonts w:ascii="Times-Roman" w:eastAsiaTheme="minorHAnsi" w:hAnsi="Times-Roman" w:cs="Times-Roman"/>
          <w:lang w:val="en-GB" w:eastAsia="en-US"/>
        </w:rPr>
        <w:t>Lon</w:t>
      </w:r>
      <w:r w:rsidRPr="002330E2">
        <w:rPr>
          <w:rFonts w:ascii="TimesNewRomanRegular" w:eastAsiaTheme="minorHAnsi" w:hAnsi="TimesNewRomanRegular" w:cs="TimesNewRomanRegular"/>
          <w:lang w:val="en-GB" w:eastAsia="en-US"/>
        </w:rPr>
        <w:t>č</w:t>
      </w:r>
      <w:r w:rsidRPr="002330E2">
        <w:rPr>
          <w:rFonts w:ascii="Times-Roman" w:eastAsiaTheme="minorHAnsi" w:hAnsi="Times-Roman" w:cs="Times-Roman"/>
          <w:lang w:val="en-GB" w:eastAsia="en-US"/>
        </w:rPr>
        <w:t>ari</w:t>
      </w:r>
      <w:r w:rsidRPr="002330E2">
        <w:rPr>
          <w:rFonts w:ascii="TimesNewRomanRegular" w:eastAsiaTheme="minorHAnsi" w:hAnsi="TimesNewRomanRegular" w:cs="TimesNewRomanRegular"/>
          <w:lang w:val="en-GB" w:eastAsia="en-US"/>
        </w:rPr>
        <w:t>ć</w:t>
      </w:r>
      <w:proofErr w:type="spellEnd"/>
      <w:r w:rsidRPr="002330E2">
        <w:rPr>
          <w:rFonts w:ascii="Times-Roman" w:eastAsiaTheme="minorHAnsi" w:hAnsi="Times-Roman" w:cs="Times-Roman"/>
          <w:lang w:val="en-GB" w:eastAsia="en-US"/>
        </w:rPr>
        <w:t xml:space="preserve">, D. (2008). </w:t>
      </w:r>
      <w:proofErr w:type="spellStart"/>
      <w:r w:rsidRPr="002330E2">
        <w:rPr>
          <w:rFonts w:ascii="Times-Roman" w:eastAsiaTheme="minorHAnsi" w:hAnsi="Times-Roman" w:cs="Times-Roman"/>
          <w:lang w:val="en-GB" w:eastAsia="en-US"/>
        </w:rPr>
        <w:t>Kognitivni</w:t>
      </w:r>
      <w:proofErr w:type="spellEnd"/>
      <w:r w:rsidRPr="002330E2">
        <w:rPr>
          <w:rFonts w:ascii="Times-Roman" w:eastAsiaTheme="minorHAnsi" w:hAnsi="Times-Roman" w:cs="Times-Roman"/>
          <w:lang w:val="en-GB" w:eastAsia="en-US"/>
        </w:rPr>
        <w:t xml:space="preserve"> in </w:t>
      </w:r>
      <w:proofErr w:type="spellStart"/>
      <w:r w:rsidRPr="002330E2">
        <w:rPr>
          <w:rFonts w:ascii="Times-Roman" w:eastAsiaTheme="minorHAnsi" w:hAnsi="Times-Roman" w:cs="Times-Roman"/>
          <w:lang w:val="en-GB" w:eastAsia="en-US"/>
        </w:rPr>
        <w:t>motivacijski</w:t>
      </w:r>
      <w:proofErr w:type="spellEnd"/>
      <w:r w:rsidRPr="002330E2">
        <w:rPr>
          <w:rFonts w:ascii="Times-Roman" w:eastAsiaTheme="minorHAnsi" w:hAnsi="Times-Roman" w:cs="Times-Roman"/>
          <w:lang w:val="en-GB" w:eastAsia="en-US"/>
        </w:rPr>
        <w:t xml:space="preserve"> </w:t>
      </w:r>
      <w:proofErr w:type="spellStart"/>
      <w:r w:rsidRPr="002330E2">
        <w:rPr>
          <w:rFonts w:ascii="Times-Roman" w:eastAsiaTheme="minorHAnsi" w:hAnsi="Times-Roman" w:cs="Times-Roman"/>
          <w:lang w:val="en-GB" w:eastAsia="en-US"/>
        </w:rPr>
        <w:t>dejavniki</w:t>
      </w:r>
      <w:proofErr w:type="spellEnd"/>
      <w:r w:rsidRPr="002330E2">
        <w:rPr>
          <w:rFonts w:ascii="Times-Roman" w:eastAsiaTheme="minorHAnsi" w:hAnsi="Times-Roman" w:cs="Times-Roman"/>
          <w:lang w:val="en-GB" w:eastAsia="en-US"/>
        </w:rPr>
        <w:t xml:space="preserve"> </w:t>
      </w:r>
      <w:proofErr w:type="spellStart"/>
      <w:r w:rsidRPr="002330E2">
        <w:rPr>
          <w:rFonts w:ascii="Times-Roman" w:eastAsiaTheme="minorHAnsi" w:hAnsi="Times-Roman" w:cs="Times-Roman"/>
          <w:lang w:val="en-GB" w:eastAsia="en-US"/>
        </w:rPr>
        <w:t>procesov</w:t>
      </w:r>
      <w:proofErr w:type="spellEnd"/>
      <w:r w:rsidRPr="002330E2">
        <w:rPr>
          <w:rFonts w:ascii="Times-Roman" w:eastAsiaTheme="minorHAnsi" w:hAnsi="Times-Roman" w:cs="Times-Roman"/>
          <w:lang w:val="en-GB" w:eastAsia="en-US"/>
        </w:rPr>
        <w:t xml:space="preserve"> </w:t>
      </w:r>
      <w:proofErr w:type="spellStart"/>
      <w:r w:rsidRPr="002330E2">
        <w:rPr>
          <w:rFonts w:ascii="Times-Roman" w:eastAsiaTheme="minorHAnsi" w:hAnsi="Times-Roman" w:cs="Times-Roman"/>
          <w:lang w:val="en-GB" w:eastAsia="en-US"/>
        </w:rPr>
        <w:t>samoregulacije</w:t>
      </w:r>
      <w:proofErr w:type="spellEnd"/>
      <w:r w:rsidRPr="002330E2">
        <w:rPr>
          <w:rFonts w:ascii="Times-Roman" w:eastAsiaTheme="minorHAnsi" w:hAnsi="Times-Roman" w:cs="Times-Roman"/>
          <w:lang w:val="en-GB" w:eastAsia="en-US"/>
        </w:rPr>
        <w:t xml:space="preserve"> </w:t>
      </w:r>
      <w:proofErr w:type="spellStart"/>
      <w:r w:rsidRPr="002330E2">
        <w:rPr>
          <w:rFonts w:ascii="Times-Roman" w:eastAsiaTheme="minorHAnsi" w:hAnsi="Times-Roman" w:cs="Times-Roman"/>
          <w:lang w:val="en-GB" w:eastAsia="en-US"/>
        </w:rPr>
        <w:t>pri</w:t>
      </w:r>
      <w:proofErr w:type="spellEnd"/>
      <w:r w:rsidRPr="002330E2">
        <w:rPr>
          <w:rFonts w:ascii="Times-Roman" w:eastAsiaTheme="minorHAnsi" w:hAnsi="Times-Roman" w:cs="Times-Roman"/>
          <w:lang w:val="en-GB" w:eastAsia="en-US"/>
        </w:rPr>
        <w:t xml:space="preserve"> </w:t>
      </w:r>
      <w:proofErr w:type="spellStart"/>
      <w:r w:rsidRPr="002330E2">
        <w:rPr>
          <w:rFonts w:ascii="Times-Roman" w:eastAsiaTheme="minorHAnsi" w:hAnsi="Times-Roman" w:cs="Times-Roman"/>
          <w:lang w:val="en-GB" w:eastAsia="en-US"/>
        </w:rPr>
        <w:t>ucenju</w:t>
      </w:r>
      <w:proofErr w:type="spellEnd"/>
      <w:r w:rsidRPr="002330E2">
        <w:rPr>
          <w:rFonts w:ascii="Times-Roman" w:eastAsiaTheme="minorHAnsi" w:hAnsi="Times-Roman" w:cs="Times-Roman"/>
          <w:lang w:val="en-GB" w:eastAsia="en-US"/>
        </w:rPr>
        <w:t xml:space="preserve"> in </w:t>
      </w:r>
      <w:proofErr w:type="spellStart"/>
      <w:r w:rsidRPr="002330E2">
        <w:rPr>
          <w:rFonts w:ascii="Times-Roman" w:eastAsiaTheme="minorHAnsi" w:hAnsi="Times-Roman" w:cs="Times-Roman"/>
          <w:lang w:val="en-GB" w:eastAsia="en-US"/>
        </w:rPr>
        <w:t>soocanju</w:t>
      </w:r>
      <w:proofErr w:type="spellEnd"/>
      <w:r w:rsidRPr="002330E2">
        <w:rPr>
          <w:rFonts w:ascii="Times-Roman" w:eastAsiaTheme="minorHAnsi" w:hAnsi="Times-Roman" w:cs="Times-Roman"/>
          <w:lang w:val="en-GB" w:eastAsia="en-US"/>
        </w:rPr>
        <w:t xml:space="preserve"> s </w:t>
      </w:r>
      <w:proofErr w:type="spellStart"/>
      <w:r w:rsidRPr="002330E2">
        <w:rPr>
          <w:rFonts w:ascii="Times-Roman" w:eastAsiaTheme="minorHAnsi" w:hAnsi="Times-Roman" w:cs="Times-Roman"/>
          <w:lang w:val="en-GB" w:eastAsia="en-US"/>
        </w:rPr>
        <w:t>solskim</w:t>
      </w:r>
      <w:proofErr w:type="spellEnd"/>
      <w:r w:rsidRPr="002330E2">
        <w:rPr>
          <w:rFonts w:ascii="Times-Roman" w:eastAsiaTheme="minorHAnsi" w:hAnsi="Times-Roman" w:cs="Times-Roman"/>
          <w:lang w:val="en-GB" w:eastAsia="en-US"/>
        </w:rPr>
        <w:t xml:space="preserve"> </w:t>
      </w:r>
      <w:proofErr w:type="spellStart"/>
      <w:r w:rsidRPr="002330E2">
        <w:rPr>
          <w:rFonts w:ascii="Times-Roman" w:eastAsiaTheme="minorHAnsi" w:hAnsi="Times-Roman" w:cs="Times-Roman"/>
          <w:lang w:val="en-GB" w:eastAsia="en-US"/>
        </w:rPr>
        <w:t>neuspehom</w:t>
      </w:r>
      <w:proofErr w:type="spellEnd"/>
      <w:r w:rsidRPr="002330E2">
        <w:rPr>
          <w:rFonts w:ascii="Times-Roman" w:eastAsiaTheme="minorHAnsi" w:hAnsi="Times-Roman" w:cs="Times-Roman"/>
          <w:lang w:val="en-GB" w:eastAsia="en-US"/>
        </w:rPr>
        <w:t xml:space="preserve"> [Cognitive and motivational factors in self-regulation of learning and coping with school failure]. Unpublished doctoral dissertation, Department of Psychology, University of Ljubljana, Slovenia.</w:t>
      </w:r>
    </w:p>
    <w:p w14:paraId="29DF7966" w14:textId="5C16BC64" w:rsidR="006B27EC" w:rsidRPr="00BE019A" w:rsidRDefault="006B27EC" w:rsidP="003D56A6">
      <w:pPr>
        <w:ind w:left="851" w:hanging="851"/>
        <w:jc w:val="both"/>
        <w:rPr>
          <w:szCs w:val="20"/>
          <w:shd w:val="clear" w:color="auto" w:fill="FFFFFF"/>
          <w:lang w:val="en-GB"/>
        </w:rPr>
      </w:pPr>
      <w:proofErr w:type="spellStart"/>
      <w:r w:rsidRPr="00BE019A">
        <w:rPr>
          <w:szCs w:val="20"/>
          <w:shd w:val="clear" w:color="auto" w:fill="FFFFFF"/>
          <w:lang w:val="en-GB"/>
        </w:rPr>
        <w:t>Lončarić</w:t>
      </w:r>
      <w:proofErr w:type="spellEnd"/>
      <w:r w:rsidRPr="00BE019A">
        <w:rPr>
          <w:szCs w:val="20"/>
          <w:shd w:val="clear" w:color="auto" w:fill="FFFFFF"/>
          <w:lang w:val="en-GB"/>
        </w:rPr>
        <w:t>, D. (2011). To Flourish, Arm or Fade Away? Proactive, Defensive and Depressive Patterns of Self-Regulated Learning. In</w:t>
      </w:r>
      <w:r w:rsidR="002330E2">
        <w:rPr>
          <w:szCs w:val="20"/>
          <w:shd w:val="clear" w:color="auto" w:fill="FFFFFF"/>
          <w:lang w:val="en-GB"/>
        </w:rPr>
        <w:t>:</w:t>
      </w:r>
      <w:r w:rsidRPr="00BE019A">
        <w:rPr>
          <w:szCs w:val="20"/>
          <w:shd w:val="clear" w:color="auto" w:fill="FFFFFF"/>
          <w:lang w:val="en-GB"/>
        </w:rPr>
        <w:t> </w:t>
      </w:r>
      <w:r w:rsidR="002330E2">
        <w:rPr>
          <w:szCs w:val="20"/>
          <w:shd w:val="clear" w:color="auto" w:fill="FFFFFF"/>
          <w:lang w:val="en-GB"/>
        </w:rPr>
        <w:t xml:space="preserve">I. </w:t>
      </w:r>
      <w:proofErr w:type="spellStart"/>
      <w:r w:rsidR="002330E2" w:rsidRPr="002330E2">
        <w:rPr>
          <w:szCs w:val="20"/>
          <w:shd w:val="clear" w:color="auto" w:fill="FFFFFF"/>
          <w:lang w:val="en-GB"/>
        </w:rPr>
        <w:t>Brdar</w:t>
      </w:r>
      <w:proofErr w:type="spellEnd"/>
      <w:r w:rsidR="002330E2">
        <w:rPr>
          <w:szCs w:val="20"/>
          <w:shd w:val="clear" w:color="auto" w:fill="FFFFFF"/>
          <w:lang w:val="en-GB"/>
        </w:rPr>
        <w:t xml:space="preserve"> (Ed.)</w:t>
      </w:r>
      <w:r w:rsidR="002330E2" w:rsidRPr="002330E2">
        <w:rPr>
          <w:szCs w:val="20"/>
          <w:shd w:val="clear" w:color="auto" w:fill="FFFFFF"/>
          <w:lang w:val="en-GB"/>
        </w:rPr>
        <w:t xml:space="preserve"> </w:t>
      </w:r>
      <w:r w:rsidRPr="00BE019A">
        <w:rPr>
          <w:i/>
          <w:iCs/>
          <w:szCs w:val="20"/>
          <w:shd w:val="clear" w:color="auto" w:fill="FFFFFF"/>
          <w:lang w:val="en-GB"/>
        </w:rPr>
        <w:t>The human pursuit of well-being</w:t>
      </w:r>
      <w:r w:rsidRPr="00BE019A">
        <w:rPr>
          <w:szCs w:val="20"/>
          <w:shd w:val="clear" w:color="auto" w:fill="FFFFFF"/>
          <w:lang w:val="en-GB"/>
        </w:rPr>
        <w:t> (pp. 175-189). Springer.</w:t>
      </w:r>
    </w:p>
    <w:p w14:paraId="68601C64" w14:textId="5470A9B5" w:rsidR="00982638" w:rsidRPr="00BE019A" w:rsidRDefault="00152FE3" w:rsidP="003D56A6">
      <w:pPr>
        <w:ind w:left="851" w:hanging="851"/>
        <w:jc w:val="both"/>
        <w:rPr>
          <w:sz w:val="40"/>
          <w:szCs w:val="20"/>
          <w:shd w:val="clear" w:color="auto" w:fill="FFFFFF"/>
          <w:lang w:val="en-GB"/>
        </w:rPr>
      </w:pPr>
      <w:r w:rsidRPr="00BE019A">
        <w:rPr>
          <w:shd w:val="clear" w:color="auto" w:fill="FFFFFF"/>
        </w:rPr>
        <w:lastRenderedPageBreak/>
        <w:t xml:space="preserve">Lončarić, </w:t>
      </w:r>
      <w:r w:rsidR="00982638" w:rsidRPr="00BE019A">
        <w:rPr>
          <w:shd w:val="clear" w:color="auto" w:fill="FFFFFF"/>
        </w:rPr>
        <w:t>D. (2014). Motivacija i strategije samoregulacije učenja: teorija, mjerenje i primjena. </w:t>
      </w:r>
      <w:r w:rsidR="00A934C4" w:rsidRPr="00BE019A">
        <w:rPr>
          <w:shd w:val="clear" w:color="auto" w:fill="FFFFFF"/>
        </w:rPr>
        <w:t>[</w:t>
      </w:r>
      <w:proofErr w:type="spellStart"/>
      <w:r w:rsidR="00A934C4" w:rsidRPr="00BE019A">
        <w:rPr>
          <w:shd w:val="clear" w:color="auto" w:fill="FFFFFF"/>
        </w:rPr>
        <w:t>Motivation</w:t>
      </w:r>
      <w:proofErr w:type="spellEnd"/>
      <w:r w:rsidR="00A934C4" w:rsidRPr="00BE019A">
        <w:rPr>
          <w:shd w:val="clear" w:color="auto" w:fill="FFFFFF"/>
        </w:rPr>
        <w:t xml:space="preserve"> </w:t>
      </w:r>
      <w:proofErr w:type="spellStart"/>
      <w:r w:rsidR="00A934C4" w:rsidRPr="00BE019A">
        <w:rPr>
          <w:shd w:val="clear" w:color="auto" w:fill="FFFFFF"/>
        </w:rPr>
        <w:t>and</w:t>
      </w:r>
      <w:proofErr w:type="spellEnd"/>
      <w:r w:rsidR="00A934C4" w:rsidRPr="00BE019A">
        <w:rPr>
          <w:shd w:val="clear" w:color="auto" w:fill="FFFFFF"/>
        </w:rPr>
        <w:t xml:space="preserve"> </w:t>
      </w:r>
      <w:proofErr w:type="spellStart"/>
      <w:r w:rsidR="00A934C4" w:rsidRPr="00BE019A">
        <w:rPr>
          <w:shd w:val="clear" w:color="auto" w:fill="FFFFFF"/>
        </w:rPr>
        <w:t>self-regulated</w:t>
      </w:r>
      <w:proofErr w:type="spellEnd"/>
      <w:r w:rsidR="00A934C4" w:rsidRPr="00BE019A">
        <w:rPr>
          <w:shd w:val="clear" w:color="auto" w:fill="FFFFFF"/>
        </w:rPr>
        <w:t xml:space="preserve"> </w:t>
      </w:r>
      <w:proofErr w:type="spellStart"/>
      <w:r w:rsidR="00A934C4" w:rsidRPr="00BE019A">
        <w:rPr>
          <w:shd w:val="clear" w:color="auto" w:fill="FFFFFF"/>
        </w:rPr>
        <w:t>learning</w:t>
      </w:r>
      <w:proofErr w:type="spellEnd"/>
      <w:r w:rsidR="00A934C4" w:rsidRPr="00BE019A">
        <w:rPr>
          <w:shd w:val="clear" w:color="auto" w:fill="FFFFFF"/>
        </w:rPr>
        <w:t xml:space="preserve"> </w:t>
      </w:r>
      <w:proofErr w:type="spellStart"/>
      <w:r w:rsidR="00A934C4" w:rsidRPr="00BE019A">
        <w:rPr>
          <w:shd w:val="clear" w:color="auto" w:fill="FFFFFF"/>
        </w:rPr>
        <w:t>strategies</w:t>
      </w:r>
      <w:proofErr w:type="spellEnd"/>
      <w:r w:rsidR="00A934C4" w:rsidRPr="00BE019A">
        <w:rPr>
          <w:shd w:val="clear" w:color="auto" w:fill="FFFFFF"/>
        </w:rPr>
        <w:t xml:space="preserve">: </w:t>
      </w:r>
      <w:proofErr w:type="spellStart"/>
      <w:r w:rsidR="00A934C4" w:rsidRPr="00BE019A">
        <w:rPr>
          <w:shd w:val="clear" w:color="auto" w:fill="FFFFFF"/>
        </w:rPr>
        <w:t>theory</w:t>
      </w:r>
      <w:proofErr w:type="spellEnd"/>
      <w:r w:rsidR="00A934C4" w:rsidRPr="00BE019A">
        <w:rPr>
          <w:shd w:val="clear" w:color="auto" w:fill="FFFFFF"/>
        </w:rPr>
        <w:t xml:space="preserve">, </w:t>
      </w:r>
      <w:proofErr w:type="spellStart"/>
      <w:r w:rsidR="00A934C4" w:rsidRPr="00BE019A">
        <w:rPr>
          <w:shd w:val="clear" w:color="auto" w:fill="FFFFFF"/>
        </w:rPr>
        <w:t>assessment</w:t>
      </w:r>
      <w:proofErr w:type="spellEnd"/>
      <w:r w:rsidR="00A934C4" w:rsidRPr="00BE019A">
        <w:rPr>
          <w:shd w:val="clear" w:color="auto" w:fill="FFFFFF"/>
        </w:rPr>
        <w:t xml:space="preserve"> </w:t>
      </w:r>
      <w:proofErr w:type="spellStart"/>
      <w:r w:rsidR="00A934C4" w:rsidRPr="00BE019A">
        <w:rPr>
          <w:shd w:val="clear" w:color="auto" w:fill="FFFFFF"/>
        </w:rPr>
        <w:t>and</w:t>
      </w:r>
      <w:proofErr w:type="spellEnd"/>
      <w:r w:rsidR="00A934C4" w:rsidRPr="00BE019A">
        <w:rPr>
          <w:shd w:val="clear" w:color="auto" w:fill="FFFFFF"/>
        </w:rPr>
        <w:t xml:space="preserve"> </w:t>
      </w:r>
      <w:proofErr w:type="spellStart"/>
      <w:r w:rsidR="00A934C4" w:rsidRPr="00BE019A">
        <w:rPr>
          <w:shd w:val="clear" w:color="auto" w:fill="FFFFFF"/>
        </w:rPr>
        <w:t>application</w:t>
      </w:r>
      <w:proofErr w:type="spellEnd"/>
      <w:r w:rsidR="00A934C4" w:rsidRPr="00BE019A">
        <w:rPr>
          <w:shd w:val="clear" w:color="auto" w:fill="FFFFFF"/>
        </w:rPr>
        <w:t>.]</w:t>
      </w:r>
      <w:r w:rsidR="00A934C4" w:rsidRPr="00BE019A">
        <w:rPr>
          <w:sz w:val="22"/>
          <w:szCs w:val="20"/>
          <w:shd w:val="clear" w:color="auto" w:fill="FFFFFF"/>
        </w:rPr>
        <w:t xml:space="preserve"> </w:t>
      </w:r>
      <w:r w:rsidR="00982638" w:rsidRPr="00BE019A">
        <w:rPr>
          <w:i/>
          <w:iCs/>
          <w:szCs w:val="20"/>
          <w:shd w:val="clear" w:color="auto" w:fill="FFFFFF"/>
        </w:rPr>
        <w:t>Psychology</w:t>
      </w:r>
      <w:r w:rsidR="00982638" w:rsidRPr="00BE019A">
        <w:rPr>
          <w:szCs w:val="20"/>
          <w:shd w:val="clear" w:color="auto" w:fill="FFFFFF"/>
        </w:rPr>
        <w:t>, </w:t>
      </w:r>
      <w:r w:rsidR="00982638" w:rsidRPr="00BE019A">
        <w:rPr>
          <w:i/>
          <w:iCs/>
          <w:szCs w:val="20"/>
          <w:shd w:val="clear" w:color="auto" w:fill="FFFFFF"/>
        </w:rPr>
        <w:t>84</w:t>
      </w:r>
      <w:r w:rsidR="00982638" w:rsidRPr="00BE019A">
        <w:rPr>
          <w:szCs w:val="20"/>
          <w:shd w:val="clear" w:color="auto" w:fill="FFFFFF"/>
        </w:rPr>
        <w:t>(3), 261-271.</w:t>
      </w:r>
    </w:p>
    <w:p w14:paraId="5934F49D" w14:textId="738679F7" w:rsidR="002136BC" w:rsidRPr="002330E2" w:rsidRDefault="002136BC" w:rsidP="003D56A6">
      <w:pPr>
        <w:ind w:left="851" w:hanging="851"/>
        <w:jc w:val="both"/>
        <w:rPr>
          <w:sz w:val="40"/>
          <w:lang w:val="en-GB"/>
        </w:rPr>
      </w:pPr>
      <w:r w:rsidRPr="00BE019A">
        <w:rPr>
          <w:szCs w:val="20"/>
          <w:shd w:val="clear" w:color="auto" w:fill="FFFFFF"/>
          <w:lang w:val="en-GB"/>
        </w:rPr>
        <w:t xml:space="preserve">Lubbers, M. J., Van Der </w:t>
      </w:r>
      <w:proofErr w:type="spellStart"/>
      <w:r w:rsidRPr="00BE019A">
        <w:rPr>
          <w:szCs w:val="20"/>
          <w:shd w:val="clear" w:color="auto" w:fill="FFFFFF"/>
          <w:lang w:val="en-GB"/>
        </w:rPr>
        <w:t>Werf</w:t>
      </w:r>
      <w:proofErr w:type="spellEnd"/>
      <w:r w:rsidRPr="00BE019A">
        <w:rPr>
          <w:szCs w:val="20"/>
          <w:shd w:val="clear" w:color="auto" w:fill="FFFFFF"/>
          <w:lang w:val="en-GB"/>
        </w:rPr>
        <w:t xml:space="preserve">, M. P., Kuyper, H., &amp; Hendriks, A. J. (2010). Does homework </w:t>
      </w:r>
      <w:proofErr w:type="spellStart"/>
      <w:r w:rsidRPr="00BE019A">
        <w:rPr>
          <w:szCs w:val="20"/>
          <w:shd w:val="clear" w:color="auto" w:fill="FFFFFF"/>
          <w:lang w:val="en-GB"/>
        </w:rPr>
        <w:t>behavior</w:t>
      </w:r>
      <w:proofErr w:type="spellEnd"/>
      <w:r w:rsidRPr="00BE019A">
        <w:rPr>
          <w:szCs w:val="20"/>
          <w:shd w:val="clear" w:color="auto" w:fill="FFFFFF"/>
          <w:lang w:val="en-GB"/>
        </w:rPr>
        <w:t xml:space="preserve"> mediate the relation between personality and academic performance</w:t>
      </w:r>
      <w:proofErr w:type="gramStart"/>
      <w:r w:rsidRPr="00BE019A">
        <w:rPr>
          <w:szCs w:val="20"/>
          <w:shd w:val="clear" w:color="auto" w:fill="FFFFFF"/>
          <w:lang w:val="en-GB"/>
        </w:rPr>
        <w:t>?.</w:t>
      </w:r>
      <w:proofErr w:type="gramEnd"/>
      <w:r w:rsidRPr="00BE019A">
        <w:rPr>
          <w:szCs w:val="20"/>
          <w:shd w:val="clear" w:color="auto" w:fill="FFFFFF"/>
          <w:lang w:val="en-GB"/>
        </w:rPr>
        <w:t> </w:t>
      </w:r>
      <w:r w:rsidRPr="00BE019A">
        <w:rPr>
          <w:i/>
          <w:iCs/>
          <w:szCs w:val="20"/>
          <w:shd w:val="clear" w:color="auto" w:fill="FFFFFF"/>
          <w:lang w:val="en-GB"/>
        </w:rPr>
        <w:t>Learning and Individual differences</w:t>
      </w:r>
      <w:r w:rsidRPr="00BE019A">
        <w:rPr>
          <w:szCs w:val="20"/>
          <w:shd w:val="clear" w:color="auto" w:fill="FFFFFF"/>
          <w:lang w:val="en-GB"/>
        </w:rPr>
        <w:t>, </w:t>
      </w:r>
      <w:r w:rsidRPr="00BE019A">
        <w:rPr>
          <w:i/>
          <w:iCs/>
          <w:szCs w:val="20"/>
          <w:shd w:val="clear" w:color="auto" w:fill="FFFFFF"/>
          <w:lang w:val="en-GB"/>
        </w:rPr>
        <w:t>20</w:t>
      </w:r>
      <w:r w:rsidRPr="00BE019A">
        <w:rPr>
          <w:szCs w:val="20"/>
          <w:shd w:val="clear" w:color="auto" w:fill="FFFFFF"/>
          <w:lang w:val="en-GB"/>
        </w:rPr>
        <w:t>(3), 203-208.</w:t>
      </w:r>
    </w:p>
    <w:p w14:paraId="45078342" w14:textId="17F959BE" w:rsidR="004A51F3" w:rsidRPr="002330E2" w:rsidRDefault="004A51F3" w:rsidP="003D56A6">
      <w:pPr>
        <w:ind w:left="851" w:hanging="851"/>
        <w:jc w:val="both"/>
        <w:rPr>
          <w:lang w:val="en-GB"/>
        </w:rPr>
      </w:pPr>
      <w:proofErr w:type="spellStart"/>
      <w:r w:rsidRPr="002330E2">
        <w:rPr>
          <w:lang w:val="en-GB"/>
        </w:rPr>
        <w:t>MacCann</w:t>
      </w:r>
      <w:proofErr w:type="spellEnd"/>
      <w:r w:rsidRPr="002330E2">
        <w:rPr>
          <w:lang w:val="en-GB"/>
        </w:rPr>
        <w:t xml:space="preserve">, C., </w:t>
      </w:r>
      <w:proofErr w:type="spellStart"/>
      <w:r w:rsidRPr="002330E2">
        <w:rPr>
          <w:lang w:val="en-GB"/>
        </w:rPr>
        <w:t>Lipnevich</w:t>
      </w:r>
      <w:proofErr w:type="spellEnd"/>
      <w:r w:rsidRPr="002330E2">
        <w:rPr>
          <w:lang w:val="en-GB"/>
        </w:rPr>
        <w:t xml:space="preserve">, A. A., </w:t>
      </w:r>
      <w:proofErr w:type="spellStart"/>
      <w:r w:rsidRPr="002330E2">
        <w:rPr>
          <w:lang w:val="en-GB"/>
        </w:rPr>
        <w:t>Poropat</w:t>
      </w:r>
      <w:proofErr w:type="spellEnd"/>
      <w:r w:rsidRPr="002330E2">
        <w:rPr>
          <w:lang w:val="en-GB"/>
        </w:rPr>
        <w:t xml:space="preserve">, A. E., </w:t>
      </w:r>
      <w:proofErr w:type="spellStart"/>
      <w:r w:rsidRPr="002330E2">
        <w:rPr>
          <w:lang w:val="en-GB"/>
        </w:rPr>
        <w:t>Wiemers</w:t>
      </w:r>
      <w:proofErr w:type="spellEnd"/>
      <w:r w:rsidRPr="002330E2">
        <w:rPr>
          <w:lang w:val="en-GB"/>
        </w:rPr>
        <w:t xml:space="preserve">, M. J., &amp; Roberts, R. D. (2015). Self-and parent-rated facets of conscientiousness predict academic outcomes: Parent-reports are more predictive, particularly for approach-oriented facets. </w:t>
      </w:r>
      <w:r w:rsidRPr="002330E2">
        <w:rPr>
          <w:i/>
          <w:lang w:val="en-GB"/>
        </w:rPr>
        <w:t>Learning and Individual Differences, 42</w:t>
      </w:r>
      <w:r w:rsidRPr="002330E2">
        <w:rPr>
          <w:lang w:val="en-GB"/>
        </w:rPr>
        <w:t>, 19-26.</w:t>
      </w:r>
    </w:p>
    <w:p w14:paraId="4DBCBE30" w14:textId="45446E72" w:rsidR="003D56A6" w:rsidRPr="00BE019A" w:rsidRDefault="003D56A6" w:rsidP="003D56A6">
      <w:pPr>
        <w:ind w:left="709" w:hanging="709"/>
        <w:jc w:val="both"/>
        <w:rPr>
          <w:lang w:val="en-GB"/>
        </w:rPr>
      </w:pPr>
      <w:r w:rsidRPr="00BE019A">
        <w:rPr>
          <w:shd w:val="clear" w:color="auto" w:fill="FFFFFF"/>
          <w:lang w:val="en-GB"/>
        </w:rPr>
        <w:t xml:space="preserve">Marsh, H.W., </w:t>
      </w:r>
      <w:proofErr w:type="spellStart"/>
      <w:r w:rsidRPr="00BE019A">
        <w:rPr>
          <w:shd w:val="clear" w:color="auto" w:fill="FFFFFF"/>
          <w:lang w:val="en-GB"/>
        </w:rPr>
        <w:t>Trautwein</w:t>
      </w:r>
      <w:proofErr w:type="spellEnd"/>
      <w:r w:rsidRPr="00BE019A">
        <w:rPr>
          <w:shd w:val="clear" w:color="auto" w:fill="FFFFFF"/>
          <w:lang w:val="en-GB"/>
        </w:rPr>
        <w:t xml:space="preserve">, U., </w:t>
      </w:r>
      <w:proofErr w:type="spellStart"/>
      <w:r w:rsidRPr="00BE019A">
        <w:rPr>
          <w:shd w:val="clear" w:color="auto" w:fill="FFFFFF"/>
          <w:lang w:val="en-GB"/>
        </w:rPr>
        <w:t>Lüdtke</w:t>
      </w:r>
      <w:proofErr w:type="spellEnd"/>
      <w:r w:rsidRPr="00BE019A">
        <w:rPr>
          <w:shd w:val="clear" w:color="auto" w:fill="FFFFFF"/>
          <w:lang w:val="en-GB"/>
        </w:rPr>
        <w:t xml:space="preserve">, O., </w:t>
      </w:r>
      <w:proofErr w:type="spellStart"/>
      <w:r w:rsidRPr="00BE019A">
        <w:rPr>
          <w:shd w:val="clear" w:color="auto" w:fill="FFFFFF"/>
          <w:lang w:val="en-GB"/>
        </w:rPr>
        <w:t>Köller</w:t>
      </w:r>
      <w:proofErr w:type="spellEnd"/>
      <w:r w:rsidRPr="00BE019A">
        <w:rPr>
          <w:shd w:val="clear" w:color="auto" w:fill="FFFFFF"/>
          <w:lang w:val="en-GB"/>
        </w:rPr>
        <w:t>, O., &amp; Baumert, J. (</w:t>
      </w:r>
      <w:r w:rsidRPr="00BE019A">
        <w:rPr>
          <w:rStyle w:val="nlmyear"/>
          <w:lang w:val="en-GB"/>
        </w:rPr>
        <w:t>2006</w:t>
      </w:r>
      <w:r w:rsidRPr="00BE019A">
        <w:rPr>
          <w:shd w:val="clear" w:color="auto" w:fill="FFFFFF"/>
          <w:lang w:val="en-GB"/>
        </w:rPr>
        <w:t>).</w:t>
      </w:r>
      <w:r w:rsidRPr="00BE019A">
        <w:rPr>
          <w:rStyle w:val="apple-converted-space"/>
          <w:shd w:val="clear" w:color="auto" w:fill="FFFFFF"/>
          <w:lang w:val="en-GB"/>
        </w:rPr>
        <w:t> </w:t>
      </w:r>
      <w:r w:rsidRPr="00BE019A">
        <w:rPr>
          <w:rStyle w:val="nlmarticle-title"/>
          <w:lang w:val="en-GB"/>
        </w:rPr>
        <w:t>Integration of multidimensional self-concept and core personality constructs: Construct validation and relations to well-being and achievement</w:t>
      </w:r>
      <w:r w:rsidRPr="00BE019A">
        <w:rPr>
          <w:shd w:val="clear" w:color="auto" w:fill="FFFFFF"/>
          <w:lang w:val="en-GB"/>
        </w:rPr>
        <w:t xml:space="preserve">. </w:t>
      </w:r>
      <w:r w:rsidRPr="00BE019A">
        <w:rPr>
          <w:i/>
          <w:shd w:val="clear" w:color="auto" w:fill="FFFFFF"/>
          <w:lang w:val="en-GB"/>
        </w:rPr>
        <w:t>Journal of Personality</w:t>
      </w:r>
      <w:r w:rsidRPr="00BE019A">
        <w:rPr>
          <w:shd w:val="clear" w:color="auto" w:fill="FFFFFF"/>
          <w:lang w:val="en-GB"/>
        </w:rPr>
        <w:t xml:space="preserve">, </w:t>
      </w:r>
      <w:r w:rsidRPr="00BE019A">
        <w:rPr>
          <w:i/>
          <w:shd w:val="clear" w:color="auto" w:fill="FFFFFF"/>
          <w:lang w:val="en-GB"/>
        </w:rPr>
        <w:t>74</w:t>
      </w:r>
      <w:r w:rsidRPr="00BE019A">
        <w:rPr>
          <w:shd w:val="clear" w:color="auto" w:fill="FFFFFF"/>
          <w:lang w:val="en-GB"/>
        </w:rPr>
        <w:t>,</w:t>
      </w:r>
      <w:r w:rsidRPr="00BE019A">
        <w:rPr>
          <w:rStyle w:val="apple-converted-space"/>
          <w:shd w:val="clear" w:color="auto" w:fill="FFFFFF"/>
          <w:lang w:val="en-GB"/>
        </w:rPr>
        <w:t> </w:t>
      </w:r>
      <w:r w:rsidRPr="00BE019A">
        <w:rPr>
          <w:rStyle w:val="nlmfpage"/>
          <w:lang w:val="en-GB"/>
        </w:rPr>
        <w:t>403</w:t>
      </w:r>
      <w:r w:rsidRPr="00BE019A">
        <w:rPr>
          <w:shd w:val="clear" w:color="auto" w:fill="FFFFFF"/>
          <w:lang w:val="en-GB"/>
        </w:rPr>
        <w:t>–</w:t>
      </w:r>
      <w:r w:rsidRPr="00BE019A">
        <w:rPr>
          <w:rStyle w:val="nlmlpage"/>
          <w:lang w:val="en-GB"/>
        </w:rPr>
        <w:t>456</w:t>
      </w:r>
      <w:r w:rsidRPr="00BE019A">
        <w:rPr>
          <w:shd w:val="clear" w:color="auto" w:fill="FFFFFF"/>
          <w:lang w:val="en-GB"/>
        </w:rPr>
        <w:t>.</w:t>
      </w:r>
      <w:r w:rsidRPr="00BE019A">
        <w:rPr>
          <w:rStyle w:val="apple-converted-space"/>
          <w:shd w:val="clear" w:color="auto" w:fill="FFFFFF"/>
          <w:lang w:val="en-GB"/>
        </w:rPr>
        <w:t> </w:t>
      </w:r>
    </w:p>
    <w:p w14:paraId="4C55F719" w14:textId="615DB4E7" w:rsidR="003D56A6" w:rsidRPr="002330E2" w:rsidRDefault="003D56A6" w:rsidP="003D56A6">
      <w:pPr>
        <w:pStyle w:val="EndNoteBibliography"/>
        <w:widowControl w:val="0"/>
        <w:ind w:left="851" w:hanging="851"/>
        <w:jc w:val="both"/>
        <w:rPr>
          <w:noProof w:val="0"/>
          <w:lang w:val="en-GB"/>
        </w:rPr>
      </w:pPr>
      <w:r w:rsidRPr="002330E2">
        <w:rPr>
          <w:noProof w:val="0"/>
          <w:lang w:val="en-GB"/>
        </w:rPr>
        <w:t xml:space="preserve">McAbee, S. T. &amp; Oswald, F. (2013). The criterion-related validity of personality measures for predicting GPA: A meta-analytic validity competition. </w:t>
      </w:r>
      <w:r w:rsidRPr="002330E2">
        <w:rPr>
          <w:i/>
          <w:noProof w:val="0"/>
          <w:lang w:val="en-GB"/>
        </w:rPr>
        <w:t>Psychological Assessment,</w:t>
      </w:r>
      <w:r w:rsidRPr="002330E2">
        <w:rPr>
          <w:noProof w:val="0"/>
          <w:lang w:val="en-GB"/>
        </w:rPr>
        <w:t xml:space="preserve"> </w:t>
      </w:r>
      <w:r w:rsidRPr="002330E2">
        <w:rPr>
          <w:i/>
          <w:noProof w:val="0"/>
          <w:lang w:val="en-GB"/>
        </w:rPr>
        <w:t>25</w:t>
      </w:r>
      <w:r w:rsidRPr="002330E2">
        <w:rPr>
          <w:noProof w:val="0"/>
          <w:lang w:val="en-GB"/>
        </w:rPr>
        <w:t>(2), 532-544.</w:t>
      </w:r>
    </w:p>
    <w:p w14:paraId="18F55845" w14:textId="244C6801" w:rsidR="003D56A6" w:rsidRPr="002330E2" w:rsidRDefault="003D56A6" w:rsidP="003D56A6">
      <w:pPr>
        <w:pStyle w:val="EndNoteBibliography"/>
        <w:widowControl w:val="0"/>
        <w:ind w:left="851" w:hanging="851"/>
        <w:jc w:val="both"/>
        <w:rPr>
          <w:noProof w:val="0"/>
          <w:lang w:val="en-GB"/>
        </w:rPr>
      </w:pPr>
      <w:r w:rsidRPr="002330E2">
        <w:rPr>
          <w:noProof w:val="0"/>
          <w:lang w:val="en-GB"/>
        </w:rPr>
        <w:t xml:space="preserve">McCrae, R. R. &amp; </w:t>
      </w:r>
      <w:proofErr w:type="spellStart"/>
      <w:r w:rsidRPr="002330E2">
        <w:rPr>
          <w:noProof w:val="0"/>
          <w:lang w:val="en-GB"/>
        </w:rPr>
        <w:t>Allik</w:t>
      </w:r>
      <w:proofErr w:type="spellEnd"/>
      <w:r w:rsidRPr="002330E2">
        <w:rPr>
          <w:noProof w:val="0"/>
          <w:lang w:val="en-GB"/>
        </w:rPr>
        <w:t xml:space="preserve">, J. (Eds.). (2002). </w:t>
      </w:r>
      <w:r w:rsidRPr="002330E2">
        <w:rPr>
          <w:i/>
          <w:noProof w:val="0"/>
          <w:lang w:val="en-GB"/>
        </w:rPr>
        <w:t>The Five-Factor Model of Personality Across Cultures.</w:t>
      </w:r>
      <w:r w:rsidRPr="002330E2">
        <w:rPr>
          <w:noProof w:val="0"/>
          <w:lang w:val="en-GB"/>
        </w:rPr>
        <w:t xml:space="preserve"> Kluwer Academic/Plenum Publishers. </w:t>
      </w:r>
    </w:p>
    <w:p w14:paraId="17480EE8" w14:textId="47196529" w:rsidR="003D56A6" w:rsidRPr="002330E2" w:rsidRDefault="003D56A6" w:rsidP="003D56A6">
      <w:pPr>
        <w:pStyle w:val="EndNoteBibliography"/>
        <w:ind w:left="851" w:hanging="851"/>
        <w:jc w:val="both"/>
        <w:rPr>
          <w:noProof w:val="0"/>
          <w:lang w:val="en-GB"/>
        </w:rPr>
      </w:pPr>
      <w:r w:rsidRPr="002330E2">
        <w:rPr>
          <w:noProof w:val="0"/>
          <w:lang w:val="en-GB"/>
        </w:rPr>
        <w:t>McCrae, R. R. &amp; Costa, P. T., Jr. (1999). A Five-Factor theory of personality. In</w:t>
      </w:r>
      <w:r w:rsidR="002330E2" w:rsidRPr="002330E2">
        <w:rPr>
          <w:noProof w:val="0"/>
          <w:lang w:val="en-GB"/>
        </w:rPr>
        <w:t>:</w:t>
      </w:r>
      <w:r w:rsidRPr="002330E2">
        <w:rPr>
          <w:noProof w:val="0"/>
          <w:lang w:val="en-GB"/>
        </w:rPr>
        <w:t xml:space="preserve"> L. A. </w:t>
      </w:r>
      <w:proofErr w:type="spellStart"/>
      <w:r w:rsidRPr="002330E2">
        <w:rPr>
          <w:noProof w:val="0"/>
          <w:lang w:val="en-GB"/>
        </w:rPr>
        <w:t>Pervin</w:t>
      </w:r>
      <w:proofErr w:type="spellEnd"/>
      <w:r w:rsidRPr="002330E2">
        <w:rPr>
          <w:noProof w:val="0"/>
          <w:lang w:val="en-GB"/>
        </w:rPr>
        <w:t xml:space="preserve"> &amp; O. P. John (Eds.), </w:t>
      </w:r>
      <w:r w:rsidRPr="002330E2">
        <w:rPr>
          <w:i/>
          <w:iCs/>
          <w:noProof w:val="0"/>
          <w:lang w:val="en-GB"/>
        </w:rPr>
        <w:t>Handbook of personality: Theory and research</w:t>
      </w:r>
      <w:r w:rsidRPr="002330E2">
        <w:rPr>
          <w:noProof w:val="0"/>
          <w:lang w:val="en-GB"/>
        </w:rPr>
        <w:t> (pp. 139-153). Guilford Press.</w:t>
      </w:r>
    </w:p>
    <w:p w14:paraId="4270AAD4" w14:textId="4021A535" w:rsidR="003D56A6" w:rsidRPr="00BE019A" w:rsidRDefault="003D56A6" w:rsidP="003D56A6">
      <w:pPr>
        <w:pStyle w:val="EndNoteBibliography"/>
        <w:widowControl w:val="0"/>
        <w:ind w:left="851" w:hanging="851"/>
        <w:jc w:val="both"/>
        <w:rPr>
          <w:noProof w:val="0"/>
          <w:lang w:val="en-GB"/>
        </w:rPr>
      </w:pPr>
      <w:r w:rsidRPr="002330E2">
        <w:rPr>
          <w:noProof w:val="0"/>
          <w:lang w:val="en-GB"/>
        </w:rPr>
        <w:t xml:space="preserve">McIlroy, D., Poole, K., </w:t>
      </w:r>
      <w:proofErr w:type="spellStart"/>
      <w:r w:rsidRPr="002330E2">
        <w:rPr>
          <w:noProof w:val="0"/>
          <w:lang w:val="en-GB"/>
        </w:rPr>
        <w:t>Ursavas</w:t>
      </w:r>
      <w:proofErr w:type="spellEnd"/>
      <w:r w:rsidRPr="002330E2">
        <w:rPr>
          <w:noProof w:val="0"/>
          <w:lang w:val="en-GB"/>
        </w:rPr>
        <w:t>, Ö. F. &amp; Moriarty, A. (2015). Distal and proximal associates of academic performance at secondary level: A mediation model of personality and self-efficacy. </w:t>
      </w:r>
      <w:r w:rsidRPr="002330E2">
        <w:rPr>
          <w:i/>
          <w:iCs/>
          <w:noProof w:val="0"/>
          <w:lang w:val="en-GB"/>
        </w:rPr>
        <w:t>Learning and Individual Differences, 38</w:t>
      </w:r>
      <w:r w:rsidRPr="002330E2">
        <w:rPr>
          <w:iCs/>
          <w:noProof w:val="0"/>
          <w:lang w:val="en-GB"/>
        </w:rPr>
        <w:t>(1)</w:t>
      </w:r>
      <w:r w:rsidRPr="002330E2">
        <w:rPr>
          <w:i/>
          <w:iCs/>
          <w:noProof w:val="0"/>
          <w:lang w:val="en-GB"/>
        </w:rPr>
        <w:t>,</w:t>
      </w:r>
      <w:r w:rsidRPr="002330E2">
        <w:rPr>
          <w:noProof w:val="0"/>
          <w:lang w:val="en-GB"/>
        </w:rPr>
        <w:t> 1-9.</w:t>
      </w:r>
      <w:r w:rsidRPr="00BE019A">
        <w:rPr>
          <w:noProof w:val="0"/>
          <w:lang w:val="en-GB"/>
        </w:rPr>
        <w:t xml:space="preserve"> </w:t>
      </w:r>
    </w:p>
    <w:p w14:paraId="65CBC6BB" w14:textId="1C64FCDB" w:rsidR="002E77F5" w:rsidRPr="00BE019A" w:rsidRDefault="002E77F5" w:rsidP="003D56A6">
      <w:pPr>
        <w:pStyle w:val="EndNoteBibliography"/>
        <w:widowControl w:val="0"/>
        <w:ind w:left="851" w:hanging="851"/>
        <w:jc w:val="both"/>
        <w:rPr>
          <w:noProof w:val="0"/>
          <w:sz w:val="32"/>
          <w:lang w:val="en-GB"/>
        </w:rPr>
      </w:pPr>
      <w:r w:rsidRPr="00BE019A">
        <w:rPr>
          <w:szCs w:val="20"/>
          <w:shd w:val="clear" w:color="auto" w:fill="FFFFFF"/>
        </w:rPr>
        <w:t xml:space="preserve">Midgley, C., Maehr, M. L., Hruda, L. Z., Anderman, E., Anderman, L., Freeman, K. E., &amp; Urdan, T. (2000). </w:t>
      </w:r>
      <w:r w:rsidRPr="00BE019A">
        <w:rPr>
          <w:i/>
          <w:szCs w:val="20"/>
          <w:shd w:val="clear" w:color="auto" w:fill="FFFFFF"/>
        </w:rPr>
        <w:t>Manual for the patterns of adaptive learning scales.</w:t>
      </w:r>
      <w:r w:rsidRPr="00BE019A">
        <w:rPr>
          <w:iCs/>
          <w:szCs w:val="20"/>
          <w:shd w:val="clear" w:color="auto" w:fill="FFFFFF"/>
        </w:rPr>
        <w:t xml:space="preserve"> University of Michigan</w:t>
      </w:r>
      <w:r w:rsidRPr="00BE019A">
        <w:rPr>
          <w:szCs w:val="20"/>
          <w:shd w:val="clear" w:color="auto" w:fill="FFFFFF"/>
        </w:rPr>
        <w:t>.</w:t>
      </w:r>
    </w:p>
    <w:p w14:paraId="77566AF8" w14:textId="3DD24415" w:rsidR="003D56A6" w:rsidRPr="002330E2" w:rsidRDefault="003D56A6" w:rsidP="003D56A6">
      <w:pPr>
        <w:pStyle w:val="EndNoteBibliography"/>
        <w:widowControl w:val="0"/>
        <w:ind w:left="851" w:hanging="851"/>
        <w:jc w:val="both"/>
        <w:rPr>
          <w:noProof w:val="0"/>
          <w:lang w:val="en-GB"/>
        </w:rPr>
      </w:pPr>
      <w:proofErr w:type="spellStart"/>
      <w:r w:rsidRPr="002330E2">
        <w:rPr>
          <w:noProof w:val="0"/>
          <w:lang w:val="en-GB"/>
        </w:rPr>
        <w:t>Noftle</w:t>
      </w:r>
      <w:proofErr w:type="spellEnd"/>
      <w:r w:rsidRPr="002330E2">
        <w:rPr>
          <w:noProof w:val="0"/>
          <w:lang w:val="en-GB"/>
        </w:rPr>
        <w:t>, E. E.</w:t>
      </w:r>
      <w:r w:rsidR="00152FE3" w:rsidRPr="002330E2">
        <w:rPr>
          <w:noProof w:val="0"/>
          <w:lang w:val="en-GB"/>
        </w:rPr>
        <w:t xml:space="preserve"> </w:t>
      </w:r>
      <w:r w:rsidRPr="002330E2">
        <w:rPr>
          <w:noProof w:val="0"/>
          <w:lang w:val="en-GB"/>
        </w:rPr>
        <w:t>&amp; Robins, R. W. (2007). Personality predictors of academic outcomes: Big five correlates of GPA and SAT scores. </w:t>
      </w:r>
      <w:r w:rsidRPr="002330E2">
        <w:rPr>
          <w:i/>
          <w:iCs/>
          <w:noProof w:val="0"/>
          <w:lang w:val="en-GB"/>
        </w:rPr>
        <w:t>Journal of Personality and Social Psychology, 93</w:t>
      </w:r>
      <w:r w:rsidRPr="002330E2">
        <w:rPr>
          <w:noProof w:val="0"/>
          <w:lang w:val="en-GB"/>
        </w:rPr>
        <w:t>(1), 116-130.</w:t>
      </w:r>
    </w:p>
    <w:p w14:paraId="344A8229" w14:textId="5FF3A8CB" w:rsidR="00712ABD" w:rsidRPr="002330E2" w:rsidRDefault="00712ABD" w:rsidP="003D56A6">
      <w:pPr>
        <w:pStyle w:val="EndNoteBibliography"/>
        <w:widowControl w:val="0"/>
        <w:ind w:left="851" w:hanging="851"/>
        <w:jc w:val="both"/>
        <w:rPr>
          <w:noProof w:val="0"/>
          <w:sz w:val="32"/>
          <w:lang w:val="en-GB"/>
        </w:rPr>
      </w:pPr>
      <w:r w:rsidRPr="00BE019A">
        <w:rPr>
          <w:szCs w:val="20"/>
          <w:shd w:val="clear" w:color="auto" w:fill="FFFFFF"/>
        </w:rPr>
        <w:t>Pajares, F. (2008). Motivational role of self-efficacy beliefs in self-regulated learning. </w:t>
      </w:r>
      <w:r w:rsidR="006B1763" w:rsidRPr="00BE019A">
        <w:rPr>
          <w:szCs w:val="20"/>
          <w:shd w:val="clear" w:color="auto" w:fill="FFFFFF"/>
        </w:rPr>
        <w:t>In</w:t>
      </w:r>
      <w:r w:rsidR="002330E2" w:rsidRPr="00BE019A">
        <w:rPr>
          <w:szCs w:val="20"/>
          <w:shd w:val="clear" w:color="auto" w:fill="FFFFFF"/>
        </w:rPr>
        <w:t>:</w:t>
      </w:r>
      <w:r w:rsidR="006B1763" w:rsidRPr="00BE019A">
        <w:rPr>
          <w:szCs w:val="20"/>
          <w:shd w:val="clear" w:color="auto" w:fill="FFFFFF"/>
        </w:rPr>
        <w:t xml:space="preserve"> B. Zimmerman &amp; D. H. Schunk (Eds.), </w:t>
      </w:r>
      <w:r w:rsidRPr="00BE019A">
        <w:rPr>
          <w:i/>
          <w:iCs/>
          <w:szCs w:val="20"/>
          <w:shd w:val="clear" w:color="auto" w:fill="FFFFFF"/>
        </w:rPr>
        <w:t>Motivation and self-regulated learning: Theory, research, and applications</w:t>
      </w:r>
      <w:r w:rsidRPr="00BE019A">
        <w:rPr>
          <w:szCs w:val="20"/>
          <w:shd w:val="clear" w:color="auto" w:fill="FFFFFF"/>
        </w:rPr>
        <w:t>, </w:t>
      </w:r>
      <w:r w:rsidR="00733A9F" w:rsidRPr="00BE019A">
        <w:rPr>
          <w:szCs w:val="20"/>
          <w:shd w:val="clear" w:color="auto" w:fill="FFFFFF"/>
        </w:rPr>
        <w:t xml:space="preserve">(pp. </w:t>
      </w:r>
      <w:r w:rsidRPr="00BE019A">
        <w:rPr>
          <w:iCs/>
          <w:szCs w:val="20"/>
          <w:shd w:val="clear" w:color="auto" w:fill="FFFFFF"/>
        </w:rPr>
        <w:t>111</w:t>
      </w:r>
      <w:r w:rsidR="00733A9F" w:rsidRPr="00BE019A">
        <w:rPr>
          <w:iCs/>
          <w:szCs w:val="20"/>
          <w:shd w:val="clear" w:color="auto" w:fill="FFFFFF"/>
        </w:rPr>
        <w:t>-</w:t>
      </w:r>
      <w:r w:rsidRPr="00BE019A">
        <w:rPr>
          <w:iCs/>
          <w:szCs w:val="20"/>
          <w:shd w:val="clear" w:color="auto" w:fill="FFFFFF"/>
        </w:rPr>
        <w:t>139</w:t>
      </w:r>
      <w:r w:rsidR="00733A9F" w:rsidRPr="00BE019A">
        <w:rPr>
          <w:iCs/>
          <w:szCs w:val="20"/>
          <w:shd w:val="clear" w:color="auto" w:fill="FFFFFF"/>
        </w:rPr>
        <w:t>)</w:t>
      </w:r>
      <w:r w:rsidRPr="00BE019A">
        <w:rPr>
          <w:szCs w:val="20"/>
          <w:shd w:val="clear" w:color="auto" w:fill="FFFFFF"/>
        </w:rPr>
        <w:t>.</w:t>
      </w:r>
      <w:r w:rsidR="006B1763" w:rsidRPr="00BE019A">
        <w:rPr>
          <w:szCs w:val="20"/>
          <w:shd w:val="clear" w:color="auto" w:fill="FFFFFF"/>
        </w:rPr>
        <w:t xml:space="preserve"> Routledge.</w:t>
      </w:r>
    </w:p>
    <w:bookmarkEnd w:id="4"/>
    <w:p w14:paraId="495291C5" w14:textId="3265F136" w:rsidR="003D56A6" w:rsidRPr="002330E2" w:rsidRDefault="003D56A6" w:rsidP="003D56A6">
      <w:pPr>
        <w:pStyle w:val="EndNoteBibliography"/>
        <w:widowControl w:val="0"/>
        <w:ind w:left="851" w:hanging="851"/>
        <w:jc w:val="both"/>
        <w:rPr>
          <w:noProof w:val="0"/>
          <w:lang w:val="en-GB"/>
        </w:rPr>
      </w:pPr>
      <w:proofErr w:type="spellStart"/>
      <w:r w:rsidRPr="002330E2">
        <w:rPr>
          <w:noProof w:val="0"/>
          <w:lang w:val="en-GB"/>
        </w:rPr>
        <w:t>Poropat</w:t>
      </w:r>
      <w:proofErr w:type="spellEnd"/>
      <w:r w:rsidRPr="002330E2">
        <w:rPr>
          <w:noProof w:val="0"/>
          <w:lang w:val="en-GB"/>
        </w:rPr>
        <w:t xml:space="preserve">, A. E. (2009). A meta-analysis of the five-factor model of personality and academic performance. </w:t>
      </w:r>
      <w:r w:rsidRPr="002330E2">
        <w:rPr>
          <w:i/>
          <w:iCs/>
          <w:noProof w:val="0"/>
          <w:lang w:val="en-GB"/>
        </w:rPr>
        <w:t>Psychological Bulletin, 135</w:t>
      </w:r>
      <w:r w:rsidRPr="002330E2">
        <w:rPr>
          <w:noProof w:val="0"/>
          <w:lang w:val="en-GB"/>
        </w:rPr>
        <w:t xml:space="preserve">(2), 322-338. </w:t>
      </w:r>
    </w:p>
    <w:p w14:paraId="7FAF1F22" w14:textId="77777777" w:rsidR="003D56A6" w:rsidRPr="002330E2" w:rsidRDefault="003D56A6" w:rsidP="003D56A6">
      <w:pPr>
        <w:ind w:left="851" w:hanging="851"/>
        <w:jc w:val="both"/>
        <w:rPr>
          <w:lang w:val="en-GB"/>
        </w:rPr>
      </w:pPr>
      <w:proofErr w:type="spellStart"/>
      <w:r w:rsidRPr="002330E2">
        <w:rPr>
          <w:lang w:val="en-GB"/>
        </w:rPr>
        <w:t>Poropat</w:t>
      </w:r>
      <w:proofErr w:type="spellEnd"/>
      <w:r w:rsidRPr="002330E2">
        <w:rPr>
          <w:lang w:val="en-GB"/>
        </w:rPr>
        <w:t xml:space="preserve">, A. E. (2014a). A meta-analysis of adult-rated child personality and academic performance in primary education. </w:t>
      </w:r>
      <w:r w:rsidRPr="002330E2">
        <w:rPr>
          <w:i/>
          <w:iCs/>
          <w:lang w:val="en-GB"/>
        </w:rPr>
        <w:t>British Journal of Educational Psychology</w:t>
      </w:r>
      <w:r w:rsidRPr="002330E2">
        <w:rPr>
          <w:lang w:val="en-GB"/>
        </w:rPr>
        <w:t xml:space="preserve">, </w:t>
      </w:r>
      <w:r w:rsidRPr="002330E2">
        <w:rPr>
          <w:i/>
          <w:iCs/>
          <w:lang w:val="en-GB"/>
        </w:rPr>
        <w:t>84</w:t>
      </w:r>
      <w:r w:rsidRPr="002330E2">
        <w:rPr>
          <w:iCs/>
          <w:lang w:val="en-GB"/>
        </w:rPr>
        <w:t>(2)</w:t>
      </w:r>
      <w:r w:rsidRPr="002330E2">
        <w:rPr>
          <w:lang w:val="en-GB"/>
        </w:rPr>
        <w:t>, 239-252.</w:t>
      </w:r>
    </w:p>
    <w:p w14:paraId="7C4A631E" w14:textId="7EE13FAB" w:rsidR="003D56A6" w:rsidRPr="002330E2" w:rsidRDefault="003D56A6" w:rsidP="003D56A6">
      <w:pPr>
        <w:ind w:left="851" w:hanging="851"/>
        <w:jc w:val="both"/>
        <w:rPr>
          <w:lang w:val="en-GB"/>
        </w:rPr>
      </w:pPr>
      <w:proofErr w:type="spellStart"/>
      <w:r w:rsidRPr="002330E2">
        <w:rPr>
          <w:lang w:val="en-GB"/>
        </w:rPr>
        <w:t>Poropat</w:t>
      </w:r>
      <w:proofErr w:type="spellEnd"/>
      <w:r w:rsidRPr="002330E2">
        <w:rPr>
          <w:lang w:val="en-GB"/>
        </w:rPr>
        <w:t>, A. E. (2014b). Other-rated personality and academic performance: Evidence and implications. </w:t>
      </w:r>
      <w:r w:rsidRPr="002330E2">
        <w:rPr>
          <w:i/>
          <w:iCs/>
          <w:lang w:val="en-GB"/>
        </w:rPr>
        <w:t>Learning and Individual Differences, 34,</w:t>
      </w:r>
      <w:r w:rsidRPr="002330E2">
        <w:rPr>
          <w:lang w:val="en-GB"/>
        </w:rPr>
        <w:t> 24–32. </w:t>
      </w:r>
      <w:r w:rsidR="00773F7E" w:rsidRPr="002330E2">
        <w:rPr>
          <w:lang w:val="en-GB"/>
        </w:rPr>
        <w:t xml:space="preserve"> </w:t>
      </w:r>
    </w:p>
    <w:p w14:paraId="4CC97B32" w14:textId="29A8E491" w:rsidR="003D56A6" w:rsidRPr="002330E2" w:rsidRDefault="003D56A6" w:rsidP="003D56A6">
      <w:pPr>
        <w:ind w:left="851" w:hanging="851"/>
        <w:jc w:val="both"/>
        <w:rPr>
          <w:lang w:val="en-GB"/>
        </w:rPr>
      </w:pPr>
      <w:proofErr w:type="spellStart"/>
      <w:r w:rsidRPr="002330E2">
        <w:rPr>
          <w:lang w:val="en-GB"/>
        </w:rPr>
        <w:t>Poropat</w:t>
      </w:r>
      <w:proofErr w:type="spellEnd"/>
      <w:r w:rsidRPr="002330E2">
        <w:rPr>
          <w:lang w:val="en-GB"/>
        </w:rPr>
        <w:t>, A. E</w:t>
      </w:r>
      <w:r w:rsidR="0008669E">
        <w:rPr>
          <w:lang w:val="en-GB"/>
        </w:rPr>
        <w:t>.</w:t>
      </w:r>
      <w:r w:rsidRPr="002330E2">
        <w:rPr>
          <w:lang w:val="en-GB"/>
        </w:rPr>
        <w:t xml:space="preserve"> (2016). Beyond the shadow: The role of personality and temperament in learning. In: </w:t>
      </w:r>
      <w:r w:rsidR="002330E2" w:rsidRPr="002330E2">
        <w:rPr>
          <w:lang w:val="en-GB"/>
        </w:rPr>
        <w:t xml:space="preserve">L. </w:t>
      </w:r>
      <w:proofErr w:type="spellStart"/>
      <w:r w:rsidRPr="002330E2">
        <w:rPr>
          <w:lang w:val="en-GB"/>
        </w:rPr>
        <w:t>Corno</w:t>
      </w:r>
      <w:proofErr w:type="spellEnd"/>
      <w:r w:rsidRPr="002330E2">
        <w:rPr>
          <w:lang w:val="en-GB"/>
        </w:rPr>
        <w:t xml:space="preserve"> &amp; </w:t>
      </w:r>
      <w:r w:rsidR="002330E2" w:rsidRPr="002330E2">
        <w:rPr>
          <w:lang w:val="en-GB"/>
        </w:rPr>
        <w:t xml:space="preserve">E. M. </w:t>
      </w:r>
      <w:r w:rsidRPr="002330E2">
        <w:rPr>
          <w:lang w:val="en-GB"/>
        </w:rPr>
        <w:t>Anderman (Eds.)</w:t>
      </w:r>
      <w:r w:rsidR="0008669E">
        <w:rPr>
          <w:lang w:val="en-GB"/>
        </w:rPr>
        <w:t>,</w:t>
      </w:r>
      <w:r w:rsidRPr="002330E2">
        <w:rPr>
          <w:lang w:val="en-GB"/>
        </w:rPr>
        <w:t xml:space="preserve"> </w:t>
      </w:r>
      <w:r w:rsidRPr="002330E2">
        <w:rPr>
          <w:i/>
          <w:lang w:val="en-GB"/>
        </w:rPr>
        <w:t>Handbook of Educational Psychology</w:t>
      </w:r>
      <w:r w:rsidRPr="002330E2">
        <w:rPr>
          <w:lang w:val="en-GB"/>
        </w:rPr>
        <w:t xml:space="preserve"> (pp. 172-185).  Routledge.</w:t>
      </w:r>
    </w:p>
    <w:p w14:paraId="6FA9F36D" w14:textId="0A833F03" w:rsidR="0027757F" w:rsidRDefault="0027757F" w:rsidP="003D56A6">
      <w:pPr>
        <w:ind w:left="851" w:hanging="851"/>
        <w:jc w:val="both"/>
        <w:rPr>
          <w:szCs w:val="20"/>
          <w:shd w:val="clear" w:color="auto" w:fill="FFFFFF"/>
        </w:rPr>
      </w:pPr>
      <w:proofErr w:type="spellStart"/>
      <w:r w:rsidRPr="00BE019A">
        <w:rPr>
          <w:szCs w:val="20"/>
          <w:shd w:val="clear" w:color="auto" w:fill="FFFFFF"/>
        </w:rPr>
        <w:t>Preacher</w:t>
      </w:r>
      <w:proofErr w:type="spellEnd"/>
      <w:r w:rsidRPr="00BE019A">
        <w:rPr>
          <w:szCs w:val="20"/>
          <w:shd w:val="clear" w:color="auto" w:fill="FFFFFF"/>
        </w:rPr>
        <w:t xml:space="preserve">, K. J., &amp; </w:t>
      </w:r>
      <w:proofErr w:type="spellStart"/>
      <w:r w:rsidRPr="00BE019A">
        <w:rPr>
          <w:szCs w:val="20"/>
          <w:shd w:val="clear" w:color="auto" w:fill="FFFFFF"/>
        </w:rPr>
        <w:t>Hayes</w:t>
      </w:r>
      <w:proofErr w:type="spellEnd"/>
      <w:r w:rsidRPr="00BE019A">
        <w:rPr>
          <w:szCs w:val="20"/>
          <w:shd w:val="clear" w:color="auto" w:fill="FFFFFF"/>
        </w:rPr>
        <w:t xml:space="preserve">, A. F. (2008). </w:t>
      </w:r>
      <w:proofErr w:type="spellStart"/>
      <w:r w:rsidRPr="00BE019A">
        <w:rPr>
          <w:szCs w:val="20"/>
          <w:shd w:val="clear" w:color="auto" w:fill="FFFFFF"/>
        </w:rPr>
        <w:t>Asymptotic</w:t>
      </w:r>
      <w:proofErr w:type="spellEnd"/>
      <w:r w:rsidRPr="00BE019A">
        <w:rPr>
          <w:szCs w:val="20"/>
          <w:shd w:val="clear" w:color="auto" w:fill="FFFFFF"/>
        </w:rPr>
        <w:t xml:space="preserve"> </w:t>
      </w:r>
      <w:proofErr w:type="spellStart"/>
      <w:r w:rsidRPr="00BE019A">
        <w:rPr>
          <w:szCs w:val="20"/>
          <w:shd w:val="clear" w:color="auto" w:fill="FFFFFF"/>
        </w:rPr>
        <w:t>and</w:t>
      </w:r>
      <w:proofErr w:type="spellEnd"/>
      <w:r w:rsidRPr="00BE019A">
        <w:rPr>
          <w:szCs w:val="20"/>
          <w:shd w:val="clear" w:color="auto" w:fill="FFFFFF"/>
        </w:rPr>
        <w:t xml:space="preserve"> </w:t>
      </w:r>
      <w:proofErr w:type="spellStart"/>
      <w:r w:rsidRPr="00BE019A">
        <w:rPr>
          <w:szCs w:val="20"/>
          <w:shd w:val="clear" w:color="auto" w:fill="FFFFFF"/>
        </w:rPr>
        <w:t>resampling</w:t>
      </w:r>
      <w:proofErr w:type="spellEnd"/>
      <w:r w:rsidRPr="00BE019A">
        <w:rPr>
          <w:szCs w:val="20"/>
          <w:shd w:val="clear" w:color="auto" w:fill="FFFFFF"/>
        </w:rPr>
        <w:t xml:space="preserve"> </w:t>
      </w:r>
      <w:proofErr w:type="spellStart"/>
      <w:r w:rsidRPr="00BE019A">
        <w:rPr>
          <w:szCs w:val="20"/>
          <w:shd w:val="clear" w:color="auto" w:fill="FFFFFF"/>
        </w:rPr>
        <w:t>strategies</w:t>
      </w:r>
      <w:proofErr w:type="spellEnd"/>
      <w:r w:rsidRPr="00BE019A">
        <w:rPr>
          <w:szCs w:val="20"/>
          <w:shd w:val="clear" w:color="auto" w:fill="FFFFFF"/>
        </w:rPr>
        <w:t xml:space="preserve"> for </w:t>
      </w:r>
      <w:proofErr w:type="spellStart"/>
      <w:r w:rsidRPr="00BE019A">
        <w:rPr>
          <w:szCs w:val="20"/>
          <w:shd w:val="clear" w:color="auto" w:fill="FFFFFF"/>
        </w:rPr>
        <w:t>assessing</w:t>
      </w:r>
      <w:proofErr w:type="spellEnd"/>
      <w:r w:rsidRPr="00BE019A">
        <w:rPr>
          <w:szCs w:val="20"/>
          <w:shd w:val="clear" w:color="auto" w:fill="FFFFFF"/>
        </w:rPr>
        <w:t xml:space="preserve"> </w:t>
      </w:r>
      <w:proofErr w:type="spellStart"/>
      <w:r w:rsidRPr="00BE019A">
        <w:rPr>
          <w:szCs w:val="20"/>
          <w:shd w:val="clear" w:color="auto" w:fill="FFFFFF"/>
        </w:rPr>
        <w:t>and</w:t>
      </w:r>
      <w:proofErr w:type="spellEnd"/>
      <w:r w:rsidRPr="00BE019A">
        <w:rPr>
          <w:szCs w:val="20"/>
          <w:shd w:val="clear" w:color="auto" w:fill="FFFFFF"/>
        </w:rPr>
        <w:t xml:space="preserve"> </w:t>
      </w:r>
      <w:proofErr w:type="spellStart"/>
      <w:r w:rsidRPr="00BE019A">
        <w:rPr>
          <w:szCs w:val="20"/>
          <w:shd w:val="clear" w:color="auto" w:fill="FFFFFF"/>
        </w:rPr>
        <w:t>comparing</w:t>
      </w:r>
      <w:proofErr w:type="spellEnd"/>
      <w:r w:rsidRPr="00BE019A">
        <w:rPr>
          <w:szCs w:val="20"/>
          <w:shd w:val="clear" w:color="auto" w:fill="FFFFFF"/>
        </w:rPr>
        <w:t xml:space="preserve"> </w:t>
      </w:r>
      <w:proofErr w:type="spellStart"/>
      <w:r w:rsidRPr="00BE019A">
        <w:rPr>
          <w:szCs w:val="20"/>
          <w:shd w:val="clear" w:color="auto" w:fill="FFFFFF"/>
        </w:rPr>
        <w:t>indirect</w:t>
      </w:r>
      <w:proofErr w:type="spellEnd"/>
      <w:r w:rsidRPr="00BE019A">
        <w:rPr>
          <w:szCs w:val="20"/>
          <w:shd w:val="clear" w:color="auto" w:fill="FFFFFF"/>
        </w:rPr>
        <w:t xml:space="preserve"> </w:t>
      </w:r>
      <w:proofErr w:type="spellStart"/>
      <w:r w:rsidRPr="00BE019A">
        <w:rPr>
          <w:szCs w:val="20"/>
          <w:shd w:val="clear" w:color="auto" w:fill="FFFFFF"/>
        </w:rPr>
        <w:t>effects</w:t>
      </w:r>
      <w:proofErr w:type="spellEnd"/>
      <w:r w:rsidRPr="00BE019A">
        <w:rPr>
          <w:szCs w:val="20"/>
          <w:shd w:val="clear" w:color="auto" w:fill="FFFFFF"/>
        </w:rPr>
        <w:t xml:space="preserve"> </w:t>
      </w:r>
      <w:proofErr w:type="spellStart"/>
      <w:r w:rsidRPr="00BE019A">
        <w:rPr>
          <w:szCs w:val="20"/>
          <w:shd w:val="clear" w:color="auto" w:fill="FFFFFF"/>
        </w:rPr>
        <w:t>in</w:t>
      </w:r>
      <w:proofErr w:type="spellEnd"/>
      <w:r w:rsidRPr="00BE019A">
        <w:rPr>
          <w:szCs w:val="20"/>
          <w:shd w:val="clear" w:color="auto" w:fill="FFFFFF"/>
        </w:rPr>
        <w:t xml:space="preserve"> </w:t>
      </w:r>
      <w:proofErr w:type="spellStart"/>
      <w:r w:rsidRPr="00BE019A">
        <w:rPr>
          <w:szCs w:val="20"/>
          <w:shd w:val="clear" w:color="auto" w:fill="FFFFFF"/>
        </w:rPr>
        <w:t>multiple</w:t>
      </w:r>
      <w:proofErr w:type="spellEnd"/>
      <w:r w:rsidRPr="00BE019A">
        <w:rPr>
          <w:szCs w:val="20"/>
          <w:shd w:val="clear" w:color="auto" w:fill="FFFFFF"/>
        </w:rPr>
        <w:t xml:space="preserve"> </w:t>
      </w:r>
      <w:proofErr w:type="spellStart"/>
      <w:r w:rsidRPr="00BE019A">
        <w:rPr>
          <w:szCs w:val="20"/>
          <w:shd w:val="clear" w:color="auto" w:fill="FFFFFF"/>
        </w:rPr>
        <w:t>mediator</w:t>
      </w:r>
      <w:proofErr w:type="spellEnd"/>
      <w:r w:rsidRPr="00BE019A">
        <w:rPr>
          <w:szCs w:val="20"/>
          <w:shd w:val="clear" w:color="auto" w:fill="FFFFFF"/>
        </w:rPr>
        <w:t xml:space="preserve"> </w:t>
      </w:r>
      <w:proofErr w:type="spellStart"/>
      <w:r w:rsidRPr="00BE019A">
        <w:rPr>
          <w:szCs w:val="20"/>
          <w:shd w:val="clear" w:color="auto" w:fill="FFFFFF"/>
        </w:rPr>
        <w:t>models</w:t>
      </w:r>
      <w:proofErr w:type="spellEnd"/>
      <w:r w:rsidRPr="00BE019A">
        <w:rPr>
          <w:szCs w:val="20"/>
          <w:shd w:val="clear" w:color="auto" w:fill="FFFFFF"/>
        </w:rPr>
        <w:t>. </w:t>
      </w:r>
      <w:proofErr w:type="spellStart"/>
      <w:r w:rsidRPr="00BE019A">
        <w:rPr>
          <w:i/>
          <w:iCs/>
          <w:szCs w:val="20"/>
          <w:shd w:val="clear" w:color="auto" w:fill="FFFFFF"/>
        </w:rPr>
        <w:t>Behavior</w:t>
      </w:r>
      <w:proofErr w:type="spellEnd"/>
      <w:r w:rsidRPr="00BE019A">
        <w:rPr>
          <w:i/>
          <w:iCs/>
          <w:szCs w:val="20"/>
          <w:shd w:val="clear" w:color="auto" w:fill="FFFFFF"/>
        </w:rPr>
        <w:t xml:space="preserve"> </w:t>
      </w:r>
      <w:proofErr w:type="spellStart"/>
      <w:r w:rsidRPr="00BE019A">
        <w:rPr>
          <w:i/>
          <w:iCs/>
          <w:szCs w:val="20"/>
          <w:shd w:val="clear" w:color="auto" w:fill="FFFFFF"/>
        </w:rPr>
        <w:t>research</w:t>
      </w:r>
      <w:proofErr w:type="spellEnd"/>
      <w:r w:rsidRPr="00BE019A">
        <w:rPr>
          <w:i/>
          <w:iCs/>
          <w:szCs w:val="20"/>
          <w:shd w:val="clear" w:color="auto" w:fill="FFFFFF"/>
        </w:rPr>
        <w:t xml:space="preserve"> </w:t>
      </w:r>
      <w:proofErr w:type="spellStart"/>
      <w:r w:rsidRPr="00BE019A">
        <w:rPr>
          <w:i/>
          <w:iCs/>
          <w:szCs w:val="20"/>
          <w:shd w:val="clear" w:color="auto" w:fill="FFFFFF"/>
        </w:rPr>
        <w:t>methods</w:t>
      </w:r>
      <w:proofErr w:type="spellEnd"/>
      <w:r w:rsidRPr="00BE019A">
        <w:rPr>
          <w:szCs w:val="20"/>
          <w:shd w:val="clear" w:color="auto" w:fill="FFFFFF"/>
        </w:rPr>
        <w:t>, </w:t>
      </w:r>
      <w:r w:rsidRPr="00BE019A">
        <w:rPr>
          <w:i/>
          <w:iCs/>
          <w:szCs w:val="20"/>
          <w:shd w:val="clear" w:color="auto" w:fill="FFFFFF"/>
        </w:rPr>
        <w:t>40</w:t>
      </w:r>
      <w:r w:rsidRPr="00BE019A">
        <w:rPr>
          <w:szCs w:val="20"/>
          <w:shd w:val="clear" w:color="auto" w:fill="FFFFFF"/>
        </w:rPr>
        <w:t>(3), 879-891.</w:t>
      </w:r>
    </w:p>
    <w:p w14:paraId="68150990" w14:textId="7BA45A21" w:rsidR="00AB10B6" w:rsidRPr="00BE019A" w:rsidRDefault="00AB10B6" w:rsidP="003D56A6">
      <w:pPr>
        <w:ind w:left="851" w:hanging="851"/>
        <w:jc w:val="both"/>
        <w:rPr>
          <w:lang w:val="en-GB"/>
        </w:rPr>
      </w:pPr>
      <w:proofErr w:type="spellStart"/>
      <w:r w:rsidRPr="00BE019A">
        <w:rPr>
          <w:lang w:val="en-GB"/>
        </w:rPr>
        <w:t>Rupčić</w:t>
      </w:r>
      <w:proofErr w:type="spellEnd"/>
      <w:r w:rsidRPr="00BE019A">
        <w:rPr>
          <w:lang w:val="en-GB"/>
        </w:rPr>
        <w:t xml:space="preserve">, I., &amp; </w:t>
      </w:r>
      <w:proofErr w:type="spellStart"/>
      <w:r w:rsidRPr="00BE019A">
        <w:rPr>
          <w:lang w:val="en-GB"/>
        </w:rPr>
        <w:t>Kolić-Vehovec</w:t>
      </w:r>
      <w:proofErr w:type="spellEnd"/>
      <w:r w:rsidRPr="00BE019A">
        <w:rPr>
          <w:lang w:val="en-GB"/>
        </w:rPr>
        <w:t xml:space="preserve">, S. (2004). </w:t>
      </w:r>
      <w:proofErr w:type="spellStart"/>
      <w:r w:rsidRPr="00BE019A">
        <w:rPr>
          <w:lang w:val="en-GB"/>
        </w:rPr>
        <w:t>Ciljna</w:t>
      </w:r>
      <w:proofErr w:type="spellEnd"/>
      <w:r w:rsidRPr="00BE019A">
        <w:rPr>
          <w:lang w:val="en-GB"/>
        </w:rPr>
        <w:t xml:space="preserve"> </w:t>
      </w:r>
      <w:proofErr w:type="spellStart"/>
      <w:r w:rsidRPr="00BE019A">
        <w:rPr>
          <w:lang w:val="en-GB"/>
        </w:rPr>
        <w:t>orijentacija</w:t>
      </w:r>
      <w:proofErr w:type="spellEnd"/>
      <w:r w:rsidRPr="00BE019A">
        <w:rPr>
          <w:lang w:val="en-GB"/>
        </w:rPr>
        <w:t xml:space="preserve">, </w:t>
      </w:r>
      <w:proofErr w:type="spellStart"/>
      <w:r w:rsidRPr="00BE019A">
        <w:rPr>
          <w:lang w:val="en-GB"/>
        </w:rPr>
        <w:t>samohendikepiranje</w:t>
      </w:r>
      <w:proofErr w:type="spellEnd"/>
      <w:r w:rsidRPr="00BE019A">
        <w:rPr>
          <w:lang w:val="en-GB"/>
        </w:rPr>
        <w:t xml:space="preserve"> </w:t>
      </w:r>
      <w:proofErr w:type="spellStart"/>
      <w:r w:rsidRPr="00BE019A">
        <w:rPr>
          <w:lang w:val="en-GB"/>
        </w:rPr>
        <w:t>i</w:t>
      </w:r>
      <w:proofErr w:type="spellEnd"/>
      <w:r w:rsidRPr="00BE019A">
        <w:rPr>
          <w:lang w:val="en-GB"/>
        </w:rPr>
        <w:t xml:space="preserve"> </w:t>
      </w:r>
      <w:proofErr w:type="spellStart"/>
      <w:r w:rsidRPr="00BE019A">
        <w:rPr>
          <w:lang w:val="en-GB"/>
        </w:rPr>
        <w:t>samoefikasnost</w:t>
      </w:r>
      <w:proofErr w:type="spellEnd"/>
      <w:r w:rsidRPr="00BE019A">
        <w:rPr>
          <w:lang w:val="en-GB"/>
        </w:rPr>
        <w:t xml:space="preserve"> </w:t>
      </w:r>
      <w:proofErr w:type="spellStart"/>
      <w:r w:rsidRPr="00BE019A">
        <w:rPr>
          <w:lang w:val="en-GB"/>
        </w:rPr>
        <w:t>srednjoškolaca</w:t>
      </w:r>
      <w:proofErr w:type="spellEnd"/>
      <w:r w:rsidRPr="00BE019A">
        <w:rPr>
          <w:lang w:val="en-GB"/>
        </w:rPr>
        <w:t xml:space="preserve">. </w:t>
      </w:r>
      <w:r>
        <w:rPr>
          <w:lang w:val="en-GB"/>
        </w:rPr>
        <w:t xml:space="preserve">[Goal orientations, self-handicapping and self-efficacy of high school students.] </w:t>
      </w:r>
      <w:proofErr w:type="spellStart"/>
      <w:r w:rsidRPr="00BE019A">
        <w:rPr>
          <w:i/>
          <w:lang w:val="en-GB"/>
        </w:rPr>
        <w:t>Psihologijske</w:t>
      </w:r>
      <w:proofErr w:type="spellEnd"/>
      <w:r w:rsidRPr="00BE019A">
        <w:rPr>
          <w:i/>
          <w:lang w:val="en-GB"/>
        </w:rPr>
        <w:t xml:space="preserve"> </w:t>
      </w:r>
      <w:proofErr w:type="spellStart"/>
      <w:r w:rsidRPr="00BE019A">
        <w:rPr>
          <w:i/>
          <w:lang w:val="en-GB"/>
        </w:rPr>
        <w:t>teme</w:t>
      </w:r>
      <w:proofErr w:type="spellEnd"/>
      <w:r w:rsidRPr="00BE019A">
        <w:rPr>
          <w:i/>
          <w:lang w:val="en-GB"/>
        </w:rPr>
        <w:t>, 13</w:t>
      </w:r>
      <w:r w:rsidRPr="00BE019A">
        <w:rPr>
          <w:lang w:val="en-GB"/>
        </w:rPr>
        <w:t>(1.), 105-117.</w:t>
      </w:r>
    </w:p>
    <w:p w14:paraId="68880C65" w14:textId="3631173E" w:rsidR="003D56A6" w:rsidRPr="002330E2" w:rsidRDefault="003D56A6" w:rsidP="003D56A6">
      <w:pPr>
        <w:ind w:left="851" w:hanging="851"/>
        <w:jc w:val="both"/>
        <w:rPr>
          <w:lang w:val="en-GB" w:eastAsia="hr-HR"/>
        </w:rPr>
      </w:pPr>
      <w:r w:rsidRPr="002330E2">
        <w:rPr>
          <w:lang w:val="en-GB"/>
        </w:rPr>
        <w:lastRenderedPageBreak/>
        <w:t xml:space="preserve">Schneider, M. &amp; </w:t>
      </w:r>
      <w:proofErr w:type="spellStart"/>
      <w:r w:rsidRPr="002330E2">
        <w:rPr>
          <w:lang w:val="en-GB"/>
        </w:rPr>
        <w:t>Preckel</w:t>
      </w:r>
      <w:proofErr w:type="spellEnd"/>
      <w:r w:rsidRPr="002330E2">
        <w:rPr>
          <w:lang w:val="en-GB"/>
        </w:rPr>
        <w:t xml:space="preserve">, F. (2017). Variables associated with achievement in higher education: A systematic review of meta-analyses. </w:t>
      </w:r>
      <w:r w:rsidRPr="002330E2">
        <w:rPr>
          <w:i/>
          <w:lang w:val="en-GB"/>
        </w:rPr>
        <w:t>Psychological Bulletin</w:t>
      </w:r>
      <w:r w:rsidRPr="002330E2">
        <w:rPr>
          <w:lang w:val="en-GB"/>
        </w:rPr>
        <w:t xml:space="preserve">.  </w:t>
      </w:r>
      <w:r w:rsidRPr="002330E2">
        <w:rPr>
          <w:i/>
          <w:lang w:val="en-GB" w:eastAsia="hr-HR"/>
        </w:rPr>
        <w:t>143</w:t>
      </w:r>
      <w:r w:rsidRPr="002330E2">
        <w:rPr>
          <w:lang w:val="en-GB" w:eastAsia="hr-HR"/>
        </w:rPr>
        <w:t>(6), 565-600.</w:t>
      </w:r>
    </w:p>
    <w:p w14:paraId="14557DDE" w14:textId="495A0563" w:rsidR="000B5183" w:rsidRPr="002330E2" w:rsidRDefault="000B5183" w:rsidP="003D56A6">
      <w:pPr>
        <w:ind w:left="851" w:hanging="851"/>
        <w:jc w:val="both"/>
        <w:rPr>
          <w:sz w:val="32"/>
          <w:lang w:val="en-GB" w:eastAsia="hr-HR"/>
        </w:rPr>
      </w:pPr>
      <w:r w:rsidRPr="002330E2">
        <w:rPr>
          <w:szCs w:val="20"/>
          <w:shd w:val="clear" w:color="auto" w:fill="FFFFFF"/>
          <w:lang w:val="en-GB"/>
        </w:rPr>
        <w:t xml:space="preserve">Schwinger, M., </w:t>
      </w:r>
      <w:proofErr w:type="spellStart"/>
      <w:r w:rsidRPr="002330E2">
        <w:rPr>
          <w:szCs w:val="20"/>
          <w:shd w:val="clear" w:color="auto" w:fill="FFFFFF"/>
          <w:lang w:val="en-GB"/>
        </w:rPr>
        <w:t>Wirthwein</w:t>
      </w:r>
      <w:proofErr w:type="spellEnd"/>
      <w:r w:rsidRPr="002330E2">
        <w:rPr>
          <w:szCs w:val="20"/>
          <w:shd w:val="clear" w:color="auto" w:fill="FFFFFF"/>
          <w:lang w:val="en-GB"/>
        </w:rPr>
        <w:t xml:space="preserve">, L., </w:t>
      </w:r>
      <w:proofErr w:type="spellStart"/>
      <w:r w:rsidRPr="002330E2">
        <w:rPr>
          <w:szCs w:val="20"/>
          <w:shd w:val="clear" w:color="auto" w:fill="FFFFFF"/>
          <w:lang w:val="en-GB"/>
        </w:rPr>
        <w:t>Lemmer</w:t>
      </w:r>
      <w:proofErr w:type="spellEnd"/>
      <w:r w:rsidRPr="002330E2">
        <w:rPr>
          <w:szCs w:val="20"/>
          <w:shd w:val="clear" w:color="auto" w:fill="FFFFFF"/>
          <w:lang w:val="en-GB"/>
        </w:rPr>
        <w:t xml:space="preserve">, G., &amp; </w:t>
      </w:r>
      <w:proofErr w:type="spellStart"/>
      <w:r w:rsidRPr="002330E2">
        <w:rPr>
          <w:szCs w:val="20"/>
          <w:shd w:val="clear" w:color="auto" w:fill="FFFFFF"/>
          <w:lang w:val="en-GB"/>
        </w:rPr>
        <w:t>Steinmayr</w:t>
      </w:r>
      <w:proofErr w:type="spellEnd"/>
      <w:r w:rsidRPr="002330E2">
        <w:rPr>
          <w:szCs w:val="20"/>
          <w:shd w:val="clear" w:color="auto" w:fill="FFFFFF"/>
          <w:lang w:val="en-GB"/>
        </w:rPr>
        <w:t>, R. (2014). Academic self-handicapping and achievement: A meta-analysis. </w:t>
      </w:r>
      <w:r w:rsidRPr="002330E2">
        <w:rPr>
          <w:i/>
          <w:iCs/>
          <w:szCs w:val="20"/>
          <w:shd w:val="clear" w:color="auto" w:fill="FFFFFF"/>
          <w:lang w:val="en-GB"/>
        </w:rPr>
        <w:t>Journal of Educational Psychology</w:t>
      </w:r>
      <w:r w:rsidRPr="002330E2">
        <w:rPr>
          <w:szCs w:val="20"/>
          <w:shd w:val="clear" w:color="auto" w:fill="FFFFFF"/>
          <w:lang w:val="en-GB"/>
        </w:rPr>
        <w:t>, </w:t>
      </w:r>
      <w:r w:rsidRPr="002330E2">
        <w:rPr>
          <w:i/>
          <w:iCs/>
          <w:szCs w:val="20"/>
          <w:shd w:val="clear" w:color="auto" w:fill="FFFFFF"/>
          <w:lang w:val="en-GB"/>
        </w:rPr>
        <w:t>106</w:t>
      </w:r>
      <w:r w:rsidRPr="002330E2">
        <w:rPr>
          <w:szCs w:val="20"/>
          <w:shd w:val="clear" w:color="auto" w:fill="FFFFFF"/>
          <w:lang w:val="en-GB"/>
        </w:rPr>
        <w:t>(3), 744.</w:t>
      </w:r>
    </w:p>
    <w:p w14:paraId="465079B9" w14:textId="094EF6FD" w:rsidR="003D56A6" w:rsidRPr="002330E2" w:rsidRDefault="003D56A6" w:rsidP="003D56A6">
      <w:pPr>
        <w:ind w:left="851" w:hanging="851"/>
        <w:jc w:val="both"/>
        <w:rPr>
          <w:rFonts w:eastAsiaTheme="minorHAnsi"/>
          <w:lang w:val="en-GB" w:eastAsia="en-US"/>
        </w:rPr>
      </w:pPr>
      <w:proofErr w:type="spellStart"/>
      <w:r w:rsidRPr="002330E2">
        <w:rPr>
          <w:lang w:val="en-GB"/>
        </w:rPr>
        <w:t>Sorić</w:t>
      </w:r>
      <w:proofErr w:type="spellEnd"/>
      <w:r w:rsidRPr="002330E2">
        <w:rPr>
          <w:lang w:val="en-GB"/>
        </w:rPr>
        <w:t xml:space="preserve">, I., </w:t>
      </w:r>
      <w:proofErr w:type="spellStart"/>
      <w:r w:rsidRPr="002330E2">
        <w:rPr>
          <w:lang w:val="en-GB"/>
        </w:rPr>
        <w:t>Penezić</w:t>
      </w:r>
      <w:proofErr w:type="spellEnd"/>
      <w:r w:rsidRPr="002330E2">
        <w:rPr>
          <w:lang w:val="en-GB"/>
        </w:rPr>
        <w:t>, Z., &amp; Burić, I. (2013). Big Five personality traits, cognitive appraisals and emotion regulation strategies as predictors of achievement emotions.</w:t>
      </w:r>
      <w:r w:rsidRPr="002330E2">
        <w:rPr>
          <w:i/>
          <w:iCs/>
          <w:lang w:val="en-GB"/>
        </w:rPr>
        <w:t xml:space="preserve"> </w:t>
      </w:r>
      <w:proofErr w:type="spellStart"/>
      <w:r w:rsidRPr="002330E2">
        <w:rPr>
          <w:i/>
          <w:iCs/>
          <w:lang w:val="en-GB"/>
        </w:rPr>
        <w:t>Psihologijske</w:t>
      </w:r>
      <w:proofErr w:type="spellEnd"/>
      <w:r w:rsidRPr="002330E2">
        <w:rPr>
          <w:i/>
          <w:iCs/>
          <w:lang w:val="en-GB"/>
        </w:rPr>
        <w:t xml:space="preserve"> </w:t>
      </w:r>
      <w:proofErr w:type="spellStart"/>
      <w:r w:rsidRPr="002330E2">
        <w:rPr>
          <w:i/>
          <w:iCs/>
          <w:lang w:val="en-GB"/>
        </w:rPr>
        <w:t>teme</w:t>
      </w:r>
      <w:proofErr w:type="spellEnd"/>
      <w:r w:rsidRPr="002330E2">
        <w:rPr>
          <w:i/>
          <w:iCs/>
          <w:lang w:val="en-GB"/>
        </w:rPr>
        <w:t>,</w:t>
      </w:r>
      <w:r w:rsidRPr="002330E2">
        <w:rPr>
          <w:lang w:val="en-GB"/>
        </w:rPr>
        <w:t> </w:t>
      </w:r>
      <w:r w:rsidRPr="002330E2">
        <w:rPr>
          <w:bCs/>
          <w:i/>
          <w:lang w:val="en-GB"/>
        </w:rPr>
        <w:t>22</w:t>
      </w:r>
      <w:r w:rsidRPr="002330E2">
        <w:rPr>
          <w:bCs/>
          <w:lang w:val="en-GB"/>
        </w:rPr>
        <w:t>(2),</w:t>
      </w:r>
      <w:r w:rsidRPr="002330E2">
        <w:rPr>
          <w:b/>
          <w:bCs/>
          <w:lang w:val="en-GB"/>
        </w:rPr>
        <w:t xml:space="preserve"> </w:t>
      </w:r>
      <w:r w:rsidRPr="002330E2">
        <w:rPr>
          <w:lang w:val="en-GB"/>
        </w:rPr>
        <w:t>325-349.</w:t>
      </w:r>
    </w:p>
    <w:p w14:paraId="185A91CA" w14:textId="37906ADB" w:rsidR="003D56A6" w:rsidRPr="002330E2" w:rsidRDefault="003D56A6" w:rsidP="003D56A6">
      <w:pPr>
        <w:ind w:left="851" w:hanging="851"/>
        <w:jc w:val="both"/>
        <w:rPr>
          <w:lang w:val="en-GB"/>
        </w:rPr>
      </w:pPr>
      <w:proofErr w:type="spellStart"/>
      <w:r w:rsidRPr="002330E2">
        <w:rPr>
          <w:lang w:val="en-GB"/>
        </w:rPr>
        <w:t>Spinath</w:t>
      </w:r>
      <w:proofErr w:type="spellEnd"/>
      <w:r w:rsidRPr="002330E2">
        <w:rPr>
          <w:lang w:val="en-GB"/>
        </w:rPr>
        <w:t xml:space="preserve">, B., </w:t>
      </w:r>
      <w:proofErr w:type="spellStart"/>
      <w:r w:rsidRPr="002330E2">
        <w:rPr>
          <w:lang w:val="en-GB"/>
        </w:rPr>
        <w:t>Freudenthaler</w:t>
      </w:r>
      <w:proofErr w:type="spellEnd"/>
      <w:r w:rsidRPr="002330E2">
        <w:rPr>
          <w:lang w:val="en-GB"/>
        </w:rPr>
        <w:t xml:space="preserve">, H.H. &amp; </w:t>
      </w:r>
      <w:proofErr w:type="spellStart"/>
      <w:r w:rsidRPr="002330E2">
        <w:rPr>
          <w:lang w:val="en-GB"/>
        </w:rPr>
        <w:t>Neubauer</w:t>
      </w:r>
      <w:proofErr w:type="spellEnd"/>
      <w:r w:rsidRPr="002330E2">
        <w:rPr>
          <w:lang w:val="en-GB"/>
        </w:rPr>
        <w:t>, A.C. (2010). Domain-specific school achievement of boys and girls as predic</w:t>
      </w:r>
      <w:r w:rsidR="0008669E">
        <w:rPr>
          <w:lang w:val="en-GB"/>
        </w:rPr>
        <w:t>t</w:t>
      </w:r>
      <w:r w:rsidRPr="002330E2">
        <w:rPr>
          <w:lang w:val="en-GB"/>
        </w:rPr>
        <w:t xml:space="preserve">ed by intelligence, personality and motivation. </w:t>
      </w:r>
      <w:r w:rsidRPr="002330E2">
        <w:rPr>
          <w:i/>
          <w:lang w:val="en-GB"/>
        </w:rPr>
        <w:t>Personality and Individual Differences, 48</w:t>
      </w:r>
      <w:r w:rsidRPr="002330E2">
        <w:rPr>
          <w:lang w:val="en-GB"/>
        </w:rPr>
        <w:t>(4), 481- 486.</w:t>
      </w:r>
    </w:p>
    <w:p w14:paraId="0F4AC4A8" w14:textId="40DA270B" w:rsidR="006B27EC" w:rsidRPr="002330E2" w:rsidRDefault="006B27EC" w:rsidP="003D56A6">
      <w:pPr>
        <w:ind w:left="851" w:hanging="851"/>
        <w:jc w:val="both"/>
        <w:rPr>
          <w:sz w:val="32"/>
          <w:lang w:val="en-GB"/>
        </w:rPr>
      </w:pPr>
      <w:proofErr w:type="spellStart"/>
      <w:r w:rsidRPr="00BE019A">
        <w:rPr>
          <w:szCs w:val="20"/>
          <w:shd w:val="clear" w:color="auto" w:fill="FFFFFF"/>
          <w:lang w:val="en-GB"/>
        </w:rPr>
        <w:t>Stajkovic</w:t>
      </w:r>
      <w:proofErr w:type="spellEnd"/>
      <w:r w:rsidRPr="00BE019A">
        <w:rPr>
          <w:szCs w:val="20"/>
          <w:shd w:val="clear" w:color="auto" w:fill="FFFFFF"/>
          <w:lang w:val="en-GB"/>
        </w:rPr>
        <w:t xml:space="preserve">, A. D., Bandura, A., Locke, E. A., Lee, D., &amp; </w:t>
      </w:r>
      <w:proofErr w:type="spellStart"/>
      <w:r w:rsidRPr="00BE019A">
        <w:rPr>
          <w:szCs w:val="20"/>
          <w:shd w:val="clear" w:color="auto" w:fill="FFFFFF"/>
          <w:lang w:val="en-GB"/>
        </w:rPr>
        <w:t>Sergent</w:t>
      </w:r>
      <w:proofErr w:type="spellEnd"/>
      <w:r w:rsidRPr="00BE019A">
        <w:rPr>
          <w:szCs w:val="20"/>
          <w:shd w:val="clear" w:color="auto" w:fill="FFFFFF"/>
          <w:lang w:val="en-GB"/>
        </w:rPr>
        <w:t>, K. (2018). Test of three conceptual models of influence of the big five personality traits and self-efficacy on academic performance: A meta-analytic path-analysis. </w:t>
      </w:r>
      <w:r w:rsidRPr="00BE019A">
        <w:rPr>
          <w:i/>
          <w:iCs/>
          <w:szCs w:val="20"/>
          <w:shd w:val="clear" w:color="auto" w:fill="FFFFFF"/>
          <w:lang w:val="en-GB"/>
        </w:rPr>
        <w:t>Personality and individual differences</w:t>
      </w:r>
      <w:r w:rsidRPr="00BE019A">
        <w:rPr>
          <w:szCs w:val="20"/>
          <w:shd w:val="clear" w:color="auto" w:fill="FFFFFF"/>
          <w:lang w:val="en-GB"/>
        </w:rPr>
        <w:t>, </w:t>
      </w:r>
      <w:r w:rsidRPr="00BE019A">
        <w:rPr>
          <w:i/>
          <w:iCs/>
          <w:szCs w:val="20"/>
          <w:shd w:val="clear" w:color="auto" w:fill="FFFFFF"/>
          <w:lang w:val="en-GB"/>
        </w:rPr>
        <w:t>120</w:t>
      </w:r>
      <w:r w:rsidRPr="00BE019A">
        <w:rPr>
          <w:szCs w:val="20"/>
          <w:shd w:val="clear" w:color="auto" w:fill="FFFFFF"/>
          <w:lang w:val="en-GB"/>
        </w:rPr>
        <w:t>, 238-245.</w:t>
      </w:r>
    </w:p>
    <w:p w14:paraId="08100016" w14:textId="217F3E23" w:rsidR="003D56A6" w:rsidRPr="002330E2" w:rsidRDefault="003D56A6" w:rsidP="00BE019A">
      <w:pPr>
        <w:ind w:left="851" w:hanging="851"/>
        <w:jc w:val="both"/>
        <w:rPr>
          <w:lang w:val="en-GB"/>
        </w:rPr>
      </w:pPr>
      <w:proofErr w:type="spellStart"/>
      <w:r w:rsidRPr="002330E2">
        <w:rPr>
          <w:lang w:val="en-GB"/>
        </w:rPr>
        <w:t>Trautwein</w:t>
      </w:r>
      <w:proofErr w:type="spellEnd"/>
      <w:r w:rsidRPr="002330E2">
        <w:rPr>
          <w:lang w:val="en-GB"/>
        </w:rPr>
        <w:t xml:space="preserve">, U., </w:t>
      </w:r>
      <w:proofErr w:type="spellStart"/>
      <w:r w:rsidRPr="002330E2">
        <w:rPr>
          <w:lang w:val="en-GB"/>
        </w:rPr>
        <w:t>Lüdtke</w:t>
      </w:r>
      <w:proofErr w:type="spellEnd"/>
      <w:r w:rsidRPr="002330E2">
        <w:rPr>
          <w:lang w:val="en-GB"/>
        </w:rPr>
        <w:t xml:space="preserve">, O., Roberts, B. W., Schnyder, I. &amp; </w:t>
      </w:r>
      <w:proofErr w:type="spellStart"/>
      <w:r w:rsidRPr="002330E2">
        <w:rPr>
          <w:lang w:val="en-GB"/>
        </w:rPr>
        <w:t>Niggli</w:t>
      </w:r>
      <w:proofErr w:type="spellEnd"/>
      <w:r w:rsidRPr="002330E2">
        <w:rPr>
          <w:lang w:val="en-GB"/>
        </w:rPr>
        <w:t>, A. (2009). Different Forces, Same Consequence: Conscientiousness and Competence Beliefs Are Independent Predictors of Academic Effort and Achievement. </w:t>
      </w:r>
      <w:r w:rsidRPr="002330E2">
        <w:rPr>
          <w:i/>
          <w:iCs/>
          <w:lang w:val="en-GB"/>
        </w:rPr>
        <w:t>Journal of Personality and Social Psychology</w:t>
      </w:r>
      <w:r w:rsidRPr="002330E2">
        <w:rPr>
          <w:lang w:val="en-GB"/>
        </w:rPr>
        <w:t>, </w:t>
      </w:r>
      <w:r w:rsidRPr="002330E2">
        <w:rPr>
          <w:i/>
          <w:iCs/>
          <w:lang w:val="en-GB"/>
        </w:rPr>
        <w:t>97</w:t>
      </w:r>
      <w:r w:rsidRPr="002330E2">
        <w:rPr>
          <w:lang w:val="en-GB"/>
        </w:rPr>
        <w:t>(6), 1115-1128.</w:t>
      </w:r>
    </w:p>
    <w:p w14:paraId="68DFFE31" w14:textId="7B54F63D" w:rsidR="003D56A6" w:rsidRPr="002330E2" w:rsidRDefault="003D56A6" w:rsidP="003D56A6">
      <w:pPr>
        <w:ind w:left="851" w:hanging="851"/>
        <w:jc w:val="both"/>
        <w:rPr>
          <w:lang w:val="en-GB"/>
        </w:rPr>
      </w:pPr>
      <w:proofErr w:type="spellStart"/>
      <w:r w:rsidRPr="002330E2">
        <w:rPr>
          <w:lang w:val="en-GB"/>
        </w:rPr>
        <w:t>Vedel</w:t>
      </w:r>
      <w:proofErr w:type="spellEnd"/>
      <w:r w:rsidRPr="002330E2">
        <w:rPr>
          <w:lang w:val="en-GB"/>
        </w:rPr>
        <w:t xml:space="preserve">, A. &amp; </w:t>
      </w:r>
      <w:proofErr w:type="spellStart"/>
      <w:r w:rsidRPr="002330E2">
        <w:rPr>
          <w:lang w:val="en-GB"/>
        </w:rPr>
        <w:t>Poropat</w:t>
      </w:r>
      <w:proofErr w:type="spellEnd"/>
      <w:r w:rsidRPr="002330E2">
        <w:rPr>
          <w:lang w:val="en-GB"/>
        </w:rPr>
        <w:t>, A. E. (2017). Personality and academic performance. In: V. Zeigler-Hill, &amp; T. Shackelford (Eds.), </w:t>
      </w:r>
      <w:proofErr w:type="spellStart"/>
      <w:r w:rsidRPr="002330E2">
        <w:rPr>
          <w:i/>
          <w:iCs/>
          <w:lang w:val="en-GB"/>
        </w:rPr>
        <w:t>Encyclopedia</w:t>
      </w:r>
      <w:proofErr w:type="spellEnd"/>
      <w:r w:rsidRPr="002330E2">
        <w:rPr>
          <w:i/>
          <w:iCs/>
          <w:lang w:val="en-GB"/>
        </w:rPr>
        <w:t xml:space="preserve"> of personality and individual differences </w:t>
      </w:r>
      <w:r w:rsidRPr="002330E2">
        <w:rPr>
          <w:lang w:val="en-GB"/>
        </w:rPr>
        <w:t>(pp. 1-9). Springer.</w:t>
      </w:r>
    </w:p>
    <w:p w14:paraId="7B826A96" w14:textId="65BB3C7A" w:rsidR="00FC7EC6" w:rsidRPr="002330E2" w:rsidRDefault="004A51F3" w:rsidP="004A51F3">
      <w:pPr>
        <w:ind w:left="851" w:hanging="851"/>
        <w:jc w:val="both"/>
        <w:rPr>
          <w:lang w:val="en-GB"/>
        </w:rPr>
      </w:pPr>
      <w:proofErr w:type="spellStart"/>
      <w:r w:rsidRPr="002330E2">
        <w:rPr>
          <w:lang w:val="en-GB"/>
        </w:rPr>
        <w:t>Vrdoljak</w:t>
      </w:r>
      <w:proofErr w:type="spellEnd"/>
      <w:r w:rsidRPr="002330E2">
        <w:rPr>
          <w:lang w:val="en-GB"/>
        </w:rPr>
        <w:t xml:space="preserve">, G. (2015). </w:t>
      </w:r>
      <w:proofErr w:type="spellStart"/>
      <w:r w:rsidRPr="002330E2">
        <w:rPr>
          <w:i/>
          <w:lang w:val="en-GB"/>
        </w:rPr>
        <w:t>Ciljne</w:t>
      </w:r>
      <w:proofErr w:type="spellEnd"/>
      <w:r w:rsidRPr="002330E2">
        <w:rPr>
          <w:i/>
          <w:lang w:val="en-GB"/>
        </w:rPr>
        <w:t xml:space="preserve"> </w:t>
      </w:r>
      <w:proofErr w:type="spellStart"/>
      <w:r w:rsidRPr="002330E2">
        <w:rPr>
          <w:i/>
          <w:lang w:val="en-GB"/>
        </w:rPr>
        <w:t>orijentacije</w:t>
      </w:r>
      <w:proofErr w:type="spellEnd"/>
      <w:r w:rsidRPr="002330E2">
        <w:rPr>
          <w:i/>
          <w:lang w:val="en-GB"/>
        </w:rPr>
        <w:t xml:space="preserve"> </w:t>
      </w:r>
      <w:proofErr w:type="spellStart"/>
      <w:r w:rsidRPr="002330E2">
        <w:rPr>
          <w:i/>
          <w:lang w:val="en-GB"/>
        </w:rPr>
        <w:t>za</w:t>
      </w:r>
      <w:proofErr w:type="spellEnd"/>
      <w:r w:rsidRPr="002330E2">
        <w:rPr>
          <w:i/>
          <w:lang w:val="en-GB"/>
        </w:rPr>
        <w:t xml:space="preserve"> </w:t>
      </w:r>
      <w:proofErr w:type="spellStart"/>
      <w:r w:rsidRPr="002330E2">
        <w:rPr>
          <w:i/>
          <w:lang w:val="en-GB"/>
        </w:rPr>
        <w:t>učenje</w:t>
      </w:r>
      <w:proofErr w:type="spellEnd"/>
      <w:r w:rsidRPr="002330E2">
        <w:rPr>
          <w:i/>
          <w:lang w:val="en-GB"/>
        </w:rPr>
        <w:t xml:space="preserve">, </w:t>
      </w:r>
      <w:proofErr w:type="spellStart"/>
      <w:r w:rsidRPr="002330E2">
        <w:rPr>
          <w:i/>
          <w:lang w:val="en-GB"/>
        </w:rPr>
        <w:t>ličnost</w:t>
      </w:r>
      <w:proofErr w:type="spellEnd"/>
      <w:r w:rsidRPr="002330E2">
        <w:rPr>
          <w:i/>
          <w:lang w:val="en-GB"/>
        </w:rPr>
        <w:t xml:space="preserve"> </w:t>
      </w:r>
      <w:proofErr w:type="spellStart"/>
      <w:r w:rsidRPr="002330E2">
        <w:rPr>
          <w:i/>
          <w:lang w:val="en-GB"/>
        </w:rPr>
        <w:t>i</w:t>
      </w:r>
      <w:proofErr w:type="spellEnd"/>
      <w:r w:rsidRPr="002330E2">
        <w:rPr>
          <w:i/>
          <w:lang w:val="en-GB"/>
        </w:rPr>
        <w:t xml:space="preserve"> </w:t>
      </w:r>
      <w:proofErr w:type="spellStart"/>
      <w:r w:rsidRPr="002330E2">
        <w:rPr>
          <w:i/>
          <w:lang w:val="en-GB"/>
        </w:rPr>
        <w:t>obrazovni</w:t>
      </w:r>
      <w:proofErr w:type="spellEnd"/>
      <w:r w:rsidRPr="002330E2">
        <w:rPr>
          <w:i/>
          <w:lang w:val="en-GB"/>
        </w:rPr>
        <w:t xml:space="preserve"> </w:t>
      </w:r>
      <w:proofErr w:type="spellStart"/>
      <w:r w:rsidRPr="002330E2">
        <w:rPr>
          <w:i/>
          <w:lang w:val="en-GB"/>
        </w:rPr>
        <w:t>ishodi</w:t>
      </w:r>
      <w:proofErr w:type="spellEnd"/>
      <w:r w:rsidRPr="002330E2">
        <w:rPr>
          <w:i/>
          <w:lang w:val="en-GB"/>
        </w:rPr>
        <w:t xml:space="preserve"> u </w:t>
      </w:r>
      <w:proofErr w:type="spellStart"/>
      <w:r w:rsidRPr="002330E2">
        <w:rPr>
          <w:i/>
          <w:lang w:val="en-GB"/>
        </w:rPr>
        <w:t>nastavi</w:t>
      </w:r>
      <w:proofErr w:type="spellEnd"/>
      <w:r w:rsidRPr="002330E2">
        <w:rPr>
          <w:i/>
          <w:lang w:val="en-GB"/>
        </w:rPr>
        <w:t xml:space="preserve"> </w:t>
      </w:r>
      <w:proofErr w:type="spellStart"/>
      <w:r w:rsidRPr="002330E2">
        <w:rPr>
          <w:i/>
          <w:lang w:val="en-GB"/>
        </w:rPr>
        <w:t>fizike</w:t>
      </w:r>
      <w:proofErr w:type="spellEnd"/>
      <w:r w:rsidR="00A934C4" w:rsidRPr="002330E2">
        <w:rPr>
          <w:lang w:val="en-GB"/>
        </w:rPr>
        <w:t>. [Goal orientations for learning, personality and educational outcomes in physics education.]</w:t>
      </w:r>
      <w:r w:rsidRPr="002330E2">
        <w:rPr>
          <w:lang w:val="en-GB"/>
        </w:rPr>
        <w:t xml:space="preserve"> Doctoral dissertation, University of Zagreb, Croatia.</w:t>
      </w:r>
    </w:p>
    <w:p w14:paraId="4A466AC9" w14:textId="632C9340" w:rsidR="00961884" w:rsidRDefault="00FE5F53" w:rsidP="004A51F3">
      <w:pPr>
        <w:ind w:left="851" w:hanging="851"/>
        <w:jc w:val="both"/>
        <w:rPr>
          <w:szCs w:val="20"/>
          <w:shd w:val="clear" w:color="auto" w:fill="FFFFFF"/>
        </w:rPr>
      </w:pPr>
      <w:proofErr w:type="spellStart"/>
      <w:r w:rsidRPr="00BE019A">
        <w:rPr>
          <w:szCs w:val="20"/>
          <w:shd w:val="clear" w:color="auto" w:fill="FFFFFF"/>
        </w:rPr>
        <w:t>Zimmerman</w:t>
      </w:r>
      <w:proofErr w:type="spellEnd"/>
      <w:r w:rsidRPr="00BE019A">
        <w:rPr>
          <w:szCs w:val="20"/>
          <w:shd w:val="clear" w:color="auto" w:fill="FFFFFF"/>
        </w:rPr>
        <w:t xml:space="preserve">, B. J. (2000). </w:t>
      </w:r>
      <w:proofErr w:type="spellStart"/>
      <w:r w:rsidRPr="00BE019A">
        <w:rPr>
          <w:szCs w:val="20"/>
          <w:shd w:val="clear" w:color="auto" w:fill="FFFFFF"/>
        </w:rPr>
        <w:t>Self-efficacy</w:t>
      </w:r>
      <w:proofErr w:type="spellEnd"/>
      <w:r w:rsidRPr="00BE019A">
        <w:rPr>
          <w:szCs w:val="20"/>
          <w:shd w:val="clear" w:color="auto" w:fill="FFFFFF"/>
        </w:rPr>
        <w:t xml:space="preserve">: </w:t>
      </w:r>
      <w:proofErr w:type="spellStart"/>
      <w:r w:rsidRPr="00BE019A">
        <w:rPr>
          <w:szCs w:val="20"/>
          <w:shd w:val="clear" w:color="auto" w:fill="FFFFFF"/>
        </w:rPr>
        <w:t>An</w:t>
      </w:r>
      <w:proofErr w:type="spellEnd"/>
      <w:r w:rsidRPr="00BE019A">
        <w:rPr>
          <w:szCs w:val="20"/>
          <w:shd w:val="clear" w:color="auto" w:fill="FFFFFF"/>
        </w:rPr>
        <w:t xml:space="preserve"> </w:t>
      </w:r>
      <w:proofErr w:type="spellStart"/>
      <w:r w:rsidRPr="00BE019A">
        <w:rPr>
          <w:szCs w:val="20"/>
          <w:shd w:val="clear" w:color="auto" w:fill="FFFFFF"/>
        </w:rPr>
        <w:t>essential</w:t>
      </w:r>
      <w:proofErr w:type="spellEnd"/>
      <w:r w:rsidRPr="00BE019A">
        <w:rPr>
          <w:szCs w:val="20"/>
          <w:shd w:val="clear" w:color="auto" w:fill="FFFFFF"/>
        </w:rPr>
        <w:t xml:space="preserve"> motive to </w:t>
      </w:r>
      <w:proofErr w:type="spellStart"/>
      <w:r w:rsidRPr="00BE019A">
        <w:rPr>
          <w:szCs w:val="20"/>
          <w:shd w:val="clear" w:color="auto" w:fill="FFFFFF"/>
        </w:rPr>
        <w:t>learn</w:t>
      </w:r>
      <w:proofErr w:type="spellEnd"/>
      <w:r w:rsidRPr="00BE019A">
        <w:rPr>
          <w:szCs w:val="20"/>
          <w:shd w:val="clear" w:color="auto" w:fill="FFFFFF"/>
        </w:rPr>
        <w:t>. </w:t>
      </w:r>
      <w:proofErr w:type="spellStart"/>
      <w:r w:rsidRPr="00BE019A">
        <w:rPr>
          <w:i/>
          <w:iCs/>
          <w:szCs w:val="20"/>
          <w:shd w:val="clear" w:color="auto" w:fill="FFFFFF"/>
        </w:rPr>
        <w:t>Contemporary</w:t>
      </w:r>
      <w:proofErr w:type="spellEnd"/>
      <w:r w:rsidRPr="00BE019A">
        <w:rPr>
          <w:i/>
          <w:iCs/>
          <w:szCs w:val="20"/>
          <w:shd w:val="clear" w:color="auto" w:fill="FFFFFF"/>
        </w:rPr>
        <w:t xml:space="preserve"> </w:t>
      </w:r>
      <w:proofErr w:type="spellStart"/>
      <w:r w:rsidRPr="00BE019A">
        <w:rPr>
          <w:i/>
          <w:iCs/>
          <w:szCs w:val="20"/>
          <w:shd w:val="clear" w:color="auto" w:fill="FFFFFF"/>
        </w:rPr>
        <w:t>educational</w:t>
      </w:r>
      <w:proofErr w:type="spellEnd"/>
      <w:r w:rsidRPr="00BE019A">
        <w:rPr>
          <w:i/>
          <w:iCs/>
          <w:szCs w:val="20"/>
          <w:shd w:val="clear" w:color="auto" w:fill="FFFFFF"/>
        </w:rPr>
        <w:t xml:space="preserve"> </w:t>
      </w:r>
      <w:proofErr w:type="spellStart"/>
      <w:r w:rsidRPr="00BE019A">
        <w:rPr>
          <w:i/>
          <w:iCs/>
          <w:szCs w:val="20"/>
          <w:shd w:val="clear" w:color="auto" w:fill="FFFFFF"/>
        </w:rPr>
        <w:t>psychology</w:t>
      </w:r>
      <w:proofErr w:type="spellEnd"/>
      <w:r w:rsidRPr="00BE019A">
        <w:rPr>
          <w:szCs w:val="20"/>
          <w:shd w:val="clear" w:color="auto" w:fill="FFFFFF"/>
        </w:rPr>
        <w:t>, </w:t>
      </w:r>
      <w:r w:rsidRPr="00BE019A">
        <w:rPr>
          <w:i/>
          <w:iCs/>
          <w:szCs w:val="20"/>
          <w:shd w:val="clear" w:color="auto" w:fill="FFFFFF"/>
        </w:rPr>
        <w:t>25</w:t>
      </w:r>
      <w:r w:rsidRPr="00BE019A">
        <w:rPr>
          <w:szCs w:val="20"/>
          <w:shd w:val="clear" w:color="auto" w:fill="FFFFFF"/>
        </w:rPr>
        <w:t>(1), 82-91.</w:t>
      </w:r>
    </w:p>
    <w:p w14:paraId="4019F037" w14:textId="77777777" w:rsidR="00961884" w:rsidRDefault="00961884">
      <w:pPr>
        <w:spacing w:after="160" w:line="259" w:lineRule="auto"/>
        <w:rPr>
          <w:szCs w:val="20"/>
          <w:shd w:val="clear" w:color="auto" w:fill="FFFFFF"/>
        </w:rPr>
      </w:pPr>
      <w:r>
        <w:rPr>
          <w:szCs w:val="20"/>
          <w:shd w:val="clear" w:color="auto" w:fill="FFFFFF"/>
        </w:rPr>
        <w:br w:type="page"/>
      </w:r>
    </w:p>
    <w:p w14:paraId="3E215263" w14:textId="77777777" w:rsidR="00961884" w:rsidRPr="00B9290C" w:rsidRDefault="00961884" w:rsidP="00961884">
      <w:pPr>
        <w:spacing w:line="360" w:lineRule="auto"/>
        <w:jc w:val="both"/>
        <w:rPr>
          <w:b/>
          <w:lang w:val="en-GB"/>
        </w:rPr>
      </w:pPr>
      <w:r w:rsidRPr="00B9290C">
        <w:rPr>
          <w:b/>
          <w:lang w:val="en-GB"/>
        </w:rPr>
        <w:lastRenderedPageBreak/>
        <w:t>Appendix</w:t>
      </w:r>
    </w:p>
    <w:p w14:paraId="1F6262BA" w14:textId="77777777" w:rsidR="00961884" w:rsidRPr="00B9290C" w:rsidRDefault="00961884" w:rsidP="00961884">
      <w:pPr>
        <w:ind w:left="851" w:hanging="851"/>
        <w:jc w:val="both"/>
        <w:rPr>
          <w:sz w:val="32"/>
          <w:lang w:val="en-GB"/>
        </w:rPr>
      </w:pPr>
      <w:r w:rsidRPr="00B9290C">
        <w:rPr>
          <w:noProof/>
          <w:sz w:val="32"/>
          <w:lang w:eastAsia="hr-HR"/>
        </w:rPr>
        <w:drawing>
          <wp:inline distT="0" distB="0" distL="0" distR="0" wp14:anchorId="32287C7F" wp14:editId="563CDA58">
            <wp:extent cx="5758180" cy="3395980"/>
            <wp:effectExtent l="0" t="0" r="0" b="0"/>
            <wp:docPr id="1" name="Picture 2" descr="C:\Users\JOSIP\AppData\Local\Microsoft\Windows\INetCache\Content.Word\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OSIP\AppData\Local\Microsoft\Windows\INetCache\Content.Word\figure 2..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8180" cy="3395980"/>
                    </a:xfrm>
                    <a:prstGeom prst="rect">
                      <a:avLst/>
                    </a:prstGeom>
                    <a:noFill/>
                    <a:ln>
                      <a:noFill/>
                    </a:ln>
                  </pic:spPr>
                </pic:pic>
              </a:graphicData>
            </a:graphic>
          </wp:inline>
        </w:drawing>
      </w:r>
    </w:p>
    <w:p w14:paraId="1C724D58" w14:textId="0395C583" w:rsidR="00961884" w:rsidRPr="00B9290C" w:rsidRDefault="00961884" w:rsidP="00961884">
      <w:pPr>
        <w:jc w:val="both"/>
        <w:rPr>
          <w:lang w:val="en-GB"/>
        </w:rPr>
      </w:pPr>
      <w:r w:rsidRPr="00B9290C">
        <w:rPr>
          <w:lang w:val="en-GB"/>
        </w:rPr>
        <w:t xml:space="preserve">Figure 2. Path model: standardized parameter estimates of the effects of personality traits on GPA through academic </w:t>
      </w:r>
      <w:r w:rsidR="00315664">
        <w:rPr>
          <w:lang w:val="en-GB"/>
        </w:rPr>
        <w:t>self-</w:t>
      </w:r>
      <w:r w:rsidRPr="00B9290C">
        <w:rPr>
          <w:lang w:val="en-GB"/>
        </w:rPr>
        <w:t>efficacy and motivational learning strategies</w:t>
      </w:r>
    </w:p>
    <w:p w14:paraId="680DDF4A" w14:textId="77777777" w:rsidR="00961884" w:rsidRPr="00B9290C" w:rsidRDefault="00961884" w:rsidP="00961884">
      <w:pPr>
        <w:jc w:val="both"/>
        <w:rPr>
          <w:lang w:val="en-GB"/>
        </w:rPr>
      </w:pPr>
    </w:p>
    <w:p w14:paraId="1A79FDAA" w14:textId="196CD770" w:rsidR="00905786" w:rsidRPr="00BE019A" w:rsidRDefault="00961884" w:rsidP="00961884">
      <w:pPr>
        <w:jc w:val="both"/>
        <w:rPr>
          <w:i/>
          <w:lang w:val="en-GB"/>
        </w:rPr>
      </w:pPr>
      <w:r w:rsidRPr="00BE019A">
        <w:rPr>
          <w:i/>
          <w:lang w:val="en-GB"/>
        </w:rPr>
        <w:t xml:space="preserve">Note: Solid lines represent paths significant at </w:t>
      </w:r>
      <w:r w:rsidRPr="0070413D">
        <w:rPr>
          <w:i/>
          <w:lang w:val="en-GB"/>
        </w:rPr>
        <w:t>p</w:t>
      </w:r>
      <w:r w:rsidRPr="00BE019A">
        <w:rPr>
          <w:i/>
          <w:lang w:val="en-GB"/>
        </w:rPr>
        <w:t xml:space="preserve">&lt;.01. Dotted lines represent paths significant at </w:t>
      </w:r>
      <w:r w:rsidRPr="0070413D">
        <w:rPr>
          <w:i/>
          <w:lang w:val="en-GB"/>
        </w:rPr>
        <w:t>p</w:t>
      </w:r>
      <w:r w:rsidRPr="00BE019A">
        <w:rPr>
          <w:i/>
          <w:lang w:val="en-GB"/>
        </w:rPr>
        <w:t>&lt;.05. Dashed lines represent nonsignificant paths.</w:t>
      </w:r>
    </w:p>
    <w:p w14:paraId="7F91A40C" w14:textId="77777777" w:rsidR="00905786" w:rsidRDefault="00905786">
      <w:pPr>
        <w:spacing w:after="160" w:line="259" w:lineRule="auto"/>
        <w:rPr>
          <w:lang w:val="en-GB"/>
        </w:rPr>
      </w:pPr>
      <w:r>
        <w:rPr>
          <w:lang w:val="en-GB"/>
        </w:rPr>
        <w:br w:type="page"/>
      </w:r>
    </w:p>
    <w:p w14:paraId="136B60CA" w14:textId="77777777" w:rsidR="00961884" w:rsidRPr="00B9290C" w:rsidRDefault="00961884" w:rsidP="00961884">
      <w:pPr>
        <w:jc w:val="both"/>
        <w:rPr>
          <w:lang w:val="en-GB"/>
        </w:rPr>
      </w:pPr>
    </w:p>
    <w:p w14:paraId="55051AE1" w14:textId="5F2997B1" w:rsidR="00961884" w:rsidRPr="00B9290C" w:rsidRDefault="00961884" w:rsidP="00961884">
      <w:pPr>
        <w:pStyle w:val="Caption"/>
        <w:keepNext/>
        <w:jc w:val="center"/>
        <w:rPr>
          <w:rFonts w:ascii="Times New Roman" w:hAnsi="Times New Roman" w:cs="Times New Roman"/>
          <w:i w:val="0"/>
          <w:color w:val="auto"/>
          <w:sz w:val="24"/>
          <w:szCs w:val="24"/>
          <w:lang w:val="en-GB"/>
        </w:rPr>
      </w:pPr>
      <w:r w:rsidRPr="00B9290C">
        <w:rPr>
          <w:rFonts w:ascii="Times New Roman" w:hAnsi="Times New Roman" w:cs="Times New Roman"/>
          <w:i w:val="0"/>
          <w:color w:val="auto"/>
          <w:sz w:val="24"/>
          <w:szCs w:val="24"/>
          <w:lang w:val="en-GB"/>
        </w:rPr>
        <w:t xml:space="preserve">Table 6. Path model: standardized indirect effects of personality traits on GPA through academic </w:t>
      </w:r>
      <w:r w:rsidR="00315664">
        <w:rPr>
          <w:rFonts w:ascii="Times New Roman" w:hAnsi="Times New Roman" w:cs="Times New Roman"/>
          <w:i w:val="0"/>
          <w:color w:val="auto"/>
          <w:sz w:val="24"/>
          <w:szCs w:val="24"/>
          <w:lang w:val="en-GB"/>
        </w:rPr>
        <w:t>self-</w:t>
      </w:r>
      <w:r w:rsidRPr="00B9290C">
        <w:rPr>
          <w:rFonts w:ascii="Times New Roman" w:hAnsi="Times New Roman" w:cs="Times New Roman"/>
          <w:i w:val="0"/>
          <w:color w:val="auto"/>
          <w:sz w:val="24"/>
          <w:szCs w:val="24"/>
          <w:lang w:val="en-GB"/>
        </w:rPr>
        <w:t>efficacy and motivational learning strategies</w:t>
      </w:r>
    </w:p>
    <w:tbl>
      <w:tblPr>
        <w:tblStyle w:val="TableGrid"/>
        <w:tblW w:w="8364"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68"/>
        <w:gridCol w:w="3686"/>
        <w:gridCol w:w="1134"/>
        <w:gridCol w:w="1276"/>
      </w:tblGrid>
      <w:tr w:rsidR="00961884" w:rsidRPr="00B9290C" w14:paraId="30F1CEC1" w14:textId="77777777" w:rsidTr="00961884">
        <w:trPr>
          <w:jc w:val="center"/>
        </w:trPr>
        <w:tc>
          <w:tcPr>
            <w:tcW w:w="2268" w:type="dxa"/>
          </w:tcPr>
          <w:p w14:paraId="3FE50573" w14:textId="77777777" w:rsidR="00961884" w:rsidRPr="00B9290C" w:rsidRDefault="00961884" w:rsidP="00961884">
            <w:pPr>
              <w:jc w:val="center"/>
              <w:rPr>
                <w:b/>
                <w:lang w:val="en-GB"/>
              </w:rPr>
            </w:pPr>
          </w:p>
        </w:tc>
        <w:tc>
          <w:tcPr>
            <w:tcW w:w="3686" w:type="dxa"/>
          </w:tcPr>
          <w:p w14:paraId="500EF334" w14:textId="77777777" w:rsidR="00961884" w:rsidRPr="00B9290C" w:rsidRDefault="00961884" w:rsidP="00961884">
            <w:pPr>
              <w:jc w:val="center"/>
              <w:rPr>
                <w:b/>
                <w:lang w:val="en-GB"/>
              </w:rPr>
            </w:pPr>
          </w:p>
        </w:tc>
        <w:tc>
          <w:tcPr>
            <w:tcW w:w="1134" w:type="dxa"/>
          </w:tcPr>
          <w:p w14:paraId="6894F757" w14:textId="77777777" w:rsidR="00961884" w:rsidRPr="00B9290C" w:rsidRDefault="00961884" w:rsidP="00961884">
            <w:pPr>
              <w:jc w:val="center"/>
              <w:rPr>
                <w:b/>
                <w:lang w:val="en-GB"/>
              </w:rPr>
            </w:pPr>
          </w:p>
        </w:tc>
        <w:tc>
          <w:tcPr>
            <w:tcW w:w="1276" w:type="dxa"/>
            <w:vAlign w:val="center"/>
          </w:tcPr>
          <w:p w14:paraId="35E1C290" w14:textId="77777777" w:rsidR="00961884" w:rsidRPr="00B9290C" w:rsidRDefault="00961884" w:rsidP="00961884">
            <w:pPr>
              <w:jc w:val="center"/>
              <w:rPr>
                <w:b/>
                <w:lang w:val="en-GB"/>
              </w:rPr>
            </w:pPr>
            <w:r w:rsidRPr="00B9290C">
              <w:rPr>
                <w:b/>
                <w:lang w:val="en-GB"/>
              </w:rPr>
              <w:t>β</w:t>
            </w:r>
          </w:p>
        </w:tc>
      </w:tr>
      <w:tr w:rsidR="00961884" w:rsidRPr="00B9290C" w14:paraId="25E3EBD4" w14:textId="77777777" w:rsidTr="00961884">
        <w:trPr>
          <w:jc w:val="center"/>
        </w:trPr>
        <w:tc>
          <w:tcPr>
            <w:tcW w:w="2268" w:type="dxa"/>
            <w:vAlign w:val="center"/>
          </w:tcPr>
          <w:p w14:paraId="47957DAE" w14:textId="77777777" w:rsidR="00961884" w:rsidRPr="00B9290C" w:rsidRDefault="00961884" w:rsidP="00961884">
            <w:pPr>
              <w:rPr>
                <w:lang w:val="en-GB"/>
              </w:rPr>
            </w:pPr>
            <w:r w:rsidRPr="00B9290C">
              <w:rPr>
                <w:lang w:val="en-GB"/>
              </w:rPr>
              <w:t>Conscientiousness</w:t>
            </w:r>
          </w:p>
        </w:tc>
        <w:tc>
          <w:tcPr>
            <w:tcW w:w="3686" w:type="dxa"/>
            <w:vMerge w:val="restart"/>
            <w:vAlign w:val="center"/>
          </w:tcPr>
          <w:p w14:paraId="4D03658F" w14:textId="336A5D1D" w:rsidR="00961884" w:rsidRPr="00B9290C" w:rsidRDefault="00961884" w:rsidP="00961884">
            <w:pPr>
              <w:jc w:val="center"/>
              <w:rPr>
                <w:lang w:val="en-GB"/>
              </w:rPr>
            </w:pPr>
            <w:r w:rsidRPr="00B9290C">
              <w:rPr>
                <w:lang w:val="en-GB"/>
              </w:rPr>
              <w:t xml:space="preserve">→ Academic </w:t>
            </w:r>
            <w:r w:rsidR="00315664">
              <w:rPr>
                <w:lang w:val="en-GB"/>
              </w:rPr>
              <w:t>self-</w:t>
            </w:r>
            <w:r w:rsidRPr="00B9290C">
              <w:rPr>
                <w:lang w:val="en-GB"/>
              </w:rPr>
              <w:t>efficacy→</w:t>
            </w:r>
          </w:p>
        </w:tc>
        <w:tc>
          <w:tcPr>
            <w:tcW w:w="1134" w:type="dxa"/>
            <w:vMerge w:val="restart"/>
            <w:vAlign w:val="center"/>
          </w:tcPr>
          <w:p w14:paraId="165C07A0" w14:textId="77777777" w:rsidR="00961884" w:rsidRPr="00B9290C" w:rsidRDefault="00961884" w:rsidP="00961884">
            <w:pPr>
              <w:jc w:val="center"/>
              <w:rPr>
                <w:lang w:val="en-GB"/>
              </w:rPr>
            </w:pPr>
            <w:r w:rsidRPr="00B9290C">
              <w:rPr>
                <w:lang w:val="en-GB"/>
              </w:rPr>
              <w:t>GPA</w:t>
            </w:r>
          </w:p>
        </w:tc>
        <w:tc>
          <w:tcPr>
            <w:tcW w:w="1276" w:type="dxa"/>
            <w:vAlign w:val="center"/>
          </w:tcPr>
          <w:p w14:paraId="639D5572" w14:textId="77777777" w:rsidR="00961884" w:rsidRPr="00B9290C" w:rsidRDefault="00961884" w:rsidP="00961884">
            <w:pPr>
              <w:jc w:val="center"/>
              <w:rPr>
                <w:highlight w:val="yellow"/>
                <w:lang w:val="en-GB"/>
              </w:rPr>
            </w:pPr>
            <w:r w:rsidRPr="00B9290C">
              <w:rPr>
                <w:lang w:val="en-GB"/>
              </w:rPr>
              <w:t xml:space="preserve">   .136*</w:t>
            </w:r>
          </w:p>
        </w:tc>
      </w:tr>
      <w:tr w:rsidR="00961884" w:rsidRPr="00B9290C" w14:paraId="5E61AAD3" w14:textId="77777777" w:rsidTr="00961884">
        <w:trPr>
          <w:jc w:val="center"/>
        </w:trPr>
        <w:tc>
          <w:tcPr>
            <w:tcW w:w="2268" w:type="dxa"/>
            <w:vAlign w:val="center"/>
          </w:tcPr>
          <w:p w14:paraId="33DAEFB2" w14:textId="77777777" w:rsidR="00961884" w:rsidRPr="00B9290C" w:rsidRDefault="00961884" w:rsidP="00961884">
            <w:pPr>
              <w:rPr>
                <w:lang w:val="en-GB"/>
              </w:rPr>
            </w:pPr>
            <w:r w:rsidRPr="00B9290C">
              <w:rPr>
                <w:lang w:val="en-GB"/>
              </w:rPr>
              <w:t>Openness</w:t>
            </w:r>
          </w:p>
        </w:tc>
        <w:tc>
          <w:tcPr>
            <w:tcW w:w="3686" w:type="dxa"/>
            <w:vMerge/>
          </w:tcPr>
          <w:p w14:paraId="712A44AC" w14:textId="77777777" w:rsidR="00961884" w:rsidRPr="00B9290C" w:rsidRDefault="00961884" w:rsidP="00961884">
            <w:pPr>
              <w:jc w:val="center"/>
              <w:rPr>
                <w:lang w:val="en-GB"/>
              </w:rPr>
            </w:pPr>
          </w:p>
        </w:tc>
        <w:tc>
          <w:tcPr>
            <w:tcW w:w="1134" w:type="dxa"/>
            <w:vMerge/>
          </w:tcPr>
          <w:p w14:paraId="7D995F7C" w14:textId="77777777" w:rsidR="00961884" w:rsidRPr="00B9290C" w:rsidRDefault="00961884" w:rsidP="00961884">
            <w:pPr>
              <w:jc w:val="center"/>
              <w:rPr>
                <w:lang w:val="en-GB"/>
              </w:rPr>
            </w:pPr>
          </w:p>
        </w:tc>
        <w:tc>
          <w:tcPr>
            <w:tcW w:w="1276" w:type="dxa"/>
            <w:vAlign w:val="center"/>
          </w:tcPr>
          <w:p w14:paraId="7FF1128D" w14:textId="77777777" w:rsidR="00961884" w:rsidRPr="00B9290C" w:rsidRDefault="00961884" w:rsidP="00961884">
            <w:pPr>
              <w:jc w:val="center"/>
              <w:rPr>
                <w:highlight w:val="yellow"/>
                <w:lang w:val="en-GB"/>
              </w:rPr>
            </w:pPr>
            <w:r w:rsidRPr="00B9290C">
              <w:rPr>
                <w:lang w:val="en-GB"/>
              </w:rPr>
              <w:t xml:space="preserve">   .073*</w:t>
            </w:r>
          </w:p>
        </w:tc>
      </w:tr>
      <w:tr w:rsidR="00961884" w:rsidRPr="00B9290C" w14:paraId="6C307508" w14:textId="77777777" w:rsidTr="00961884">
        <w:trPr>
          <w:jc w:val="center"/>
        </w:trPr>
        <w:tc>
          <w:tcPr>
            <w:tcW w:w="2268" w:type="dxa"/>
            <w:vAlign w:val="center"/>
          </w:tcPr>
          <w:p w14:paraId="63E34761" w14:textId="77777777" w:rsidR="00961884" w:rsidRPr="00B9290C" w:rsidRDefault="00961884" w:rsidP="00961884">
            <w:pPr>
              <w:rPr>
                <w:lang w:val="en-GB"/>
              </w:rPr>
            </w:pPr>
            <w:r w:rsidRPr="00B9290C">
              <w:rPr>
                <w:lang w:val="en-GB"/>
              </w:rPr>
              <w:t>Extraversion</w:t>
            </w:r>
          </w:p>
        </w:tc>
        <w:tc>
          <w:tcPr>
            <w:tcW w:w="3686" w:type="dxa"/>
            <w:vMerge/>
          </w:tcPr>
          <w:p w14:paraId="21362F34" w14:textId="77777777" w:rsidR="00961884" w:rsidRPr="00B9290C" w:rsidRDefault="00961884" w:rsidP="00961884">
            <w:pPr>
              <w:jc w:val="center"/>
              <w:rPr>
                <w:lang w:val="en-GB"/>
              </w:rPr>
            </w:pPr>
          </w:p>
        </w:tc>
        <w:tc>
          <w:tcPr>
            <w:tcW w:w="1134" w:type="dxa"/>
            <w:vMerge/>
          </w:tcPr>
          <w:p w14:paraId="36BDA500" w14:textId="77777777" w:rsidR="00961884" w:rsidRPr="00B9290C" w:rsidRDefault="00961884" w:rsidP="00961884">
            <w:pPr>
              <w:jc w:val="center"/>
              <w:rPr>
                <w:lang w:val="en-GB"/>
              </w:rPr>
            </w:pPr>
          </w:p>
        </w:tc>
        <w:tc>
          <w:tcPr>
            <w:tcW w:w="1276" w:type="dxa"/>
            <w:vAlign w:val="center"/>
          </w:tcPr>
          <w:p w14:paraId="246FB2F0" w14:textId="77777777" w:rsidR="00961884" w:rsidRPr="00B9290C" w:rsidRDefault="00961884" w:rsidP="00961884">
            <w:pPr>
              <w:jc w:val="center"/>
              <w:rPr>
                <w:highlight w:val="yellow"/>
                <w:lang w:val="en-GB"/>
              </w:rPr>
            </w:pPr>
            <w:r w:rsidRPr="00B9290C">
              <w:rPr>
                <w:lang w:val="en-GB"/>
              </w:rPr>
              <w:t xml:space="preserve"> .006</w:t>
            </w:r>
          </w:p>
        </w:tc>
      </w:tr>
      <w:tr w:rsidR="00961884" w:rsidRPr="00B9290C" w14:paraId="6CFCB65F" w14:textId="77777777" w:rsidTr="00961884">
        <w:trPr>
          <w:jc w:val="center"/>
        </w:trPr>
        <w:tc>
          <w:tcPr>
            <w:tcW w:w="2268" w:type="dxa"/>
            <w:vAlign w:val="center"/>
          </w:tcPr>
          <w:p w14:paraId="1A069790" w14:textId="77777777" w:rsidR="00961884" w:rsidRPr="00B9290C" w:rsidRDefault="00961884" w:rsidP="00961884">
            <w:pPr>
              <w:rPr>
                <w:lang w:val="en-GB"/>
              </w:rPr>
            </w:pPr>
            <w:r w:rsidRPr="00B9290C">
              <w:rPr>
                <w:lang w:val="en-GB"/>
              </w:rPr>
              <w:t>Agreeableness</w:t>
            </w:r>
          </w:p>
        </w:tc>
        <w:tc>
          <w:tcPr>
            <w:tcW w:w="3686" w:type="dxa"/>
            <w:vMerge/>
          </w:tcPr>
          <w:p w14:paraId="09F13945" w14:textId="77777777" w:rsidR="00961884" w:rsidRPr="00B9290C" w:rsidRDefault="00961884" w:rsidP="00961884">
            <w:pPr>
              <w:jc w:val="center"/>
              <w:rPr>
                <w:lang w:val="en-GB"/>
              </w:rPr>
            </w:pPr>
          </w:p>
        </w:tc>
        <w:tc>
          <w:tcPr>
            <w:tcW w:w="1134" w:type="dxa"/>
            <w:vMerge/>
          </w:tcPr>
          <w:p w14:paraId="062ECA43" w14:textId="77777777" w:rsidR="00961884" w:rsidRPr="00B9290C" w:rsidRDefault="00961884" w:rsidP="00961884">
            <w:pPr>
              <w:jc w:val="center"/>
              <w:rPr>
                <w:lang w:val="en-GB"/>
              </w:rPr>
            </w:pPr>
          </w:p>
        </w:tc>
        <w:tc>
          <w:tcPr>
            <w:tcW w:w="1276" w:type="dxa"/>
            <w:vAlign w:val="center"/>
          </w:tcPr>
          <w:p w14:paraId="4C1216AD" w14:textId="77777777" w:rsidR="00961884" w:rsidRPr="00B9290C" w:rsidRDefault="00961884" w:rsidP="00961884">
            <w:pPr>
              <w:jc w:val="center"/>
              <w:rPr>
                <w:highlight w:val="yellow"/>
                <w:lang w:val="en-GB"/>
              </w:rPr>
            </w:pPr>
            <w:r w:rsidRPr="00B9290C">
              <w:rPr>
                <w:lang w:val="en-GB"/>
              </w:rPr>
              <w:t>-.025</w:t>
            </w:r>
          </w:p>
        </w:tc>
      </w:tr>
      <w:tr w:rsidR="00961884" w:rsidRPr="00B9290C" w14:paraId="427570C2" w14:textId="77777777" w:rsidTr="00961884">
        <w:trPr>
          <w:jc w:val="center"/>
        </w:trPr>
        <w:tc>
          <w:tcPr>
            <w:tcW w:w="2268" w:type="dxa"/>
            <w:vAlign w:val="center"/>
          </w:tcPr>
          <w:p w14:paraId="35ED5E50" w14:textId="77777777" w:rsidR="00961884" w:rsidRPr="00B9290C" w:rsidRDefault="00961884" w:rsidP="00961884">
            <w:pPr>
              <w:rPr>
                <w:lang w:val="en-GB"/>
              </w:rPr>
            </w:pPr>
            <w:r w:rsidRPr="00B9290C">
              <w:rPr>
                <w:lang w:val="en-GB"/>
              </w:rPr>
              <w:t>Conscientiousness</w:t>
            </w:r>
          </w:p>
        </w:tc>
        <w:tc>
          <w:tcPr>
            <w:tcW w:w="3686" w:type="dxa"/>
            <w:vMerge w:val="restart"/>
            <w:vAlign w:val="center"/>
          </w:tcPr>
          <w:p w14:paraId="6E47EA04" w14:textId="77777777" w:rsidR="00961884" w:rsidRPr="00B9290C" w:rsidRDefault="00961884" w:rsidP="00961884">
            <w:pPr>
              <w:jc w:val="center"/>
              <w:rPr>
                <w:lang w:val="en-GB"/>
              </w:rPr>
            </w:pPr>
            <w:r w:rsidRPr="00B9290C">
              <w:rPr>
                <w:lang w:val="en-GB"/>
              </w:rPr>
              <w:t>→ Promoting learning process →</w:t>
            </w:r>
          </w:p>
        </w:tc>
        <w:tc>
          <w:tcPr>
            <w:tcW w:w="1134" w:type="dxa"/>
            <w:vMerge w:val="restart"/>
            <w:vAlign w:val="center"/>
          </w:tcPr>
          <w:p w14:paraId="57E99C2E" w14:textId="77777777" w:rsidR="00961884" w:rsidRPr="00B9290C" w:rsidRDefault="00961884" w:rsidP="00961884">
            <w:pPr>
              <w:jc w:val="center"/>
              <w:rPr>
                <w:lang w:val="en-GB"/>
              </w:rPr>
            </w:pPr>
            <w:r w:rsidRPr="00B9290C">
              <w:rPr>
                <w:lang w:val="en-GB"/>
              </w:rPr>
              <w:t>GPA</w:t>
            </w:r>
          </w:p>
        </w:tc>
        <w:tc>
          <w:tcPr>
            <w:tcW w:w="1276" w:type="dxa"/>
            <w:vAlign w:val="center"/>
          </w:tcPr>
          <w:p w14:paraId="38196CF3" w14:textId="77777777" w:rsidR="00961884" w:rsidRPr="00B9290C" w:rsidRDefault="00961884" w:rsidP="00961884">
            <w:pPr>
              <w:jc w:val="center"/>
              <w:rPr>
                <w:highlight w:val="yellow"/>
                <w:lang w:val="en-GB"/>
              </w:rPr>
            </w:pPr>
            <w:r w:rsidRPr="00B9290C">
              <w:rPr>
                <w:lang w:val="en-GB"/>
              </w:rPr>
              <w:t>-.012</w:t>
            </w:r>
          </w:p>
        </w:tc>
      </w:tr>
      <w:tr w:rsidR="00961884" w:rsidRPr="00B9290C" w14:paraId="66BA04F5" w14:textId="77777777" w:rsidTr="00961884">
        <w:trPr>
          <w:jc w:val="center"/>
        </w:trPr>
        <w:tc>
          <w:tcPr>
            <w:tcW w:w="2268" w:type="dxa"/>
            <w:vAlign w:val="center"/>
          </w:tcPr>
          <w:p w14:paraId="2E738B15" w14:textId="77777777" w:rsidR="00961884" w:rsidRPr="00B9290C" w:rsidRDefault="00961884" w:rsidP="00961884">
            <w:pPr>
              <w:rPr>
                <w:lang w:val="en-GB"/>
              </w:rPr>
            </w:pPr>
            <w:r w:rsidRPr="00B9290C">
              <w:rPr>
                <w:lang w:val="en-GB"/>
              </w:rPr>
              <w:t>Openness</w:t>
            </w:r>
          </w:p>
        </w:tc>
        <w:tc>
          <w:tcPr>
            <w:tcW w:w="3686" w:type="dxa"/>
            <w:vMerge/>
          </w:tcPr>
          <w:p w14:paraId="21AB7ED8" w14:textId="77777777" w:rsidR="00961884" w:rsidRPr="00B9290C" w:rsidRDefault="00961884" w:rsidP="00961884">
            <w:pPr>
              <w:jc w:val="center"/>
              <w:rPr>
                <w:lang w:val="en-GB"/>
              </w:rPr>
            </w:pPr>
          </w:p>
        </w:tc>
        <w:tc>
          <w:tcPr>
            <w:tcW w:w="1134" w:type="dxa"/>
            <w:vMerge/>
          </w:tcPr>
          <w:p w14:paraId="4B2DF29E" w14:textId="77777777" w:rsidR="00961884" w:rsidRPr="00B9290C" w:rsidRDefault="00961884" w:rsidP="00961884">
            <w:pPr>
              <w:jc w:val="center"/>
              <w:rPr>
                <w:lang w:val="en-GB"/>
              </w:rPr>
            </w:pPr>
          </w:p>
        </w:tc>
        <w:tc>
          <w:tcPr>
            <w:tcW w:w="1276" w:type="dxa"/>
            <w:vAlign w:val="center"/>
          </w:tcPr>
          <w:p w14:paraId="3CC1828C" w14:textId="77777777" w:rsidR="00961884" w:rsidRPr="00B9290C" w:rsidRDefault="00961884" w:rsidP="00961884">
            <w:pPr>
              <w:jc w:val="center"/>
              <w:rPr>
                <w:highlight w:val="yellow"/>
                <w:lang w:val="en-GB"/>
              </w:rPr>
            </w:pPr>
            <w:r w:rsidRPr="00B9290C">
              <w:rPr>
                <w:lang w:val="en-GB"/>
              </w:rPr>
              <w:t>-.001</w:t>
            </w:r>
          </w:p>
        </w:tc>
      </w:tr>
      <w:tr w:rsidR="00961884" w:rsidRPr="00B9290C" w14:paraId="47230AE2" w14:textId="77777777" w:rsidTr="00961884">
        <w:trPr>
          <w:jc w:val="center"/>
        </w:trPr>
        <w:tc>
          <w:tcPr>
            <w:tcW w:w="2268" w:type="dxa"/>
            <w:vAlign w:val="center"/>
          </w:tcPr>
          <w:p w14:paraId="095D0B84" w14:textId="77777777" w:rsidR="00961884" w:rsidRPr="00B9290C" w:rsidRDefault="00961884" w:rsidP="00961884">
            <w:pPr>
              <w:rPr>
                <w:lang w:val="en-GB"/>
              </w:rPr>
            </w:pPr>
            <w:r w:rsidRPr="00B9290C">
              <w:rPr>
                <w:lang w:val="en-GB"/>
              </w:rPr>
              <w:t>Agreeableness</w:t>
            </w:r>
          </w:p>
        </w:tc>
        <w:tc>
          <w:tcPr>
            <w:tcW w:w="3686" w:type="dxa"/>
            <w:vMerge/>
          </w:tcPr>
          <w:p w14:paraId="518F78A1" w14:textId="77777777" w:rsidR="00961884" w:rsidRPr="00B9290C" w:rsidRDefault="00961884" w:rsidP="00961884">
            <w:pPr>
              <w:jc w:val="center"/>
              <w:rPr>
                <w:lang w:val="en-GB"/>
              </w:rPr>
            </w:pPr>
          </w:p>
        </w:tc>
        <w:tc>
          <w:tcPr>
            <w:tcW w:w="1134" w:type="dxa"/>
            <w:vMerge/>
          </w:tcPr>
          <w:p w14:paraId="0813A2BE" w14:textId="77777777" w:rsidR="00961884" w:rsidRPr="00B9290C" w:rsidRDefault="00961884" w:rsidP="00961884">
            <w:pPr>
              <w:jc w:val="center"/>
              <w:rPr>
                <w:lang w:val="en-GB"/>
              </w:rPr>
            </w:pPr>
          </w:p>
        </w:tc>
        <w:tc>
          <w:tcPr>
            <w:tcW w:w="1276" w:type="dxa"/>
            <w:vAlign w:val="center"/>
          </w:tcPr>
          <w:p w14:paraId="7456F5DD" w14:textId="77777777" w:rsidR="00961884" w:rsidRPr="00B9290C" w:rsidRDefault="00961884" w:rsidP="00961884">
            <w:pPr>
              <w:jc w:val="center"/>
              <w:rPr>
                <w:highlight w:val="yellow"/>
                <w:lang w:val="en-GB"/>
              </w:rPr>
            </w:pPr>
            <w:r w:rsidRPr="00B9290C">
              <w:rPr>
                <w:lang w:val="en-GB"/>
              </w:rPr>
              <w:t>-.006</w:t>
            </w:r>
          </w:p>
        </w:tc>
      </w:tr>
      <w:tr w:rsidR="00961884" w:rsidRPr="00B9290C" w14:paraId="621C0874" w14:textId="77777777" w:rsidTr="00961884">
        <w:trPr>
          <w:jc w:val="center"/>
        </w:trPr>
        <w:tc>
          <w:tcPr>
            <w:tcW w:w="2268" w:type="dxa"/>
            <w:vAlign w:val="center"/>
          </w:tcPr>
          <w:p w14:paraId="266553A6" w14:textId="77777777" w:rsidR="00961884" w:rsidRPr="00B9290C" w:rsidRDefault="00961884" w:rsidP="00961884">
            <w:pPr>
              <w:rPr>
                <w:lang w:val="en-GB"/>
              </w:rPr>
            </w:pPr>
            <w:r w:rsidRPr="00B9290C">
              <w:rPr>
                <w:lang w:val="en-GB"/>
              </w:rPr>
              <w:t>Conscientiousness</w:t>
            </w:r>
          </w:p>
        </w:tc>
        <w:tc>
          <w:tcPr>
            <w:tcW w:w="3686" w:type="dxa"/>
            <w:vMerge w:val="restart"/>
            <w:vAlign w:val="center"/>
          </w:tcPr>
          <w:p w14:paraId="1846CF17" w14:textId="77777777" w:rsidR="00961884" w:rsidRPr="00B9290C" w:rsidRDefault="00961884" w:rsidP="00961884">
            <w:pPr>
              <w:jc w:val="center"/>
              <w:rPr>
                <w:lang w:val="en-GB"/>
              </w:rPr>
            </w:pPr>
            <w:r w:rsidRPr="00B9290C">
              <w:rPr>
                <w:lang w:val="en-GB"/>
              </w:rPr>
              <w:t>→ Protecting self-esteem →</w:t>
            </w:r>
          </w:p>
        </w:tc>
        <w:tc>
          <w:tcPr>
            <w:tcW w:w="1134" w:type="dxa"/>
            <w:vMerge w:val="restart"/>
            <w:vAlign w:val="center"/>
          </w:tcPr>
          <w:p w14:paraId="6F835947" w14:textId="77777777" w:rsidR="00961884" w:rsidRPr="00B9290C" w:rsidRDefault="00961884" w:rsidP="00961884">
            <w:pPr>
              <w:jc w:val="center"/>
              <w:rPr>
                <w:lang w:val="en-GB"/>
              </w:rPr>
            </w:pPr>
            <w:r w:rsidRPr="00B9290C">
              <w:rPr>
                <w:lang w:val="en-GB"/>
              </w:rPr>
              <w:t>GPA</w:t>
            </w:r>
          </w:p>
        </w:tc>
        <w:tc>
          <w:tcPr>
            <w:tcW w:w="1276" w:type="dxa"/>
            <w:vAlign w:val="center"/>
          </w:tcPr>
          <w:p w14:paraId="1D04F447" w14:textId="77777777" w:rsidR="00961884" w:rsidRPr="00B9290C" w:rsidRDefault="00961884" w:rsidP="00961884">
            <w:pPr>
              <w:jc w:val="center"/>
              <w:rPr>
                <w:highlight w:val="yellow"/>
                <w:lang w:val="en-GB"/>
              </w:rPr>
            </w:pPr>
            <w:r w:rsidRPr="00B9290C">
              <w:rPr>
                <w:lang w:val="en-GB"/>
              </w:rPr>
              <w:t xml:space="preserve">   .045**</w:t>
            </w:r>
          </w:p>
        </w:tc>
      </w:tr>
      <w:tr w:rsidR="00961884" w:rsidRPr="00B9290C" w14:paraId="51FE3F6B" w14:textId="77777777" w:rsidTr="00961884">
        <w:trPr>
          <w:jc w:val="center"/>
        </w:trPr>
        <w:tc>
          <w:tcPr>
            <w:tcW w:w="2268" w:type="dxa"/>
            <w:vAlign w:val="center"/>
          </w:tcPr>
          <w:p w14:paraId="687D40FA" w14:textId="77777777" w:rsidR="00961884" w:rsidRPr="00B9290C" w:rsidRDefault="00961884" w:rsidP="00961884">
            <w:pPr>
              <w:rPr>
                <w:lang w:val="en-GB"/>
              </w:rPr>
            </w:pPr>
            <w:r w:rsidRPr="00B9290C">
              <w:rPr>
                <w:lang w:val="en-GB"/>
              </w:rPr>
              <w:t>Openness</w:t>
            </w:r>
          </w:p>
        </w:tc>
        <w:tc>
          <w:tcPr>
            <w:tcW w:w="3686" w:type="dxa"/>
            <w:vMerge/>
          </w:tcPr>
          <w:p w14:paraId="283293CF" w14:textId="77777777" w:rsidR="00961884" w:rsidRPr="00B9290C" w:rsidRDefault="00961884" w:rsidP="00961884">
            <w:pPr>
              <w:jc w:val="center"/>
              <w:rPr>
                <w:lang w:val="en-GB"/>
              </w:rPr>
            </w:pPr>
          </w:p>
        </w:tc>
        <w:tc>
          <w:tcPr>
            <w:tcW w:w="1134" w:type="dxa"/>
            <w:vMerge/>
          </w:tcPr>
          <w:p w14:paraId="375D2FA3" w14:textId="77777777" w:rsidR="00961884" w:rsidRPr="00B9290C" w:rsidRDefault="00961884" w:rsidP="00961884">
            <w:pPr>
              <w:jc w:val="center"/>
              <w:rPr>
                <w:lang w:val="en-GB"/>
              </w:rPr>
            </w:pPr>
          </w:p>
        </w:tc>
        <w:tc>
          <w:tcPr>
            <w:tcW w:w="1276" w:type="dxa"/>
            <w:vAlign w:val="center"/>
          </w:tcPr>
          <w:p w14:paraId="0CF945FA" w14:textId="77777777" w:rsidR="00961884" w:rsidRPr="00B9290C" w:rsidRDefault="00961884" w:rsidP="00961884">
            <w:pPr>
              <w:jc w:val="center"/>
              <w:rPr>
                <w:highlight w:val="yellow"/>
                <w:lang w:val="en-GB"/>
              </w:rPr>
            </w:pPr>
            <w:r w:rsidRPr="00B9290C">
              <w:rPr>
                <w:lang w:val="en-GB"/>
              </w:rPr>
              <w:t>-.002</w:t>
            </w:r>
          </w:p>
        </w:tc>
      </w:tr>
      <w:tr w:rsidR="00961884" w:rsidRPr="00B9290C" w14:paraId="20E50A38" w14:textId="77777777" w:rsidTr="00961884">
        <w:trPr>
          <w:jc w:val="center"/>
        </w:trPr>
        <w:tc>
          <w:tcPr>
            <w:tcW w:w="2268" w:type="dxa"/>
            <w:vAlign w:val="center"/>
          </w:tcPr>
          <w:p w14:paraId="21D3BD2C" w14:textId="77777777" w:rsidR="00961884" w:rsidRPr="00B9290C" w:rsidRDefault="00961884" w:rsidP="00961884">
            <w:pPr>
              <w:rPr>
                <w:lang w:val="en-GB"/>
              </w:rPr>
            </w:pPr>
            <w:r w:rsidRPr="00B9290C">
              <w:rPr>
                <w:lang w:val="en-GB"/>
              </w:rPr>
              <w:t>Extraversion</w:t>
            </w:r>
          </w:p>
        </w:tc>
        <w:tc>
          <w:tcPr>
            <w:tcW w:w="3686" w:type="dxa"/>
            <w:vMerge/>
          </w:tcPr>
          <w:p w14:paraId="530CF788" w14:textId="77777777" w:rsidR="00961884" w:rsidRPr="00B9290C" w:rsidRDefault="00961884" w:rsidP="00961884">
            <w:pPr>
              <w:jc w:val="center"/>
              <w:rPr>
                <w:lang w:val="en-GB"/>
              </w:rPr>
            </w:pPr>
          </w:p>
        </w:tc>
        <w:tc>
          <w:tcPr>
            <w:tcW w:w="1134" w:type="dxa"/>
            <w:vMerge/>
          </w:tcPr>
          <w:p w14:paraId="3380FF3D" w14:textId="77777777" w:rsidR="00961884" w:rsidRPr="00B9290C" w:rsidRDefault="00961884" w:rsidP="00961884">
            <w:pPr>
              <w:jc w:val="center"/>
              <w:rPr>
                <w:lang w:val="en-GB"/>
              </w:rPr>
            </w:pPr>
          </w:p>
        </w:tc>
        <w:tc>
          <w:tcPr>
            <w:tcW w:w="1276" w:type="dxa"/>
            <w:vAlign w:val="center"/>
          </w:tcPr>
          <w:p w14:paraId="76CC9109" w14:textId="77777777" w:rsidR="00961884" w:rsidRPr="00B9290C" w:rsidRDefault="00961884" w:rsidP="00961884">
            <w:pPr>
              <w:jc w:val="center"/>
              <w:rPr>
                <w:highlight w:val="yellow"/>
                <w:lang w:val="en-GB"/>
              </w:rPr>
            </w:pPr>
            <w:r w:rsidRPr="00B9290C">
              <w:rPr>
                <w:lang w:val="en-GB"/>
              </w:rPr>
              <w:t>-.011</w:t>
            </w:r>
          </w:p>
        </w:tc>
      </w:tr>
      <w:tr w:rsidR="00961884" w:rsidRPr="00B9290C" w14:paraId="4BFE97A9" w14:textId="77777777" w:rsidTr="00961884">
        <w:trPr>
          <w:jc w:val="center"/>
        </w:trPr>
        <w:tc>
          <w:tcPr>
            <w:tcW w:w="2268" w:type="dxa"/>
            <w:vAlign w:val="center"/>
          </w:tcPr>
          <w:p w14:paraId="0DC5DB3E" w14:textId="77777777" w:rsidR="00961884" w:rsidRPr="00B9290C" w:rsidRDefault="00961884" w:rsidP="00961884">
            <w:pPr>
              <w:rPr>
                <w:lang w:val="en-GB"/>
              </w:rPr>
            </w:pPr>
            <w:r w:rsidRPr="00B9290C">
              <w:rPr>
                <w:lang w:val="en-GB"/>
              </w:rPr>
              <w:t>Agreeableness</w:t>
            </w:r>
          </w:p>
        </w:tc>
        <w:tc>
          <w:tcPr>
            <w:tcW w:w="3686" w:type="dxa"/>
            <w:vMerge/>
          </w:tcPr>
          <w:p w14:paraId="7A788547" w14:textId="77777777" w:rsidR="00961884" w:rsidRPr="00B9290C" w:rsidRDefault="00961884" w:rsidP="00961884">
            <w:pPr>
              <w:jc w:val="center"/>
              <w:rPr>
                <w:lang w:val="en-GB"/>
              </w:rPr>
            </w:pPr>
          </w:p>
        </w:tc>
        <w:tc>
          <w:tcPr>
            <w:tcW w:w="1134" w:type="dxa"/>
            <w:vMerge/>
          </w:tcPr>
          <w:p w14:paraId="7C9DF7FD" w14:textId="77777777" w:rsidR="00961884" w:rsidRPr="00B9290C" w:rsidRDefault="00961884" w:rsidP="00961884">
            <w:pPr>
              <w:jc w:val="center"/>
              <w:rPr>
                <w:lang w:val="en-GB"/>
              </w:rPr>
            </w:pPr>
          </w:p>
        </w:tc>
        <w:tc>
          <w:tcPr>
            <w:tcW w:w="1276" w:type="dxa"/>
            <w:vAlign w:val="center"/>
          </w:tcPr>
          <w:p w14:paraId="533FA736" w14:textId="77777777" w:rsidR="00961884" w:rsidRPr="00B9290C" w:rsidRDefault="00961884" w:rsidP="00961884">
            <w:pPr>
              <w:jc w:val="center"/>
              <w:rPr>
                <w:highlight w:val="yellow"/>
                <w:lang w:val="en-GB"/>
              </w:rPr>
            </w:pPr>
            <w:r w:rsidRPr="00B9290C">
              <w:rPr>
                <w:lang w:val="en-GB"/>
              </w:rPr>
              <w:t xml:space="preserve">   .026*</w:t>
            </w:r>
          </w:p>
        </w:tc>
      </w:tr>
      <w:tr w:rsidR="00961884" w:rsidRPr="00B9290C" w14:paraId="57982226" w14:textId="77777777" w:rsidTr="00961884">
        <w:trPr>
          <w:jc w:val="center"/>
        </w:trPr>
        <w:tc>
          <w:tcPr>
            <w:tcW w:w="2268" w:type="dxa"/>
            <w:vAlign w:val="center"/>
          </w:tcPr>
          <w:p w14:paraId="010D0E75" w14:textId="77777777" w:rsidR="00961884" w:rsidRPr="00B9290C" w:rsidRDefault="00961884" w:rsidP="00961884">
            <w:pPr>
              <w:rPr>
                <w:lang w:val="en-GB"/>
              </w:rPr>
            </w:pPr>
            <w:r w:rsidRPr="00B9290C">
              <w:rPr>
                <w:lang w:val="en-GB"/>
              </w:rPr>
              <w:t>Conscientiousness</w:t>
            </w:r>
          </w:p>
        </w:tc>
        <w:tc>
          <w:tcPr>
            <w:tcW w:w="3686" w:type="dxa"/>
            <w:vMerge w:val="restart"/>
            <w:vAlign w:val="center"/>
          </w:tcPr>
          <w:p w14:paraId="6CF04CBB" w14:textId="408C4C39" w:rsidR="00961884" w:rsidRPr="00B9290C" w:rsidRDefault="00961884" w:rsidP="00961884">
            <w:pPr>
              <w:jc w:val="center"/>
              <w:rPr>
                <w:lang w:val="en-GB"/>
              </w:rPr>
            </w:pPr>
            <w:r w:rsidRPr="00B9290C">
              <w:rPr>
                <w:lang w:val="en-GB"/>
              </w:rPr>
              <w:t xml:space="preserve">→ Academic </w:t>
            </w:r>
            <w:r w:rsidR="00315664">
              <w:rPr>
                <w:lang w:val="en-GB"/>
              </w:rPr>
              <w:t>self-</w:t>
            </w:r>
            <w:r w:rsidRPr="00B9290C">
              <w:rPr>
                <w:lang w:val="en-GB"/>
              </w:rPr>
              <w:t xml:space="preserve">efficacy </w:t>
            </w:r>
          </w:p>
          <w:p w14:paraId="59BCA4E8" w14:textId="77777777" w:rsidR="00961884" w:rsidRPr="00B9290C" w:rsidRDefault="00961884" w:rsidP="00961884">
            <w:pPr>
              <w:jc w:val="center"/>
              <w:rPr>
                <w:lang w:val="en-GB"/>
              </w:rPr>
            </w:pPr>
            <w:r w:rsidRPr="00B9290C">
              <w:rPr>
                <w:lang w:val="en-GB"/>
              </w:rPr>
              <w:t xml:space="preserve">↓ </w:t>
            </w:r>
          </w:p>
          <w:p w14:paraId="350F5124" w14:textId="77777777" w:rsidR="00961884" w:rsidRPr="00B9290C" w:rsidRDefault="00961884" w:rsidP="00961884">
            <w:pPr>
              <w:jc w:val="center"/>
              <w:rPr>
                <w:lang w:val="en-GB"/>
              </w:rPr>
            </w:pPr>
            <w:r w:rsidRPr="00B9290C">
              <w:rPr>
                <w:lang w:val="en-GB"/>
              </w:rPr>
              <w:t xml:space="preserve"> Promoting learning process →</w:t>
            </w:r>
          </w:p>
        </w:tc>
        <w:tc>
          <w:tcPr>
            <w:tcW w:w="1134" w:type="dxa"/>
            <w:vMerge w:val="restart"/>
            <w:vAlign w:val="center"/>
          </w:tcPr>
          <w:p w14:paraId="27A8AB65" w14:textId="77777777" w:rsidR="00961884" w:rsidRPr="00B9290C" w:rsidRDefault="00961884" w:rsidP="00961884">
            <w:pPr>
              <w:jc w:val="center"/>
              <w:rPr>
                <w:lang w:val="en-GB"/>
              </w:rPr>
            </w:pPr>
            <w:r w:rsidRPr="00B9290C">
              <w:rPr>
                <w:lang w:val="en-GB"/>
              </w:rPr>
              <w:t>GPA</w:t>
            </w:r>
          </w:p>
        </w:tc>
        <w:tc>
          <w:tcPr>
            <w:tcW w:w="1276" w:type="dxa"/>
            <w:vAlign w:val="center"/>
          </w:tcPr>
          <w:p w14:paraId="0CC408F4" w14:textId="77777777" w:rsidR="00961884" w:rsidRPr="00B9290C" w:rsidRDefault="00961884" w:rsidP="00961884">
            <w:pPr>
              <w:jc w:val="center"/>
              <w:rPr>
                <w:highlight w:val="yellow"/>
                <w:lang w:val="en-GB"/>
              </w:rPr>
            </w:pPr>
            <w:r w:rsidRPr="00B9290C">
              <w:rPr>
                <w:lang w:val="en-GB"/>
              </w:rPr>
              <w:t>-.001</w:t>
            </w:r>
          </w:p>
        </w:tc>
      </w:tr>
      <w:tr w:rsidR="00961884" w:rsidRPr="00B9290C" w14:paraId="36588A98" w14:textId="77777777" w:rsidTr="00961884">
        <w:trPr>
          <w:jc w:val="center"/>
        </w:trPr>
        <w:tc>
          <w:tcPr>
            <w:tcW w:w="2268" w:type="dxa"/>
            <w:vAlign w:val="center"/>
          </w:tcPr>
          <w:p w14:paraId="0262FDC6" w14:textId="77777777" w:rsidR="00961884" w:rsidRPr="00B9290C" w:rsidRDefault="00961884" w:rsidP="00961884">
            <w:pPr>
              <w:rPr>
                <w:lang w:val="en-GB"/>
              </w:rPr>
            </w:pPr>
            <w:r w:rsidRPr="00B9290C">
              <w:rPr>
                <w:lang w:val="en-GB"/>
              </w:rPr>
              <w:t>Openness</w:t>
            </w:r>
          </w:p>
        </w:tc>
        <w:tc>
          <w:tcPr>
            <w:tcW w:w="3686" w:type="dxa"/>
            <w:vMerge/>
          </w:tcPr>
          <w:p w14:paraId="2AAE52F9" w14:textId="77777777" w:rsidR="00961884" w:rsidRPr="00B9290C" w:rsidRDefault="00961884" w:rsidP="00961884">
            <w:pPr>
              <w:jc w:val="center"/>
              <w:rPr>
                <w:lang w:val="en-GB"/>
              </w:rPr>
            </w:pPr>
          </w:p>
        </w:tc>
        <w:tc>
          <w:tcPr>
            <w:tcW w:w="1134" w:type="dxa"/>
            <w:vMerge/>
          </w:tcPr>
          <w:p w14:paraId="7CB1DD38" w14:textId="77777777" w:rsidR="00961884" w:rsidRPr="00B9290C" w:rsidRDefault="00961884" w:rsidP="00961884">
            <w:pPr>
              <w:jc w:val="center"/>
              <w:rPr>
                <w:lang w:val="en-GB"/>
              </w:rPr>
            </w:pPr>
          </w:p>
        </w:tc>
        <w:tc>
          <w:tcPr>
            <w:tcW w:w="1276" w:type="dxa"/>
            <w:vAlign w:val="center"/>
          </w:tcPr>
          <w:p w14:paraId="4E80981E" w14:textId="77777777" w:rsidR="00961884" w:rsidRPr="00B9290C" w:rsidRDefault="00961884" w:rsidP="00961884">
            <w:pPr>
              <w:jc w:val="center"/>
              <w:rPr>
                <w:highlight w:val="yellow"/>
                <w:lang w:val="en-GB"/>
              </w:rPr>
            </w:pPr>
            <w:r w:rsidRPr="00B9290C">
              <w:rPr>
                <w:lang w:val="en-GB"/>
              </w:rPr>
              <w:t>-.001</w:t>
            </w:r>
          </w:p>
        </w:tc>
      </w:tr>
      <w:tr w:rsidR="00961884" w:rsidRPr="00B9290C" w14:paraId="529FBB8A" w14:textId="77777777" w:rsidTr="00961884">
        <w:trPr>
          <w:jc w:val="center"/>
        </w:trPr>
        <w:tc>
          <w:tcPr>
            <w:tcW w:w="2268" w:type="dxa"/>
            <w:vAlign w:val="center"/>
          </w:tcPr>
          <w:p w14:paraId="7DC9BEEF" w14:textId="77777777" w:rsidR="00961884" w:rsidRPr="00B9290C" w:rsidRDefault="00961884" w:rsidP="00961884">
            <w:pPr>
              <w:rPr>
                <w:lang w:val="en-GB"/>
              </w:rPr>
            </w:pPr>
            <w:r w:rsidRPr="00B9290C">
              <w:rPr>
                <w:lang w:val="en-GB"/>
              </w:rPr>
              <w:t>Extraversion</w:t>
            </w:r>
          </w:p>
        </w:tc>
        <w:tc>
          <w:tcPr>
            <w:tcW w:w="3686" w:type="dxa"/>
            <w:vMerge/>
          </w:tcPr>
          <w:p w14:paraId="3FAECF3C" w14:textId="77777777" w:rsidR="00961884" w:rsidRPr="00B9290C" w:rsidRDefault="00961884" w:rsidP="00961884">
            <w:pPr>
              <w:jc w:val="center"/>
              <w:rPr>
                <w:lang w:val="en-GB"/>
              </w:rPr>
            </w:pPr>
          </w:p>
        </w:tc>
        <w:tc>
          <w:tcPr>
            <w:tcW w:w="1134" w:type="dxa"/>
            <w:vMerge/>
          </w:tcPr>
          <w:p w14:paraId="305106BE" w14:textId="77777777" w:rsidR="00961884" w:rsidRPr="00B9290C" w:rsidRDefault="00961884" w:rsidP="00961884">
            <w:pPr>
              <w:jc w:val="center"/>
              <w:rPr>
                <w:lang w:val="en-GB"/>
              </w:rPr>
            </w:pPr>
          </w:p>
        </w:tc>
        <w:tc>
          <w:tcPr>
            <w:tcW w:w="1276" w:type="dxa"/>
            <w:vAlign w:val="center"/>
          </w:tcPr>
          <w:p w14:paraId="2F7C679D" w14:textId="77777777" w:rsidR="00961884" w:rsidRPr="00B9290C" w:rsidRDefault="00961884" w:rsidP="00961884">
            <w:pPr>
              <w:jc w:val="center"/>
              <w:rPr>
                <w:highlight w:val="yellow"/>
                <w:lang w:val="en-GB"/>
              </w:rPr>
            </w:pPr>
            <w:r w:rsidRPr="00B9290C">
              <w:rPr>
                <w:lang w:val="en-GB"/>
              </w:rPr>
              <w:t xml:space="preserve"> .000</w:t>
            </w:r>
          </w:p>
        </w:tc>
      </w:tr>
      <w:tr w:rsidR="00961884" w:rsidRPr="00B9290C" w14:paraId="002F39C8" w14:textId="77777777" w:rsidTr="00961884">
        <w:trPr>
          <w:jc w:val="center"/>
        </w:trPr>
        <w:tc>
          <w:tcPr>
            <w:tcW w:w="2268" w:type="dxa"/>
            <w:vAlign w:val="center"/>
          </w:tcPr>
          <w:p w14:paraId="54EA7E3D" w14:textId="77777777" w:rsidR="00961884" w:rsidRPr="00B9290C" w:rsidRDefault="00961884" w:rsidP="00961884">
            <w:pPr>
              <w:rPr>
                <w:lang w:val="en-GB"/>
              </w:rPr>
            </w:pPr>
            <w:r w:rsidRPr="00B9290C">
              <w:rPr>
                <w:lang w:val="en-GB"/>
              </w:rPr>
              <w:t>Agreeableness</w:t>
            </w:r>
          </w:p>
        </w:tc>
        <w:tc>
          <w:tcPr>
            <w:tcW w:w="3686" w:type="dxa"/>
            <w:vMerge/>
          </w:tcPr>
          <w:p w14:paraId="42F9D396" w14:textId="77777777" w:rsidR="00961884" w:rsidRPr="00B9290C" w:rsidRDefault="00961884" w:rsidP="00961884">
            <w:pPr>
              <w:jc w:val="center"/>
              <w:rPr>
                <w:lang w:val="en-GB"/>
              </w:rPr>
            </w:pPr>
          </w:p>
        </w:tc>
        <w:tc>
          <w:tcPr>
            <w:tcW w:w="1134" w:type="dxa"/>
            <w:vMerge/>
          </w:tcPr>
          <w:p w14:paraId="0536EAC7" w14:textId="77777777" w:rsidR="00961884" w:rsidRPr="00B9290C" w:rsidRDefault="00961884" w:rsidP="00961884">
            <w:pPr>
              <w:jc w:val="center"/>
              <w:rPr>
                <w:lang w:val="en-GB"/>
              </w:rPr>
            </w:pPr>
          </w:p>
        </w:tc>
        <w:tc>
          <w:tcPr>
            <w:tcW w:w="1276" w:type="dxa"/>
            <w:vAlign w:val="center"/>
          </w:tcPr>
          <w:p w14:paraId="26D97A22" w14:textId="77777777" w:rsidR="00961884" w:rsidRPr="00B9290C" w:rsidRDefault="00961884" w:rsidP="00961884">
            <w:pPr>
              <w:jc w:val="center"/>
              <w:rPr>
                <w:highlight w:val="yellow"/>
                <w:lang w:val="en-GB"/>
              </w:rPr>
            </w:pPr>
            <w:r w:rsidRPr="00B9290C">
              <w:rPr>
                <w:lang w:val="en-GB"/>
              </w:rPr>
              <w:t xml:space="preserve"> .000</w:t>
            </w:r>
          </w:p>
        </w:tc>
      </w:tr>
      <w:tr w:rsidR="00961884" w:rsidRPr="00B9290C" w14:paraId="1C7D66E9" w14:textId="77777777" w:rsidTr="00961884">
        <w:trPr>
          <w:jc w:val="center"/>
        </w:trPr>
        <w:tc>
          <w:tcPr>
            <w:tcW w:w="2268" w:type="dxa"/>
            <w:vAlign w:val="center"/>
          </w:tcPr>
          <w:p w14:paraId="2EC84F73" w14:textId="77777777" w:rsidR="00961884" w:rsidRPr="00B9290C" w:rsidRDefault="00961884" w:rsidP="00961884">
            <w:pPr>
              <w:rPr>
                <w:lang w:val="en-GB"/>
              </w:rPr>
            </w:pPr>
            <w:r w:rsidRPr="00B9290C">
              <w:rPr>
                <w:lang w:val="en-GB"/>
              </w:rPr>
              <w:t>Conscientiousness</w:t>
            </w:r>
          </w:p>
        </w:tc>
        <w:tc>
          <w:tcPr>
            <w:tcW w:w="3686" w:type="dxa"/>
            <w:vMerge w:val="restart"/>
            <w:vAlign w:val="center"/>
          </w:tcPr>
          <w:p w14:paraId="559CC58B" w14:textId="47F3C310" w:rsidR="00961884" w:rsidRPr="00B9290C" w:rsidRDefault="00961884" w:rsidP="00961884">
            <w:pPr>
              <w:jc w:val="center"/>
              <w:rPr>
                <w:lang w:val="en-GB"/>
              </w:rPr>
            </w:pPr>
            <w:r w:rsidRPr="00B9290C">
              <w:rPr>
                <w:lang w:val="en-GB"/>
              </w:rPr>
              <w:t xml:space="preserve">→ Academic </w:t>
            </w:r>
            <w:r w:rsidR="00315664">
              <w:rPr>
                <w:lang w:val="en-GB"/>
              </w:rPr>
              <w:t>self-</w:t>
            </w:r>
            <w:r w:rsidRPr="00B9290C">
              <w:rPr>
                <w:lang w:val="en-GB"/>
              </w:rPr>
              <w:t xml:space="preserve">efficacy </w:t>
            </w:r>
          </w:p>
          <w:p w14:paraId="7A535AC1" w14:textId="77777777" w:rsidR="00961884" w:rsidRPr="00B9290C" w:rsidRDefault="00961884" w:rsidP="00961884">
            <w:pPr>
              <w:jc w:val="center"/>
              <w:rPr>
                <w:lang w:val="en-GB"/>
              </w:rPr>
            </w:pPr>
            <w:r w:rsidRPr="00B9290C">
              <w:rPr>
                <w:lang w:val="en-GB"/>
              </w:rPr>
              <w:t xml:space="preserve">↓ </w:t>
            </w:r>
          </w:p>
          <w:p w14:paraId="6ACDA894" w14:textId="77777777" w:rsidR="00961884" w:rsidRPr="00B9290C" w:rsidRDefault="00961884" w:rsidP="00961884">
            <w:pPr>
              <w:jc w:val="center"/>
              <w:rPr>
                <w:lang w:val="en-GB"/>
              </w:rPr>
            </w:pPr>
            <w:r w:rsidRPr="00B9290C">
              <w:rPr>
                <w:lang w:val="en-GB"/>
              </w:rPr>
              <w:t>Protecting self-esteem →</w:t>
            </w:r>
          </w:p>
        </w:tc>
        <w:tc>
          <w:tcPr>
            <w:tcW w:w="1134" w:type="dxa"/>
            <w:vMerge w:val="restart"/>
            <w:vAlign w:val="center"/>
          </w:tcPr>
          <w:p w14:paraId="6EC92961" w14:textId="77777777" w:rsidR="00961884" w:rsidRPr="00B9290C" w:rsidRDefault="00961884" w:rsidP="00961884">
            <w:pPr>
              <w:jc w:val="center"/>
              <w:rPr>
                <w:lang w:val="en-GB"/>
              </w:rPr>
            </w:pPr>
            <w:r w:rsidRPr="00B9290C">
              <w:rPr>
                <w:lang w:val="en-GB"/>
              </w:rPr>
              <w:t>GPA</w:t>
            </w:r>
          </w:p>
        </w:tc>
        <w:tc>
          <w:tcPr>
            <w:tcW w:w="1276" w:type="dxa"/>
            <w:vAlign w:val="center"/>
          </w:tcPr>
          <w:p w14:paraId="36455291" w14:textId="77777777" w:rsidR="00961884" w:rsidRPr="00B9290C" w:rsidRDefault="00961884" w:rsidP="00961884">
            <w:pPr>
              <w:jc w:val="center"/>
              <w:rPr>
                <w:lang w:val="en-GB"/>
              </w:rPr>
            </w:pPr>
            <w:r w:rsidRPr="00B9290C">
              <w:rPr>
                <w:lang w:val="en-GB"/>
              </w:rPr>
              <w:t xml:space="preserve">   .014*</w:t>
            </w:r>
          </w:p>
        </w:tc>
      </w:tr>
      <w:tr w:rsidR="00961884" w:rsidRPr="00B9290C" w14:paraId="3D4AAABB" w14:textId="77777777" w:rsidTr="00961884">
        <w:trPr>
          <w:jc w:val="center"/>
        </w:trPr>
        <w:tc>
          <w:tcPr>
            <w:tcW w:w="2268" w:type="dxa"/>
            <w:vAlign w:val="center"/>
          </w:tcPr>
          <w:p w14:paraId="11E1B125" w14:textId="77777777" w:rsidR="00961884" w:rsidRPr="00B9290C" w:rsidRDefault="00961884" w:rsidP="00961884">
            <w:pPr>
              <w:rPr>
                <w:lang w:val="en-GB"/>
              </w:rPr>
            </w:pPr>
            <w:r w:rsidRPr="00B9290C">
              <w:rPr>
                <w:lang w:val="en-GB"/>
              </w:rPr>
              <w:t>Openness</w:t>
            </w:r>
          </w:p>
        </w:tc>
        <w:tc>
          <w:tcPr>
            <w:tcW w:w="3686" w:type="dxa"/>
            <w:vMerge/>
          </w:tcPr>
          <w:p w14:paraId="1A558A45" w14:textId="77777777" w:rsidR="00961884" w:rsidRPr="00B9290C" w:rsidRDefault="00961884" w:rsidP="00961884">
            <w:pPr>
              <w:jc w:val="center"/>
              <w:rPr>
                <w:lang w:val="en-GB"/>
              </w:rPr>
            </w:pPr>
          </w:p>
        </w:tc>
        <w:tc>
          <w:tcPr>
            <w:tcW w:w="1134" w:type="dxa"/>
            <w:vMerge/>
          </w:tcPr>
          <w:p w14:paraId="5EA64AE3" w14:textId="77777777" w:rsidR="00961884" w:rsidRPr="00B9290C" w:rsidRDefault="00961884" w:rsidP="00961884">
            <w:pPr>
              <w:jc w:val="center"/>
              <w:rPr>
                <w:lang w:val="en-GB"/>
              </w:rPr>
            </w:pPr>
          </w:p>
        </w:tc>
        <w:tc>
          <w:tcPr>
            <w:tcW w:w="1276" w:type="dxa"/>
            <w:vAlign w:val="center"/>
          </w:tcPr>
          <w:p w14:paraId="2C93CDCB" w14:textId="77777777" w:rsidR="00961884" w:rsidRPr="00B9290C" w:rsidRDefault="00961884" w:rsidP="00961884">
            <w:pPr>
              <w:jc w:val="center"/>
              <w:rPr>
                <w:lang w:val="en-GB"/>
              </w:rPr>
            </w:pPr>
            <w:r w:rsidRPr="00B9290C">
              <w:rPr>
                <w:lang w:val="en-GB"/>
              </w:rPr>
              <w:t xml:space="preserve">   .007*</w:t>
            </w:r>
          </w:p>
        </w:tc>
      </w:tr>
      <w:tr w:rsidR="00961884" w:rsidRPr="00B9290C" w14:paraId="2D9D4BAB" w14:textId="77777777" w:rsidTr="00961884">
        <w:trPr>
          <w:jc w:val="center"/>
        </w:trPr>
        <w:tc>
          <w:tcPr>
            <w:tcW w:w="2268" w:type="dxa"/>
            <w:vAlign w:val="center"/>
          </w:tcPr>
          <w:p w14:paraId="7484946F" w14:textId="77777777" w:rsidR="00961884" w:rsidRPr="00B9290C" w:rsidRDefault="00961884" w:rsidP="00961884">
            <w:pPr>
              <w:rPr>
                <w:lang w:val="en-GB"/>
              </w:rPr>
            </w:pPr>
            <w:r w:rsidRPr="00B9290C">
              <w:rPr>
                <w:lang w:val="en-GB"/>
              </w:rPr>
              <w:t>Extraversion</w:t>
            </w:r>
          </w:p>
        </w:tc>
        <w:tc>
          <w:tcPr>
            <w:tcW w:w="3686" w:type="dxa"/>
            <w:vMerge/>
          </w:tcPr>
          <w:p w14:paraId="1D3F51A0" w14:textId="77777777" w:rsidR="00961884" w:rsidRPr="00B9290C" w:rsidRDefault="00961884" w:rsidP="00961884">
            <w:pPr>
              <w:jc w:val="center"/>
              <w:rPr>
                <w:lang w:val="en-GB"/>
              </w:rPr>
            </w:pPr>
          </w:p>
        </w:tc>
        <w:tc>
          <w:tcPr>
            <w:tcW w:w="1134" w:type="dxa"/>
            <w:vMerge/>
          </w:tcPr>
          <w:p w14:paraId="212B1ECD" w14:textId="77777777" w:rsidR="00961884" w:rsidRPr="00B9290C" w:rsidRDefault="00961884" w:rsidP="00961884">
            <w:pPr>
              <w:jc w:val="center"/>
              <w:rPr>
                <w:lang w:val="en-GB"/>
              </w:rPr>
            </w:pPr>
          </w:p>
        </w:tc>
        <w:tc>
          <w:tcPr>
            <w:tcW w:w="1276" w:type="dxa"/>
            <w:vAlign w:val="center"/>
          </w:tcPr>
          <w:p w14:paraId="0E495061" w14:textId="77777777" w:rsidR="00961884" w:rsidRPr="00B9290C" w:rsidRDefault="00961884" w:rsidP="00961884">
            <w:pPr>
              <w:jc w:val="center"/>
              <w:rPr>
                <w:highlight w:val="yellow"/>
                <w:lang w:val="en-GB"/>
              </w:rPr>
            </w:pPr>
            <w:r w:rsidRPr="00B9290C">
              <w:rPr>
                <w:lang w:val="en-GB"/>
              </w:rPr>
              <w:t xml:space="preserve"> .001</w:t>
            </w:r>
          </w:p>
        </w:tc>
      </w:tr>
      <w:tr w:rsidR="00961884" w:rsidRPr="00B9290C" w14:paraId="421CB5BC" w14:textId="77777777" w:rsidTr="00961884">
        <w:trPr>
          <w:jc w:val="center"/>
        </w:trPr>
        <w:tc>
          <w:tcPr>
            <w:tcW w:w="2268" w:type="dxa"/>
            <w:vAlign w:val="center"/>
          </w:tcPr>
          <w:p w14:paraId="066C9BF7" w14:textId="77777777" w:rsidR="00961884" w:rsidRPr="00B9290C" w:rsidRDefault="00961884" w:rsidP="00961884">
            <w:pPr>
              <w:rPr>
                <w:lang w:val="en-GB"/>
              </w:rPr>
            </w:pPr>
            <w:r w:rsidRPr="00B9290C">
              <w:rPr>
                <w:lang w:val="en-GB"/>
              </w:rPr>
              <w:t>Agreeableness</w:t>
            </w:r>
          </w:p>
        </w:tc>
        <w:tc>
          <w:tcPr>
            <w:tcW w:w="3686" w:type="dxa"/>
            <w:vMerge/>
          </w:tcPr>
          <w:p w14:paraId="0FA81917" w14:textId="77777777" w:rsidR="00961884" w:rsidRPr="00B9290C" w:rsidRDefault="00961884" w:rsidP="00961884">
            <w:pPr>
              <w:jc w:val="center"/>
              <w:rPr>
                <w:lang w:val="en-GB"/>
              </w:rPr>
            </w:pPr>
          </w:p>
        </w:tc>
        <w:tc>
          <w:tcPr>
            <w:tcW w:w="1134" w:type="dxa"/>
            <w:vMerge/>
          </w:tcPr>
          <w:p w14:paraId="3ED75056" w14:textId="77777777" w:rsidR="00961884" w:rsidRPr="00B9290C" w:rsidRDefault="00961884" w:rsidP="00961884">
            <w:pPr>
              <w:jc w:val="center"/>
              <w:rPr>
                <w:lang w:val="en-GB"/>
              </w:rPr>
            </w:pPr>
          </w:p>
        </w:tc>
        <w:tc>
          <w:tcPr>
            <w:tcW w:w="1276" w:type="dxa"/>
            <w:vAlign w:val="center"/>
          </w:tcPr>
          <w:p w14:paraId="6531C9EF" w14:textId="77777777" w:rsidR="00961884" w:rsidRPr="00B9290C" w:rsidRDefault="00961884" w:rsidP="00961884">
            <w:pPr>
              <w:jc w:val="center"/>
              <w:rPr>
                <w:highlight w:val="yellow"/>
                <w:lang w:val="en-GB"/>
              </w:rPr>
            </w:pPr>
            <w:r w:rsidRPr="00B9290C">
              <w:rPr>
                <w:lang w:val="en-GB"/>
              </w:rPr>
              <w:t>-.003</w:t>
            </w:r>
          </w:p>
        </w:tc>
      </w:tr>
    </w:tbl>
    <w:p w14:paraId="6274B3F4" w14:textId="77777777" w:rsidR="00961884" w:rsidRPr="00AA01D6" w:rsidRDefault="00961884" w:rsidP="00961884">
      <w:pPr>
        <w:jc w:val="both"/>
      </w:pPr>
      <w:r w:rsidRPr="00B9290C">
        <w:rPr>
          <w:i/>
          <w:lang w:val="en-GB"/>
        </w:rPr>
        <w:t>Note: *p &lt; .05; **p &lt; .01.</w:t>
      </w:r>
    </w:p>
    <w:p w14:paraId="1D51B8D5" w14:textId="77777777" w:rsidR="00FE5F53" w:rsidRPr="00FE5F53" w:rsidRDefault="00FE5F53" w:rsidP="004A51F3">
      <w:pPr>
        <w:ind w:left="851" w:hanging="851"/>
        <w:jc w:val="both"/>
        <w:rPr>
          <w:sz w:val="32"/>
          <w:lang w:val="en-GB"/>
        </w:rPr>
      </w:pPr>
    </w:p>
    <w:sectPr w:rsidR="00FE5F53" w:rsidRPr="00FE5F53" w:rsidSect="004B1C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842DC" w14:textId="77777777" w:rsidR="009F4D2D" w:rsidRDefault="009F4D2D" w:rsidP="002B72E5">
      <w:r>
        <w:separator/>
      </w:r>
    </w:p>
  </w:endnote>
  <w:endnote w:type="continuationSeparator" w:id="0">
    <w:p w14:paraId="0E8CE68A" w14:textId="77777777" w:rsidR="009F4D2D" w:rsidRDefault="009F4D2D" w:rsidP="002B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EE"/>
    <w:family w:val="roman"/>
    <w:notTrueType/>
    <w:pitch w:val="default"/>
    <w:sig w:usb0="00000005" w:usb1="00000000" w:usb2="00000000" w:usb3="00000000" w:csb0="00000002" w:csb1="00000000"/>
  </w:font>
  <w:font w:name="TimesNewRomanRegular">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121628"/>
      <w:docPartObj>
        <w:docPartGallery w:val="Page Numbers (Bottom of Page)"/>
        <w:docPartUnique/>
      </w:docPartObj>
    </w:sdtPr>
    <w:sdtEndPr/>
    <w:sdtContent>
      <w:p w14:paraId="74F6C66D" w14:textId="25CFD0A6" w:rsidR="007A6D38" w:rsidRDefault="007A6D38">
        <w:pPr>
          <w:pStyle w:val="Footer"/>
          <w:jc w:val="right"/>
        </w:pPr>
        <w:r>
          <w:fldChar w:fldCharType="begin"/>
        </w:r>
        <w:r>
          <w:instrText>PAGE   \* MERGEFORMAT</w:instrText>
        </w:r>
        <w:r>
          <w:fldChar w:fldCharType="separate"/>
        </w:r>
        <w:r w:rsidR="00F72C2A">
          <w:rPr>
            <w:noProof/>
          </w:rPr>
          <w:t>21</w:t>
        </w:r>
        <w:r>
          <w:fldChar w:fldCharType="end"/>
        </w:r>
      </w:p>
    </w:sdtContent>
  </w:sdt>
  <w:p w14:paraId="168805E9" w14:textId="77777777" w:rsidR="007A6D38" w:rsidRDefault="007A6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CF528" w14:textId="77777777" w:rsidR="009F4D2D" w:rsidRDefault="009F4D2D" w:rsidP="002B72E5">
      <w:r>
        <w:separator/>
      </w:r>
    </w:p>
  </w:footnote>
  <w:footnote w:type="continuationSeparator" w:id="0">
    <w:p w14:paraId="5845B052" w14:textId="77777777" w:rsidR="009F4D2D" w:rsidRDefault="009F4D2D" w:rsidP="002B7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64"/>
    <w:rsid w:val="0000354D"/>
    <w:rsid w:val="000060C7"/>
    <w:rsid w:val="00014D05"/>
    <w:rsid w:val="00037D5E"/>
    <w:rsid w:val="0004188F"/>
    <w:rsid w:val="00046D77"/>
    <w:rsid w:val="00050C4C"/>
    <w:rsid w:val="00054A67"/>
    <w:rsid w:val="00064FD5"/>
    <w:rsid w:val="0008669E"/>
    <w:rsid w:val="000967C2"/>
    <w:rsid w:val="000A47A5"/>
    <w:rsid w:val="000A66B4"/>
    <w:rsid w:val="000B3BBC"/>
    <w:rsid w:val="000B4598"/>
    <w:rsid w:val="000B5183"/>
    <w:rsid w:val="000B7183"/>
    <w:rsid w:val="000C5727"/>
    <w:rsid w:val="000F617B"/>
    <w:rsid w:val="00110013"/>
    <w:rsid w:val="00110605"/>
    <w:rsid w:val="0011319B"/>
    <w:rsid w:val="001155BC"/>
    <w:rsid w:val="00125888"/>
    <w:rsid w:val="00143499"/>
    <w:rsid w:val="00144B7A"/>
    <w:rsid w:val="00152FE3"/>
    <w:rsid w:val="001605AF"/>
    <w:rsid w:val="0016148F"/>
    <w:rsid w:val="001662FD"/>
    <w:rsid w:val="001711C0"/>
    <w:rsid w:val="0017142F"/>
    <w:rsid w:val="00174AC4"/>
    <w:rsid w:val="00177513"/>
    <w:rsid w:val="0018698D"/>
    <w:rsid w:val="0018711A"/>
    <w:rsid w:val="001A52C8"/>
    <w:rsid w:val="001B7F7B"/>
    <w:rsid w:val="001C035C"/>
    <w:rsid w:val="001D2550"/>
    <w:rsid w:val="001D79E0"/>
    <w:rsid w:val="001F40CF"/>
    <w:rsid w:val="001F5590"/>
    <w:rsid w:val="00204F1C"/>
    <w:rsid w:val="002136BC"/>
    <w:rsid w:val="00214202"/>
    <w:rsid w:val="00220C40"/>
    <w:rsid w:val="00224F71"/>
    <w:rsid w:val="002330E2"/>
    <w:rsid w:val="0026271A"/>
    <w:rsid w:val="00267B4D"/>
    <w:rsid w:val="002700D2"/>
    <w:rsid w:val="00270CBD"/>
    <w:rsid w:val="00273697"/>
    <w:rsid w:val="0027757F"/>
    <w:rsid w:val="00283E8D"/>
    <w:rsid w:val="002864B3"/>
    <w:rsid w:val="00287C2E"/>
    <w:rsid w:val="002906AD"/>
    <w:rsid w:val="00292F71"/>
    <w:rsid w:val="002947AD"/>
    <w:rsid w:val="002B5CC0"/>
    <w:rsid w:val="002B72E5"/>
    <w:rsid w:val="002D1D3D"/>
    <w:rsid w:val="002D3074"/>
    <w:rsid w:val="002D6A6B"/>
    <w:rsid w:val="002E1A6B"/>
    <w:rsid w:val="002E6FB0"/>
    <w:rsid w:val="002E77F5"/>
    <w:rsid w:val="002F1211"/>
    <w:rsid w:val="002F7CDA"/>
    <w:rsid w:val="00303483"/>
    <w:rsid w:val="00306BCF"/>
    <w:rsid w:val="00307DE4"/>
    <w:rsid w:val="00315664"/>
    <w:rsid w:val="00316D4F"/>
    <w:rsid w:val="00327AB8"/>
    <w:rsid w:val="003475C3"/>
    <w:rsid w:val="00347A9E"/>
    <w:rsid w:val="00354D47"/>
    <w:rsid w:val="00354FCB"/>
    <w:rsid w:val="003568BD"/>
    <w:rsid w:val="00365C4C"/>
    <w:rsid w:val="00370D89"/>
    <w:rsid w:val="003932F6"/>
    <w:rsid w:val="003957D9"/>
    <w:rsid w:val="003D0613"/>
    <w:rsid w:val="003D11D9"/>
    <w:rsid w:val="003D56A6"/>
    <w:rsid w:val="003E0827"/>
    <w:rsid w:val="003E2BBD"/>
    <w:rsid w:val="003E73E0"/>
    <w:rsid w:val="003E77AE"/>
    <w:rsid w:val="003F041E"/>
    <w:rsid w:val="003F5C28"/>
    <w:rsid w:val="003F703C"/>
    <w:rsid w:val="004007E1"/>
    <w:rsid w:val="00406566"/>
    <w:rsid w:val="0042295B"/>
    <w:rsid w:val="00447F8E"/>
    <w:rsid w:val="00453FC7"/>
    <w:rsid w:val="00454DBB"/>
    <w:rsid w:val="00454EA1"/>
    <w:rsid w:val="004613C2"/>
    <w:rsid w:val="004749FD"/>
    <w:rsid w:val="00481F41"/>
    <w:rsid w:val="004903B5"/>
    <w:rsid w:val="004A51F3"/>
    <w:rsid w:val="004B1C80"/>
    <w:rsid w:val="004B5F42"/>
    <w:rsid w:val="004B77AA"/>
    <w:rsid w:val="004D49E9"/>
    <w:rsid w:val="004F1DF0"/>
    <w:rsid w:val="004F2D85"/>
    <w:rsid w:val="004F6BEB"/>
    <w:rsid w:val="005072AC"/>
    <w:rsid w:val="00507634"/>
    <w:rsid w:val="00527744"/>
    <w:rsid w:val="005349C6"/>
    <w:rsid w:val="005379D4"/>
    <w:rsid w:val="0054042D"/>
    <w:rsid w:val="00547DFC"/>
    <w:rsid w:val="00553278"/>
    <w:rsid w:val="00556892"/>
    <w:rsid w:val="00566EF8"/>
    <w:rsid w:val="005944B2"/>
    <w:rsid w:val="00596E35"/>
    <w:rsid w:val="005979E0"/>
    <w:rsid w:val="005C0BA4"/>
    <w:rsid w:val="005C3752"/>
    <w:rsid w:val="005C7898"/>
    <w:rsid w:val="005D06FE"/>
    <w:rsid w:val="005D1083"/>
    <w:rsid w:val="005D4CF1"/>
    <w:rsid w:val="005F0238"/>
    <w:rsid w:val="00612277"/>
    <w:rsid w:val="006143B1"/>
    <w:rsid w:val="006167F1"/>
    <w:rsid w:val="00617806"/>
    <w:rsid w:val="0062075B"/>
    <w:rsid w:val="006209DB"/>
    <w:rsid w:val="00650E41"/>
    <w:rsid w:val="0065114D"/>
    <w:rsid w:val="00656456"/>
    <w:rsid w:val="0066115E"/>
    <w:rsid w:val="00664019"/>
    <w:rsid w:val="006774A7"/>
    <w:rsid w:val="00685983"/>
    <w:rsid w:val="006863B3"/>
    <w:rsid w:val="00692008"/>
    <w:rsid w:val="00694C1A"/>
    <w:rsid w:val="00697DE4"/>
    <w:rsid w:val="006A377D"/>
    <w:rsid w:val="006A4844"/>
    <w:rsid w:val="006B0FC5"/>
    <w:rsid w:val="006B1763"/>
    <w:rsid w:val="006B1821"/>
    <w:rsid w:val="006B27EC"/>
    <w:rsid w:val="006C039D"/>
    <w:rsid w:val="006C785E"/>
    <w:rsid w:val="006F0640"/>
    <w:rsid w:val="007017F5"/>
    <w:rsid w:val="0070413D"/>
    <w:rsid w:val="00712ABD"/>
    <w:rsid w:val="00712AFF"/>
    <w:rsid w:val="00716501"/>
    <w:rsid w:val="0072464E"/>
    <w:rsid w:val="00724F1A"/>
    <w:rsid w:val="00727874"/>
    <w:rsid w:val="00731904"/>
    <w:rsid w:val="00733A9F"/>
    <w:rsid w:val="007416EF"/>
    <w:rsid w:val="00745D68"/>
    <w:rsid w:val="00751B1B"/>
    <w:rsid w:val="007667BE"/>
    <w:rsid w:val="00767329"/>
    <w:rsid w:val="0077164E"/>
    <w:rsid w:val="00773F7E"/>
    <w:rsid w:val="00777B3E"/>
    <w:rsid w:val="00784EED"/>
    <w:rsid w:val="00787299"/>
    <w:rsid w:val="00791B25"/>
    <w:rsid w:val="007A220A"/>
    <w:rsid w:val="007A6D38"/>
    <w:rsid w:val="007B22B0"/>
    <w:rsid w:val="007B518D"/>
    <w:rsid w:val="007C0243"/>
    <w:rsid w:val="007D167E"/>
    <w:rsid w:val="007E18A5"/>
    <w:rsid w:val="007E58CC"/>
    <w:rsid w:val="007E62DB"/>
    <w:rsid w:val="00802464"/>
    <w:rsid w:val="00811DAE"/>
    <w:rsid w:val="00816DFA"/>
    <w:rsid w:val="008201C9"/>
    <w:rsid w:val="0082102D"/>
    <w:rsid w:val="008232FC"/>
    <w:rsid w:val="0084439B"/>
    <w:rsid w:val="0087196D"/>
    <w:rsid w:val="008835D2"/>
    <w:rsid w:val="008930C4"/>
    <w:rsid w:val="008A3C7C"/>
    <w:rsid w:val="008A51B7"/>
    <w:rsid w:val="008B4C72"/>
    <w:rsid w:val="008B5683"/>
    <w:rsid w:val="008B7F21"/>
    <w:rsid w:val="008C3B75"/>
    <w:rsid w:val="008E4FFB"/>
    <w:rsid w:val="008E5F4F"/>
    <w:rsid w:val="008F0386"/>
    <w:rsid w:val="008F7584"/>
    <w:rsid w:val="00905786"/>
    <w:rsid w:val="0091076A"/>
    <w:rsid w:val="009117B3"/>
    <w:rsid w:val="00926FE4"/>
    <w:rsid w:val="00934A06"/>
    <w:rsid w:val="0093795C"/>
    <w:rsid w:val="009563EA"/>
    <w:rsid w:val="00961884"/>
    <w:rsid w:val="0097466F"/>
    <w:rsid w:val="00974E53"/>
    <w:rsid w:val="00975F1B"/>
    <w:rsid w:val="00982638"/>
    <w:rsid w:val="00996592"/>
    <w:rsid w:val="009976CF"/>
    <w:rsid w:val="009A7130"/>
    <w:rsid w:val="009D1220"/>
    <w:rsid w:val="009E4DA4"/>
    <w:rsid w:val="009E539E"/>
    <w:rsid w:val="009E73AA"/>
    <w:rsid w:val="009F4D2D"/>
    <w:rsid w:val="00A03E56"/>
    <w:rsid w:val="00A13791"/>
    <w:rsid w:val="00A21DF8"/>
    <w:rsid w:val="00A3442C"/>
    <w:rsid w:val="00A4117C"/>
    <w:rsid w:val="00A41CC1"/>
    <w:rsid w:val="00A57B9B"/>
    <w:rsid w:val="00A60914"/>
    <w:rsid w:val="00A637EB"/>
    <w:rsid w:val="00A670C2"/>
    <w:rsid w:val="00A8340D"/>
    <w:rsid w:val="00A84A89"/>
    <w:rsid w:val="00A934C4"/>
    <w:rsid w:val="00AA0BAA"/>
    <w:rsid w:val="00AB10B6"/>
    <w:rsid w:val="00AB634D"/>
    <w:rsid w:val="00AB7092"/>
    <w:rsid w:val="00AB722D"/>
    <w:rsid w:val="00AC1860"/>
    <w:rsid w:val="00AD04B5"/>
    <w:rsid w:val="00AD1B56"/>
    <w:rsid w:val="00AE3701"/>
    <w:rsid w:val="00AF6CA3"/>
    <w:rsid w:val="00B12DB0"/>
    <w:rsid w:val="00B14B39"/>
    <w:rsid w:val="00B36C2E"/>
    <w:rsid w:val="00B41C5E"/>
    <w:rsid w:val="00B7257D"/>
    <w:rsid w:val="00B74EF1"/>
    <w:rsid w:val="00B96C3C"/>
    <w:rsid w:val="00BA5A95"/>
    <w:rsid w:val="00BB06B7"/>
    <w:rsid w:val="00BB1179"/>
    <w:rsid w:val="00BB5F8C"/>
    <w:rsid w:val="00BC52A3"/>
    <w:rsid w:val="00BD7AB3"/>
    <w:rsid w:val="00BE019A"/>
    <w:rsid w:val="00BF0D24"/>
    <w:rsid w:val="00BF16F6"/>
    <w:rsid w:val="00BF3ACE"/>
    <w:rsid w:val="00C06520"/>
    <w:rsid w:val="00C11A57"/>
    <w:rsid w:val="00C145E4"/>
    <w:rsid w:val="00C20ECF"/>
    <w:rsid w:val="00C2145F"/>
    <w:rsid w:val="00C24DF4"/>
    <w:rsid w:val="00C3597C"/>
    <w:rsid w:val="00C41951"/>
    <w:rsid w:val="00C475BE"/>
    <w:rsid w:val="00C567F8"/>
    <w:rsid w:val="00C60672"/>
    <w:rsid w:val="00C613D8"/>
    <w:rsid w:val="00C7038E"/>
    <w:rsid w:val="00C71713"/>
    <w:rsid w:val="00C718D9"/>
    <w:rsid w:val="00C72876"/>
    <w:rsid w:val="00CA44B1"/>
    <w:rsid w:val="00CA54F6"/>
    <w:rsid w:val="00CE5FA2"/>
    <w:rsid w:val="00CE7AFC"/>
    <w:rsid w:val="00D008F7"/>
    <w:rsid w:val="00D043AE"/>
    <w:rsid w:val="00D05BCF"/>
    <w:rsid w:val="00D113D6"/>
    <w:rsid w:val="00D133D1"/>
    <w:rsid w:val="00D1417D"/>
    <w:rsid w:val="00D228CE"/>
    <w:rsid w:val="00D23516"/>
    <w:rsid w:val="00D32723"/>
    <w:rsid w:val="00D36614"/>
    <w:rsid w:val="00D473B0"/>
    <w:rsid w:val="00D50C7F"/>
    <w:rsid w:val="00D5246B"/>
    <w:rsid w:val="00D77D07"/>
    <w:rsid w:val="00DA29E0"/>
    <w:rsid w:val="00DA3C1F"/>
    <w:rsid w:val="00DB36CD"/>
    <w:rsid w:val="00DB4DCB"/>
    <w:rsid w:val="00DC09DC"/>
    <w:rsid w:val="00DC745E"/>
    <w:rsid w:val="00DD26C2"/>
    <w:rsid w:val="00DE108E"/>
    <w:rsid w:val="00DE503A"/>
    <w:rsid w:val="00DF44AC"/>
    <w:rsid w:val="00DF4689"/>
    <w:rsid w:val="00DF6EF2"/>
    <w:rsid w:val="00E07086"/>
    <w:rsid w:val="00E30B54"/>
    <w:rsid w:val="00E321D5"/>
    <w:rsid w:val="00E368B2"/>
    <w:rsid w:val="00E53634"/>
    <w:rsid w:val="00E732F8"/>
    <w:rsid w:val="00E7577D"/>
    <w:rsid w:val="00EA0A6D"/>
    <w:rsid w:val="00EA7853"/>
    <w:rsid w:val="00EC0FA7"/>
    <w:rsid w:val="00EC3E7A"/>
    <w:rsid w:val="00ED289C"/>
    <w:rsid w:val="00EE009C"/>
    <w:rsid w:val="00EF30A3"/>
    <w:rsid w:val="00EF4CB4"/>
    <w:rsid w:val="00F1731B"/>
    <w:rsid w:val="00F26022"/>
    <w:rsid w:val="00F35C33"/>
    <w:rsid w:val="00F372A6"/>
    <w:rsid w:val="00F42B89"/>
    <w:rsid w:val="00F447FE"/>
    <w:rsid w:val="00F5085A"/>
    <w:rsid w:val="00F54BB1"/>
    <w:rsid w:val="00F60EAC"/>
    <w:rsid w:val="00F628FA"/>
    <w:rsid w:val="00F72C2A"/>
    <w:rsid w:val="00F82F0D"/>
    <w:rsid w:val="00F86EC0"/>
    <w:rsid w:val="00FA4D56"/>
    <w:rsid w:val="00FB31B0"/>
    <w:rsid w:val="00FB6BEF"/>
    <w:rsid w:val="00FC1C7B"/>
    <w:rsid w:val="00FC7EC6"/>
    <w:rsid w:val="00FD7618"/>
    <w:rsid w:val="00FE5F53"/>
    <w:rsid w:val="00FF19FD"/>
    <w:rsid w:val="00FF1A3C"/>
    <w:rsid w:val="00FF43B6"/>
    <w:rsid w:val="00FF44FF"/>
    <w:rsid w:val="00FF6683"/>
    <w:rsid w:val="00FF75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7AE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02464"/>
    <w:pPr>
      <w:spacing w:after="200"/>
    </w:pPr>
    <w:rPr>
      <w:rFonts w:asciiTheme="minorHAnsi" w:eastAsiaTheme="minorHAnsi" w:hAnsiTheme="minorHAnsi" w:cstheme="minorBidi"/>
      <w:i/>
      <w:iCs/>
      <w:color w:val="44546A" w:themeColor="text2"/>
      <w:sz w:val="18"/>
      <w:szCs w:val="18"/>
      <w:lang w:eastAsia="en-US"/>
    </w:rPr>
  </w:style>
  <w:style w:type="table" w:styleId="TableGrid">
    <w:name w:val="Table Grid"/>
    <w:basedOn w:val="TableNormal"/>
    <w:uiPriority w:val="39"/>
    <w:rsid w:val="0080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72E5"/>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B72E5"/>
  </w:style>
  <w:style w:type="paragraph" w:styleId="Footer">
    <w:name w:val="footer"/>
    <w:basedOn w:val="Normal"/>
    <w:link w:val="FooterChar"/>
    <w:uiPriority w:val="99"/>
    <w:unhideWhenUsed/>
    <w:rsid w:val="002B72E5"/>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B72E5"/>
  </w:style>
  <w:style w:type="character" w:styleId="CommentReference">
    <w:name w:val="annotation reference"/>
    <w:basedOn w:val="DefaultParagraphFont"/>
    <w:uiPriority w:val="99"/>
    <w:semiHidden/>
    <w:unhideWhenUsed/>
    <w:rsid w:val="00C41951"/>
    <w:rPr>
      <w:sz w:val="16"/>
      <w:szCs w:val="16"/>
    </w:rPr>
  </w:style>
  <w:style w:type="paragraph" w:styleId="CommentText">
    <w:name w:val="annotation text"/>
    <w:basedOn w:val="Normal"/>
    <w:link w:val="CommentTextChar"/>
    <w:uiPriority w:val="99"/>
    <w:semiHidden/>
    <w:unhideWhenUsed/>
    <w:rsid w:val="00C41951"/>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41951"/>
    <w:rPr>
      <w:sz w:val="20"/>
      <w:szCs w:val="20"/>
    </w:rPr>
  </w:style>
  <w:style w:type="paragraph" w:styleId="BalloonText">
    <w:name w:val="Balloon Text"/>
    <w:basedOn w:val="Normal"/>
    <w:link w:val="BalloonTextChar"/>
    <w:uiPriority w:val="99"/>
    <w:semiHidden/>
    <w:unhideWhenUsed/>
    <w:rsid w:val="00C419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4195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F617B"/>
    <w:rPr>
      <w:b/>
      <w:bCs/>
    </w:rPr>
  </w:style>
  <w:style w:type="character" w:customStyle="1" w:styleId="CommentSubjectChar">
    <w:name w:val="Comment Subject Char"/>
    <w:basedOn w:val="CommentTextChar"/>
    <w:link w:val="CommentSubject"/>
    <w:uiPriority w:val="99"/>
    <w:semiHidden/>
    <w:rsid w:val="000F617B"/>
    <w:rPr>
      <w:b/>
      <w:bCs/>
      <w:sz w:val="20"/>
      <w:szCs w:val="20"/>
    </w:rPr>
  </w:style>
  <w:style w:type="character" w:customStyle="1" w:styleId="nlmyear">
    <w:name w:val="nlm_year"/>
    <w:basedOn w:val="DefaultParagraphFont"/>
    <w:rsid w:val="00FC7EC6"/>
  </w:style>
  <w:style w:type="character" w:customStyle="1" w:styleId="apple-converted-space">
    <w:name w:val="apple-converted-space"/>
    <w:basedOn w:val="DefaultParagraphFont"/>
    <w:rsid w:val="00FC7EC6"/>
  </w:style>
  <w:style w:type="character" w:customStyle="1" w:styleId="nlmarticle-title">
    <w:name w:val="nlm_article-title"/>
    <w:basedOn w:val="DefaultParagraphFont"/>
    <w:rsid w:val="00FC7EC6"/>
  </w:style>
  <w:style w:type="character" w:customStyle="1" w:styleId="nlmfpage">
    <w:name w:val="nlm_fpage"/>
    <w:basedOn w:val="DefaultParagraphFont"/>
    <w:rsid w:val="00FC7EC6"/>
  </w:style>
  <w:style w:type="character" w:customStyle="1" w:styleId="nlmlpage">
    <w:name w:val="nlm_lpage"/>
    <w:basedOn w:val="DefaultParagraphFont"/>
    <w:rsid w:val="00FC7EC6"/>
  </w:style>
  <w:style w:type="character" w:styleId="Hyperlink">
    <w:name w:val="Hyperlink"/>
    <w:basedOn w:val="DefaultParagraphFont"/>
    <w:uiPriority w:val="99"/>
    <w:unhideWhenUsed/>
    <w:rsid w:val="003D56A6"/>
    <w:rPr>
      <w:color w:val="0563C1" w:themeColor="hyperlink"/>
      <w:u w:val="single"/>
    </w:rPr>
  </w:style>
  <w:style w:type="character" w:customStyle="1" w:styleId="EndNoteBibliographyChar">
    <w:name w:val="EndNote Bibliography Char"/>
    <w:link w:val="EndNoteBibliography"/>
    <w:locked/>
    <w:rsid w:val="003D56A6"/>
    <w:rPr>
      <w:rFonts w:ascii="Times New Roman" w:eastAsia="Calibri" w:hAnsi="Times New Roman" w:cs="Times New Roman"/>
      <w:noProof/>
      <w:sz w:val="24"/>
      <w:szCs w:val="24"/>
      <w:lang w:val="en-US"/>
    </w:rPr>
  </w:style>
  <w:style w:type="paragraph" w:customStyle="1" w:styleId="EndNoteBibliography">
    <w:name w:val="EndNote Bibliography"/>
    <w:basedOn w:val="Normal"/>
    <w:link w:val="EndNoteBibliographyChar"/>
    <w:rsid w:val="003D56A6"/>
    <w:pPr>
      <w:ind w:firstLine="567"/>
    </w:pPr>
    <w:rPr>
      <w:rFonts w:eastAsia="Calibri"/>
      <w:noProof/>
      <w:lang w:val="en-US" w:eastAsia="en-US"/>
    </w:rPr>
  </w:style>
  <w:style w:type="paragraph" w:styleId="Revision">
    <w:name w:val="Revision"/>
    <w:hidden/>
    <w:uiPriority w:val="99"/>
    <w:semiHidden/>
    <w:rsid w:val="00C2145F"/>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7506">
      <w:bodyDiv w:val="1"/>
      <w:marLeft w:val="0"/>
      <w:marRight w:val="0"/>
      <w:marTop w:val="0"/>
      <w:marBottom w:val="0"/>
      <w:divBdr>
        <w:top w:val="none" w:sz="0" w:space="0" w:color="auto"/>
        <w:left w:val="none" w:sz="0" w:space="0" w:color="auto"/>
        <w:bottom w:val="none" w:sz="0" w:space="0" w:color="auto"/>
        <w:right w:val="none" w:sz="0" w:space="0" w:color="auto"/>
      </w:divBdr>
    </w:div>
    <w:div w:id="761486821">
      <w:bodyDiv w:val="1"/>
      <w:marLeft w:val="0"/>
      <w:marRight w:val="0"/>
      <w:marTop w:val="0"/>
      <w:marBottom w:val="0"/>
      <w:divBdr>
        <w:top w:val="none" w:sz="0" w:space="0" w:color="auto"/>
        <w:left w:val="none" w:sz="0" w:space="0" w:color="auto"/>
        <w:bottom w:val="none" w:sz="0" w:space="0" w:color="auto"/>
        <w:right w:val="none" w:sz="0" w:space="0" w:color="auto"/>
      </w:divBdr>
    </w:div>
    <w:div w:id="776369799">
      <w:bodyDiv w:val="1"/>
      <w:marLeft w:val="0"/>
      <w:marRight w:val="0"/>
      <w:marTop w:val="0"/>
      <w:marBottom w:val="0"/>
      <w:divBdr>
        <w:top w:val="none" w:sz="0" w:space="0" w:color="auto"/>
        <w:left w:val="none" w:sz="0" w:space="0" w:color="auto"/>
        <w:bottom w:val="none" w:sz="0" w:space="0" w:color="auto"/>
        <w:right w:val="none" w:sz="0" w:space="0" w:color="auto"/>
      </w:divBdr>
    </w:div>
    <w:div w:id="840244155">
      <w:bodyDiv w:val="1"/>
      <w:marLeft w:val="0"/>
      <w:marRight w:val="0"/>
      <w:marTop w:val="0"/>
      <w:marBottom w:val="0"/>
      <w:divBdr>
        <w:top w:val="none" w:sz="0" w:space="0" w:color="auto"/>
        <w:left w:val="none" w:sz="0" w:space="0" w:color="auto"/>
        <w:bottom w:val="none" w:sz="0" w:space="0" w:color="auto"/>
        <w:right w:val="none" w:sz="0" w:space="0" w:color="auto"/>
      </w:divBdr>
    </w:div>
    <w:div w:id="175736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212-021-00576-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ringernature.com/gp/open-research/policies/accepted-manuscript-te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05C0F-F882-4250-9EEE-1D23FFE9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7023</Words>
  <Characters>40037</Characters>
  <Application>Microsoft Office Word</Application>
  <DocSecurity>0</DocSecurity>
  <Lines>333</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2021-05-12T13:04:00Z</dcterms:created>
  <dcterms:modified xsi:type="dcterms:W3CDTF">2024-05-10T08:02:00Z</dcterms:modified>
</cp:coreProperties>
</file>