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45593A" w14:textId="202F6A33" w:rsidR="003D0269" w:rsidRPr="0067066E" w:rsidRDefault="00CE37A1" w:rsidP="005D3E24">
      <w:pPr>
        <w:spacing w:after="0" w:line="480" w:lineRule="auto"/>
        <w:rPr>
          <w:rFonts w:ascii="Times New Roman" w:hAnsi="Times New Roman" w:cs="Times New Roman"/>
          <w:b/>
          <w:iCs/>
          <w:sz w:val="24"/>
          <w:szCs w:val="24"/>
        </w:rPr>
      </w:pPr>
      <w:bookmarkStart w:id="0" w:name="_Hlk91929757"/>
      <w:r w:rsidRPr="00CE37A1">
        <w:rPr>
          <w:rFonts w:ascii="Times New Roman" w:hAnsi="Times New Roman" w:cs="Times New Roman"/>
          <w:b/>
          <w:iCs/>
          <w:sz w:val="24"/>
          <w:szCs w:val="24"/>
        </w:rPr>
        <w:t>Croatia: Impact of Europeanization on Skill Formation</w:t>
      </w:r>
      <w:bookmarkStart w:id="1" w:name="_GoBack"/>
      <w:bookmarkEnd w:id="1"/>
      <w:r w:rsidR="00604D02" w:rsidRPr="005D3E24">
        <w:rPr>
          <w:rFonts w:ascii="Times New Roman" w:hAnsi="Times New Roman" w:cs="Times New Roman"/>
          <w:b/>
          <w:iCs/>
          <w:sz w:val="24"/>
          <w:szCs w:val="24"/>
        </w:rPr>
        <w:t>.</w:t>
      </w:r>
    </w:p>
    <w:p w14:paraId="72E348AB" w14:textId="7B390FB8" w:rsidR="00CC0BD7" w:rsidRPr="005D3E24" w:rsidRDefault="00CC0BD7">
      <w:pPr>
        <w:rPr>
          <w:rFonts w:ascii="Times New Roman" w:hAnsi="Times New Roman" w:cs="Times New Roman"/>
          <w:b/>
          <w:iCs/>
          <w:sz w:val="24"/>
          <w:szCs w:val="24"/>
        </w:rPr>
      </w:pPr>
      <w:r w:rsidRPr="0067066E">
        <w:rPr>
          <w:rFonts w:ascii="Times New Roman" w:hAnsi="Times New Roman" w:cs="Times New Roman"/>
          <w:b/>
          <w:iCs/>
          <w:sz w:val="24"/>
          <w:szCs w:val="24"/>
        </w:rPr>
        <w:t>Teo Matkovi</w:t>
      </w:r>
      <w:r w:rsidR="00491E49">
        <w:rPr>
          <w:rFonts w:ascii="Times New Roman" w:hAnsi="Times New Roman" w:cs="Times New Roman"/>
          <w:b/>
          <w:iCs/>
          <w:sz w:val="24"/>
          <w:szCs w:val="24"/>
        </w:rPr>
        <w:t>ć</w:t>
      </w:r>
      <w:r w:rsidRPr="0067066E">
        <w:rPr>
          <w:rFonts w:ascii="Times New Roman" w:hAnsi="Times New Roman" w:cs="Times New Roman"/>
          <w:b/>
          <w:iCs/>
          <w:sz w:val="24"/>
          <w:szCs w:val="24"/>
        </w:rPr>
        <w:t xml:space="preserve"> and Nikola Bukovi</w:t>
      </w:r>
      <w:r w:rsidR="00491E49">
        <w:rPr>
          <w:rFonts w:ascii="Times New Roman" w:hAnsi="Times New Roman" w:cs="Times New Roman"/>
          <w:b/>
          <w:iCs/>
          <w:sz w:val="24"/>
          <w:szCs w:val="24"/>
        </w:rPr>
        <w:t>ć</w:t>
      </w:r>
    </w:p>
    <w:bookmarkEnd w:id="0"/>
    <w:p w14:paraId="77A99530" w14:textId="77777777" w:rsidR="0067066E" w:rsidRDefault="0067066E">
      <w:pPr>
        <w:rPr>
          <w:rFonts w:ascii="Times New Roman" w:hAnsi="Times New Roman" w:cs="Times New Roman"/>
          <w:b/>
          <w:bCs/>
          <w:sz w:val="24"/>
          <w:szCs w:val="24"/>
        </w:rPr>
      </w:pPr>
    </w:p>
    <w:p w14:paraId="197CE8D4" w14:textId="530B6835" w:rsidR="003D0269" w:rsidRPr="005D3E24" w:rsidRDefault="00604D02">
      <w:pPr>
        <w:rPr>
          <w:rFonts w:ascii="Times New Roman" w:hAnsi="Times New Roman" w:cs="Times New Roman"/>
          <w:b/>
          <w:bCs/>
          <w:sz w:val="24"/>
          <w:szCs w:val="24"/>
        </w:rPr>
      </w:pPr>
      <w:r w:rsidRPr="005D3E24">
        <w:rPr>
          <w:rFonts w:ascii="Times New Roman" w:hAnsi="Times New Roman" w:cs="Times New Roman"/>
          <w:b/>
          <w:bCs/>
          <w:sz w:val="24"/>
          <w:szCs w:val="24"/>
        </w:rPr>
        <w:t>Introduction</w:t>
      </w:r>
    </w:p>
    <w:p w14:paraId="67FCCFED" w14:textId="0E28583B" w:rsidR="003D0269" w:rsidRPr="005D3E24" w:rsidRDefault="00604D02" w:rsidP="005D3E24">
      <w:pPr>
        <w:spacing w:after="0" w:line="480" w:lineRule="auto"/>
        <w:jc w:val="both"/>
        <w:rPr>
          <w:rFonts w:ascii="Times New Roman" w:hAnsi="Times New Roman" w:cs="Times New Roman"/>
          <w:sz w:val="24"/>
          <w:szCs w:val="24"/>
        </w:rPr>
      </w:pPr>
      <w:r w:rsidRPr="005D3E24">
        <w:rPr>
          <w:rFonts w:ascii="Times New Roman" w:hAnsi="Times New Roman" w:cs="Times New Roman"/>
          <w:sz w:val="24"/>
          <w:szCs w:val="24"/>
        </w:rPr>
        <w:t xml:space="preserve">The development of the Croatian education policy from independence onwards can </w:t>
      </w:r>
      <w:r w:rsidR="0067066E">
        <w:rPr>
          <w:rFonts w:ascii="Times New Roman" w:hAnsi="Times New Roman" w:cs="Times New Roman"/>
          <w:sz w:val="24"/>
          <w:szCs w:val="24"/>
        </w:rPr>
        <w:t xml:space="preserve">best </w:t>
      </w:r>
      <w:r w:rsidRPr="005D3E24">
        <w:rPr>
          <w:rFonts w:ascii="Times New Roman" w:hAnsi="Times New Roman" w:cs="Times New Roman"/>
          <w:sz w:val="24"/>
          <w:szCs w:val="24"/>
        </w:rPr>
        <w:t xml:space="preserve">be </w:t>
      </w:r>
      <w:r w:rsidR="009C71DC" w:rsidRPr="005D3E24">
        <w:rPr>
          <w:rFonts w:ascii="Times New Roman" w:hAnsi="Times New Roman" w:cs="Times New Roman"/>
          <w:sz w:val="24"/>
          <w:szCs w:val="24"/>
        </w:rPr>
        <w:t xml:space="preserve">understood in terms of it having </w:t>
      </w:r>
      <w:r w:rsidRPr="005D3E24">
        <w:rPr>
          <w:rFonts w:ascii="Times New Roman" w:hAnsi="Times New Roman" w:cs="Times New Roman"/>
          <w:sz w:val="24"/>
          <w:szCs w:val="24"/>
        </w:rPr>
        <w:t xml:space="preserve">two successive phases, each shaped by the dominating political paradigms at the time </w:t>
      </w:r>
      <w:bookmarkStart w:id="2" w:name="__Fieldmark__17_131419714"/>
      <w:r w:rsidRPr="005D3E24">
        <w:rPr>
          <w:rFonts w:ascii="Times New Roman" w:hAnsi="Times New Roman" w:cs="Times New Roman"/>
          <w:sz w:val="24"/>
          <w:szCs w:val="24"/>
        </w:rPr>
        <w:t>(</w:t>
      </w:r>
      <w:bookmarkStart w:id="3" w:name="__Fieldmark__17_2097806078"/>
      <w:r w:rsidRPr="005D3E24">
        <w:rPr>
          <w:rFonts w:ascii="Times New Roman" w:hAnsi="Times New Roman" w:cs="Times New Roman"/>
          <w:sz w:val="24"/>
          <w:szCs w:val="24"/>
        </w:rPr>
        <w:t>Ž</w:t>
      </w:r>
      <w:bookmarkStart w:id="4" w:name="__Fieldmark__14_241477822"/>
      <w:r w:rsidRPr="005D3E24">
        <w:rPr>
          <w:rFonts w:ascii="Times New Roman" w:hAnsi="Times New Roman" w:cs="Times New Roman"/>
          <w:sz w:val="24"/>
          <w:szCs w:val="24"/>
        </w:rPr>
        <w:t>i</w:t>
      </w:r>
      <w:bookmarkStart w:id="5" w:name="__Fieldmark__3278_374039044"/>
      <w:r w:rsidRPr="005D3E24">
        <w:rPr>
          <w:rFonts w:ascii="Times New Roman" w:hAnsi="Times New Roman" w:cs="Times New Roman"/>
          <w:sz w:val="24"/>
          <w:szCs w:val="24"/>
        </w:rPr>
        <w:t>ljak 2013; Žiljak &amp; Molnar 2015)</w:t>
      </w:r>
      <w:bookmarkEnd w:id="2"/>
      <w:bookmarkEnd w:id="3"/>
      <w:bookmarkEnd w:id="4"/>
      <w:bookmarkEnd w:id="5"/>
      <w:r w:rsidRPr="005D3E24">
        <w:rPr>
          <w:rFonts w:ascii="Times New Roman" w:hAnsi="Times New Roman" w:cs="Times New Roman"/>
          <w:sz w:val="24"/>
          <w:szCs w:val="24"/>
        </w:rPr>
        <w:t>. In the first phase, which spanned the 1990s, the education system was primarily seen as a tool of (re)creating national identity and the nation-state. The second phase began in the 2000s and is still in effect. This phase is characteri</w:t>
      </w:r>
      <w:r w:rsidR="005D3E24">
        <w:rPr>
          <w:rFonts w:ascii="Times New Roman" w:hAnsi="Times New Roman" w:cs="Times New Roman"/>
          <w:sz w:val="24"/>
          <w:szCs w:val="24"/>
        </w:rPr>
        <w:t>z</w:t>
      </w:r>
      <w:r w:rsidRPr="005D3E24">
        <w:rPr>
          <w:rFonts w:ascii="Times New Roman" w:hAnsi="Times New Roman" w:cs="Times New Roman"/>
          <w:sz w:val="24"/>
          <w:szCs w:val="24"/>
        </w:rPr>
        <w:t>ed by the paradigm of Europeani</w:t>
      </w:r>
      <w:r w:rsidR="005D3E24">
        <w:rPr>
          <w:rFonts w:ascii="Times New Roman" w:hAnsi="Times New Roman" w:cs="Times New Roman"/>
          <w:sz w:val="24"/>
          <w:szCs w:val="24"/>
        </w:rPr>
        <w:t>z</w:t>
      </w:r>
      <w:r w:rsidRPr="005D3E24">
        <w:rPr>
          <w:rFonts w:ascii="Times New Roman" w:hAnsi="Times New Roman" w:cs="Times New Roman"/>
          <w:sz w:val="24"/>
          <w:szCs w:val="24"/>
        </w:rPr>
        <w:t>ation and its key features: lifelong learning, competitiveness, and employability. This has entailed harmoni</w:t>
      </w:r>
      <w:r w:rsidR="003F260F" w:rsidRPr="005D3E24">
        <w:rPr>
          <w:rFonts w:ascii="Times New Roman" w:hAnsi="Times New Roman" w:cs="Times New Roman"/>
          <w:sz w:val="24"/>
          <w:szCs w:val="24"/>
        </w:rPr>
        <w:t>z</w:t>
      </w:r>
      <w:r w:rsidRPr="005D3E24">
        <w:rPr>
          <w:rFonts w:ascii="Times New Roman" w:hAnsi="Times New Roman" w:cs="Times New Roman"/>
          <w:sz w:val="24"/>
          <w:szCs w:val="24"/>
        </w:rPr>
        <w:t xml:space="preserve">ing national policy with the education policy of the European Union, while also implementing policy learning from other member states.   </w:t>
      </w:r>
    </w:p>
    <w:p w14:paraId="68C198CD" w14:textId="2F7569F7" w:rsidR="003D0269" w:rsidRPr="005D3E24" w:rsidRDefault="00604D02" w:rsidP="005D3E24">
      <w:pPr>
        <w:spacing w:after="0" w:line="480" w:lineRule="auto"/>
        <w:ind w:firstLine="284"/>
        <w:jc w:val="both"/>
        <w:rPr>
          <w:rFonts w:ascii="Times New Roman" w:hAnsi="Times New Roman" w:cs="Times New Roman"/>
          <w:sz w:val="24"/>
          <w:szCs w:val="24"/>
        </w:rPr>
      </w:pPr>
      <w:r w:rsidRPr="005D3E24">
        <w:rPr>
          <w:rFonts w:ascii="Times New Roman" w:hAnsi="Times New Roman" w:cs="Times New Roman"/>
          <w:sz w:val="24"/>
          <w:szCs w:val="24"/>
        </w:rPr>
        <w:t xml:space="preserve">A recent analysis of the institutional features of the Croatian skill production regime </w:t>
      </w:r>
      <w:bookmarkStart w:id="6" w:name="__Fieldmark__45_131419714"/>
      <w:r w:rsidRPr="005D3E24">
        <w:rPr>
          <w:rFonts w:ascii="Times New Roman" w:hAnsi="Times New Roman" w:cs="Times New Roman"/>
          <w:sz w:val="24"/>
          <w:szCs w:val="24"/>
        </w:rPr>
        <w:t>(</w:t>
      </w:r>
      <w:bookmarkStart w:id="7" w:name="__Fieldmark__41_2097806078"/>
      <w:r w:rsidRPr="005D3E24">
        <w:rPr>
          <w:rFonts w:ascii="Times New Roman" w:hAnsi="Times New Roman" w:cs="Times New Roman"/>
          <w:sz w:val="24"/>
          <w:szCs w:val="24"/>
        </w:rPr>
        <w:t>B</w:t>
      </w:r>
      <w:bookmarkStart w:id="8" w:name="__Fieldmark__27_241477822"/>
      <w:r w:rsidRPr="005D3E24">
        <w:rPr>
          <w:rFonts w:ascii="Times New Roman" w:hAnsi="Times New Roman" w:cs="Times New Roman"/>
          <w:sz w:val="24"/>
          <w:szCs w:val="24"/>
        </w:rPr>
        <w:t>u</w:t>
      </w:r>
      <w:bookmarkStart w:id="9" w:name="__Fieldmark__3331_374039044"/>
      <w:r w:rsidRPr="005D3E24">
        <w:rPr>
          <w:rFonts w:ascii="Times New Roman" w:hAnsi="Times New Roman" w:cs="Times New Roman"/>
          <w:sz w:val="24"/>
          <w:szCs w:val="24"/>
        </w:rPr>
        <w:t>ković 2019)</w:t>
      </w:r>
      <w:bookmarkEnd w:id="6"/>
      <w:bookmarkEnd w:id="7"/>
      <w:bookmarkEnd w:id="8"/>
      <w:bookmarkEnd w:id="9"/>
      <w:r w:rsidRPr="005D3E24">
        <w:rPr>
          <w:rFonts w:ascii="Times New Roman" w:hAnsi="Times New Roman" w:cs="Times New Roman"/>
          <w:sz w:val="24"/>
          <w:szCs w:val="24"/>
        </w:rPr>
        <w:t xml:space="preserve"> </w:t>
      </w:r>
      <w:r w:rsidR="00EB7EBD" w:rsidRPr="005D3E24">
        <w:rPr>
          <w:rFonts w:ascii="Times New Roman" w:hAnsi="Times New Roman" w:cs="Times New Roman"/>
          <w:sz w:val="24"/>
          <w:szCs w:val="24"/>
        </w:rPr>
        <w:t xml:space="preserve">classified </w:t>
      </w:r>
      <w:r w:rsidRPr="005D3E24">
        <w:rPr>
          <w:rFonts w:ascii="Times New Roman" w:hAnsi="Times New Roman" w:cs="Times New Roman"/>
          <w:sz w:val="24"/>
          <w:szCs w:val="24"/>
        </w:rPr>
        <w:t xml:space="preserve">it, following Busemeyer and Trampusch </w:t>
      </w:r>
      <w:bookmarkStart w:id="10" w:name="__Fieldmark__60_131419714"/>
      <w:r w:rsidRPr="005D3E24">
        <w:rPr>
          <w:rFonts w:ascii="Times New Roman" w:hAnsi="Times New Roman" w:cs="Times New Roman"/>
          <w:sz w:val="24"/>
          <w:szCs w:val="24"/>
        </w:rPr>
        <w:t>(</w:t>
      </w:r>
      <w:bookmarkStart w:id="11" w:name="__Fieldmark__52_2097806078"/>
      <w:r w:rsidRPr="005D3E24">
        <w:rPr>
          <w:rFonts w:ascii="Times New Roman" w:hAnsi="Times New Roman" w:cs="Times New Roman"/>
          <w:sz w:val="24"/>
          <w:szCs w:val="24"/>
        </w:rPr>
        <w:t>2</w:t>
      </w:r>
      <w:bookmarkStart w:id="12" w:name="__Fieldmark__34_241477822"/>
      <w:r w:rsidRPr="005D3E24">
        <w:rPr>
          <w:rFonts w:ascii="Times New Roman" w:hAnsi="Times New Roman" w:cs="Times New Roman"/>
          <w:sz w:val="24"/>
          <w:szCs w:val="24"/>
        </w:rPr>
        <w:t>0</w:t>
      </w:r>
      <w:bookmarkStart w:id="13" w:name="__Fieldmark__3344_374039044"/>
      <w:r w:rsidRPr="005D3E24">
        <w:rPr>
          <w:rFonts w:ascii="Times New Roman" w:hAnsi="Times New Roman" w:cs="Times New Roman"/>
          <w:sz w:val="24"/>
          <w:szCs w:val="24"/>
        </w:rPr>
        <w:t>12</w:t>
      </w:r>
      <w:r w:rsidR="0067066E" w:rsidRPr="005D3E24">
        <w:rPr>
          <w:rFonts w:ascii="Times New Roman" w:hAnsi="Times New Roman" w:cs="Times New Roman"/>
          <w:sz w:val="24"/>
          <w:szCs w:val="24"/>
        </w:rPr>
        <w:t>,</w:t>
      </w:r>
      <w:r w:rsidRPr="005D3E24">
        <w:rPr>
          <w:rFonts w:ascii="Times New Roman" w:hAnsi="Times New Roman" w:cs="Times New Roman"/>
          <w:sz w:val="24"/>
          <w:szCs w:val="24"/>
        </w:rPr>
        <w:t xml:space="preserve"> 12)</w:t>
      </w:r>
      <w:bookmarkEnd w:id="10"/>
      <w:bookmarkEnd w:id="11"/>
      <w:bookmarkEnd w:id="12"/>
      <w:bookmarkEnd w:id="13"/>
      <w:r w:rsidRPr="005D3E24">
        <w:rPr>
          <w:rFonts w:ascii="Times New Roman" w:hAnsi="Times New Roman" w:cs="Times New Roman"/>
          <w:sz w:val="24"/>
          <w:szCs w:val="24"/>
        </w:rPr>
        <w:t xml:space="preserve">, as ‘predominantly statist, with partial collectivism in training for occupations in </w:t>
      </w:r>
      <w:r w:rsidR="004A751C" w:rsidRPr="005D3E24">
        <w:rPr>
          <w:rFonts w:ascii="Times New Roman" w:hAnsi="Times New Roman" w:cs="Times New Roman"/>
          <w:sz w:val="24"/>
          <w:szCs w:val="24"/>
        </w:rPr>
        <w:t>skilled trades</w:t>
      </w:r>
      <w:r w:rsidR="005D3E24">
        <w:rPr>
          <w:rFonts w:ascii="Times New Roman" w:hAnsi="Times New Roman" w:cs="Times New Roman"/>
          <w:sz w:val="24"/>
          <w:szCs w:val="24"/>
        </w:rPr>
        <w:t>.</w:t>
      </w:r>
      <w:r w:rsidRPr="005D3E24">
        <w:rPr>
          <w:rFonts w:ascii="Times New Roman" w:hAnsi="Times New Roman" w:cs="Times New Roman"/>
          <w:sz w:val="24"/>
          <w:szCs w:val="24"/>
        </w:rPr>
        <w:t xml:space="preserve">’ This means that the central state and its subsidiaries control, deliver, and fund most </w:t>
      </w:r>
      <w:r w:rsidR="00EB7EBD" w:rsidRPr="005D3E24">
        <w:rPr>
          <w:rFonts w:ascii="Times New Roman" w:hAnsi="Times New Roman" w:cs="Times New Roman"/>
          <w:sz w:val="24"/>
          <w:szCs w:val="24"/>
        </w:rPr>
        <w:t xml:space="preserve">aspects of </w:t>
      </w:r>
      <w:r w:rsidRPr="005D3E24">
        <w:rPr>
          <w:rFonts w:ascii="Times New Roman" w:hAnsi="Times New Roman" w:cs="Times New Roman"/>
          <w:sz w:val="24"/>
          <w:szCs w:val="24"/>
        </w:rPr>
        <w:t xml:space="preserve">skill </w:t>
      </w:r>
      <w:r w:rsidR="00EB7EBD" w:rsidRPr="005D3E24">
        <w:rPr>
          <w:rFonts w:ascii="Times New Roman" w:hAnsi="Times New Roman" w:cs="Times New Roman"/>
          <w:sz w:val="24"/>
          <w:szCs w:val="24"/>
        </w:rPr>
        <w:t xml:space="preserve">formation </w:t>
      </w:r>
      <w:r w:rsidRPr="005D3E24">
        <w:rPr>
          <w:rFonts w:ascii="Times New Roman" w:hAnsi="Times New Roman" w:cs="Times New Roman"/>
          <w:sz w:val="24"/>
          <w:szCs w:val="24"/>
        </w:rPr>
        <w:t xml:space="preserve">in Croatia, with general education </w:t>
      </w:r>
      <w:r w:rsidR="00EB7EBD" w:rsidRPr="005D3E24">
        <w:rPr>
          <w:rFonts w:ascii="Times New Roman" w:hAnsi="Times New Roman" w:cs="Times New Roman"/>
          <w:sz w:val="24"/>
          <w:szCs w:val="24"/>
        </w:rPr>
        <w:t xml:space="preserve"> </w:t>
      </w:r>
      <w:r w:rsidR="00CE0BC4">
        <w:rPr>
          <w:rFonts w:ascii="Times New Roman" w:hAnsi="Times New Roman" w:cs="Times New Roman"/>
          <w:sz w:val="24"/>
          <w:szCs w:val="24"/>
        </w:rPr>
        <w:t>track</w:t>
      </w:r>
      <w:r w:rsidR="00EB7EBD" w:rsidRPr="005D3E24">
        <w:rPr>
          <w:rFonts w:ascii="Times New Roman" w:hAnsi="Times New Roman" w:cs="Times New Roman"/>
          <w:sz w:val="24"/>
          <w:szCs w:val="24"/>
        </w:rPr>
        <w:t xml:space="preserve">s </w:t>
      </w:r>
      <w:r w:rsidRPr="005D3E24">
        <w:rPr>
          <w:rFonts w:ascii="Times New Roman" w:hAnsi="Times New Roman" w:cs="Times New Roman"/>
          <w:sz w:val="24"/>
          <w:szCs w:val="24"/>
        </w:rPr>
        <w:t xml:space="preserve">enjoying more prestige than their vocational counterparts </w:t>
      </w:r>
      <w:bookmarkStart w:id="14" w:name="__Fieldmark__79_131419714"/>
      <w:r w:rsidRPr="005D3E24">
        <w:rPr>
          <w:rFonts w:ascii="Times New Roman" w:hAnsi="Times New Roman" w:cs="Times New Roman"/>
          <w:sz w:val="24"/>
          <w:szCs w:val="24"/>
        </w:rPr>
        <w:t>(Buković &amp; Matković 2018)</w:t>
      </w:r>
      <w:bookmarkStart w:id="15" w:name="__Fieldmark__3372_374039044"/>
      <w:bookmarkStart w:id="16" w:name="__Fieldmark__43_241477822"/>
      <w:bookmarkStart w:id="17" w:name="__Fieldmark__67_2097806078"/>
      <w:bookmarkEnd w:id="14"/>
      <w:bookmarkEnd w:id="15"/>
      <w:bookmarkEnd w:id="16"/>
      <w:bookmarkEnd w:id="17"/>
      <w:r w:rsidRPr="005D3E24">
        <w:rPr>
          <w:rFonts w:ascii="Times New Roman" w:hAnsi="Times New Roman" w:cs="Times New Roman"/>
          <w:sz w:val="24"/>
          <w:szCs w:val="24"/>
        </w:rPr>
        <w:t xml:space="preserve">. The critical exception — which </w:t>
      </w:r>
      <w:r w:rsidR="0044730E" w:rsidRPr="005D3E24">
        <w:rPr>
          <w:rFonts w:ascii="Times New Roman" w:hAnsi="Times New Roman" w:cs="Times New Roman"/>
          <w:sz w:val="24"/>
          <w:szCs w:val="24"/>
        </w:rPr>
        <w:t xml:space="preserve">inserts </w:t>
      </w:r>
      <w:r w:rsidRPr="005D3E24">
        <w:rPr>
          <w:rFonts w:ascii="Times New Roman" w:hAnsi="Times New Roman" w:cs="Times New Roman"/>
          <w:sz w:val="24"/>
          <w:szCs w:val="24"/>
        </w:rPr>
        <w:t>a measure of hybridity into the system — comprises programmes for skilled trades occupations</w:t>
      </w:r>
      <w:r w:rsidR="004A751C" w:rsidRPr="005D3E24">
        <w:rPr>
          <w:rFonts w:ascii="Times New Roman" w:hAnsi="Times New Roman" w:cs="Times New Roman"/>
          <w:sz w:val="24"/>
          <w:szCs w:val="24"/>
        </w:rPr>
        <w:t xml:space="preserve"> (in Croatian: </w:t>
      </w:r>
      <w:r w:rsidR="004A751C" w:rsidRPr="005D3E24">
        <w:rPr>
          <w:rFonts w:ascii="Times New Roman" w:hAnsi="Times New Roman" w:cs="Times New Roman"/>
          <w:i/>
          <w:iCs/>
          <w:sz w:val="24"/>
          <w:szCs w:val="24"/>
        </w:rPr>
        <w:t>programi za obrtnička zanimanja)</w:t>
      </w:r>
      <w:r w:rsidRPr="005D3E24">
        <w:rPr>
          <w:rFonts w:ascii="Times New Roman" w:hAnsi="Times New Roman" w:cs="Times New Roman"/>
          <w:sz w:val="24"/>
          <w:szCs w:val="24"/>
        </w:rPr>
        <w:t xml:space="preserve">, which include apprenticeships. Here, the Croatian Chamber for Trades and Crafts (CCTC) plays a significant role in programme design, delivery, and administration. This cannot be considered an example of corporatism in the sense of developed industrial democracies, however, since it lacks a sustained and equitable partnership </w:t>
      </w:r>
      <w:r w:rsidR="0044730E" w:rsidRPr="005D3E24">
        <w:rPr>
          <w:rFonts w:ascii="Times New Roman" w:hAnsi="Times New Roman" w:cs="Times New Roman"/>
          <w:sz w:val="24"/>
          <w:szCs w:val="24"/>
        </w:rPr>
        <w:t xml:space="preserve">between </w:t>
      </w:r>
      <w:r w:rsidRPr="005D3E24">
        <w:rPr>
          <w:rFonts w:ascii="Times New Roman" w:hAnsi="Times New Roman" w:cs="Times New Roman"/>
          <w:sz w:val="24"/>
          <w:szCs w:val="24"/>
        </w:rPr>
        <w:t xml:space="preserve">the state, employers, </w:t>
      </w:r>
      <w:r w:rsidR="0044730E" w:rsidRPr="005D3E24">
        <w:rPr>
          <w:rFonts w:ascii="Times New Roman" w:hAnsi="Times New Roman" w:cs="Times New Roman"/>
          <w:sz w:val="24"/>
          <w:szCs w:val="24"/>
        </w:rPr>
        <w:t>and</w:t>
      </w:r>
      <w:r w:rsidRPr="005D3E24">
        <w:rPr>
          <w:rFonts w:ascii="Times New Roman" w:hAnsi="Times New Roman" w:cs="Times New Roman"/>
          <w:sz w:val="24"/>
          <w:szCs w:val="24"/>
        </w:rPr>
        <w:t xml:space="preserve"> trade unions in delivering programmes.  </w:t>
      </w:r>
    </w:p>
    <w:p w14:paraId="660FEB47" w14:textId="466EFFB9" w:rsidR="003D0269" w:rsidRPr="005D3E24" w:rsidRDefault="00604D02" w:rsidP="005D3E24">
      <w:pPr>
        <w:spacing w:after="0" w:line="480" w:lineRule="auto"/>
        <w:ind w:firstLine="284"/>
        <w:jc w:val="both"/>
        <w:rPr>
          <w:rFonts w:ascii="Times New Roman" w:hAnsi="Times New Roman" w:cs="Times New Roman"/>
          <w:sz w:val="24"/>
          <w:szCs w:val="24"/>
        </w:rPr>
      </w:pPr>
      <w:r w:rsidRPr="005D3E24">
        <w:rPr>
          <w:rFonts w:ascii="Times New Roman" w:hAnsi="Times New Roman" w:cs="Times New Roman"/>
          <w:sz w:val="24"/>
          <w:szCs w:val="24"/>
        </w:rPr>
        <w:lastRenderedPageBreak/>
        <w:t xml:space="preserve">This chapter aims to deepen understanding of the dominant forces shaping and maintaining the Croatian skill production regime over time. </w:t>
      </w:r>
      <w:r w:rsidR="00184324" w:rsidRPr="005D3E24">
        <w:rPr>
          <w:rFonts w:ascii="Times New Roman" w:hAnsi="Times New Roman" w:cs="Times New Roman"/>
          <w:sz w:val="24"/>
          <w:szCs w:val="24"/>
        </w:rPr>
        <w:t xml:space="preserve">It </w:t>
      </w:r>
      <w:r w:rsidRPr="005D3E24">
        <w:rPr>
          <w:rFonts w:ascii="Times New Roman" w:hAnsi="Times New Roman" w:cs="Times New Roman"/>
          <w:sz w:val="24"/>
          <w:szCs w:val="24"/>
        </w:rPr>
        <w:t xml:space="preserve">will set the scene by offering a demographic and industrial context for </w:t>
      </w:r>
      <w:r w:rsidR="002D18EC" w:rsidRPr="005D3E24">
        <w:rPr>
          <w:rFonts w:ascii="Times New Roman" w:hAnsi="Times New Roman" w:cs="Times New Roman"/>
          <w:sz w:val="24"/>
          <w:szCs w:val="24"/>
        </w:rPr>
        <w:t xml:space="preserve">this, </w:t>
      </w:r>
      <w:r w:rsidRPr="005D3E24">
        <w:rPr>
          <w:rFonts w:ascii="Times New Roman" w:hAnsi="Times New Roman" w:cs="Times New Roman"/>
          <w:sz w:val="24"/>
          <w:szCs w:val="24"/>
        </w:rPr>
        <w:t xml:space="preserve">and by </w:t>
      </w:r>
      <w:r w:rsidR="002D18EC" w:rsidRPr="005D3E24">
        <w:rPr>
          <w:rFonts w:ascii="Times New Roman" w:hAnsi="Times New Roman" w:cs="Times New Roman"/>
          <w:sz w:val="24"/>
          <w:szCs w:val="24"/>
        </w:rPr>
        <w:t xml:space="preserve">describing </w:t>
      </w:r>
      <w:r w:rsidRPr="005D3E24">
        <w:rPr>
          <w:rFonts w:ascii="Times New Roman" w:hAnsi="Times New Roman" w:cs="Times New Roman"/>
          <w:sz w:val="24"/>
          <w:szCs w:val="24"/>
        </w:rPr>
        <w:t xml:space="preserve">the education and labour market linkages across the spectrum of education. </w:t>
      </w:r>
      <w:r w:rsidR="00184324" w:rsidRPr="005D3E24">
        <w:rPr>
          <w:rFonts w:ascii="Times New Roman" w:hAnsi="Times New Roman" w:cs="Times New Roman"/>
          <w:sz w:val="24"/>
          <w:szCs w:val="24"/>
        </w:rPr>
        <w:t xml:space="preserve">It </w:t>
      </w:r>
      <w:r w:rsidRPr="005D3E24">
        <w:rPr>
          <w:rFonts w:ascii="Times New Roman" w:hAnsi="Times New Roman" w:cs="Times New Roman"/>
          <w:sz w:val="24"/>
          <w:szCs w:val="24"/>
        </w:rPr>
        <w:t>will then describe the institutional particularities of the social partnership in Croatia,</w:t>
      </w:r>
      <w:r w:rsidR="005D3E24">
        <w:rPr>
          <w:rFonts w:ascii="Times New Roman" w:hAnsi="Times New Roman" w:cs="Times New Roman"/>
          <w:sz w:val="24"/>
          <w:szCs w:val="24"/>
        </w:rPr>
        <w:t xml:space="preserve"> </w:t>
      </w:r>
      <w:r w:rsidRPr="005D3E24">
        <w:rPr>
          <w:rFonts w:ascii="Times New Roman" w:hAnsi="Times New Roman" w:cs="Times New Roman"/>
          <w:sz w:val="24"/>
          <w:szCs w:val="24"/>
        </w:rPr>
        <w:t>regard</w:t>
      </w:r>
      <w:r w:rsidR="004A2DDA">
        <w:rPr>
          <w:rFonts w:ascii="Times New Roman" w:hAnsi="Times New Roman" w:cs="Times New Roman"/>
          <w:sz w:val="24"/>
          <w:szCs w:val="24"/>
        </w:rPr>
        <w:t>ing</w:t>
      </w:r>
      <w:r w:rsidRPr="005D3E24">
        <w:rPr>
          <w:rFonts w:ascii="Times New Roman" w:hAnsi="Times New Roman" w:cs="Times New Roman"/>
          <w:sz w:val="24"/>
          <w:szCs w:val="24"/>
        </w:rPr>
        <w:t xml:space="preserve"> governance of the skill production regime. In the two central sections, we present cases of policy transfer that characteri</w:t>
      </w:r>
      <w:r w:rsidR="003F260F" w:rsidRPr="005D3E24">
        <w:rPr>
          <w:rFonts w:ascii="Times New Roman" w:hAnsi="Times New Roman" w:cs="Times New Roman"/>
          <w:sz w:val="24"/>
          <w:szCs w:val="24"/>
        </w:rPr>
        <w:t>z</w:t>
      </w:r>
      <w:r w:rsidRPr="005D3E24">
        <w:rPr>
          <w:rFonts w:ascii="Times New Roman" w:hAnsi="Times New Roman" w:cs="Times New Roman"/>
          <w:sz w:val="24"/>
          <w:szCs w:val="24"/>
        </w:rPr>
        <w:t xml:space="preserve">e the functioning of the Croatian skill production regime. These are: (i) the struggle related to apprenticeship-based VET, which has been ongoing for two and half decades, and the succession of solutions and actors involved; and (ii) the policy transfer process and challenges around the implementation of the Croatian Qualification Framework which has been </w:t>
      </w:r>
      <w:r w:rsidR="00CE0BC4">
        <w:rPr>
          <w:rFonts w:ascii="Times New Roman" w:hAnsi="Times New Roman" w:cs="Times New Roman"/>
          <w:sz w:val="24"/>
          <w:szCs w:val="24"/>
        </w:rPr>
        <w:t>proclaimed</w:t>
      </w:r>
      <w:r w:rsidR="00CE0BC4" w:rsidRPr="005D3E24">
        <w:rPr>
          <w:rFonts w:ascii="Times New Roman" w:hAnsi="Times New Roman" w:cs="Times New Roman"/>
          <w:sz w:val="24"/>
          <w:szCs w:val="24"/>
        </w:rPr>
        <w:t xml:space="preserve"> </w:t>
      </w:r>
      <w:r w:rsidRPr="005D3E24">
        <w:rPr>
          <w:rFonts w:ascii="Times New Roman" w:hAnsi="Times New Roman" w:cs="Times New Roman"/>
          <w:sz w:val="24"/>
          <w:szCs w:val="24"/>
        </w:rPr>
        <w:t xml:space="preserve">by policymakers as the main instrument for overcoming skill mismatches within the labour market. The final section </w:t>
      </w:r>
      <w:r w:rsidR="004A2D13" w:rsidRPr="005D3E24">
        <w:rPr>
          <w:rFonts w:ascii="Times New Roman" w:hAnsi="Times New Roman" w:cs="Times New Roman"/>
          <w:sz w:val="24"/>
          <w:szCs w:val="24"/>
        </w:rPr>
        <w:t xml:space="preserve">offers some </w:t>
      </w:r>
      <w:r w:rsidRPr="005D3E24">
        <w:rPr>
          <w:rFonts w:ascii="Times New Roman" w:hAnsi="Times New Roman" w:cs="Times New Roman"/>
          <w:sz w:val="24"/>
          <w:szCs w:val="24"/>
        </w:rPr>
        <w:t xml:space="preserve">conclusions. </w:t>
      </w:r>
    </w:p>
    <w:p w14:paraId="0BC1F7D6" w14:textId="77777777" w:rsidR="003D0269" w:rsidRPr="005D3E24" w:rsidRDefault="003D0269" w:rsidP="00491E49">
      <w:pPr>
        <w:spacing w:after="0" w:line="480" w:lineRule="auto"/>
        <w:rPr>
          <w:rFonts w:ascii="Times New Roman" w:hAnsi="Times New Roman" w:cs="Times New Roman"/>
          <w:sz w:val="24"/>
          <w:szCs w:val="24"/>
        </w:rPr>
      </w:pPr>
    </w:p>
    <w:p w14:paraId="2B4D7594" w14:textId="77777777" w:rsidR="003D0269" w:rsidRPr="005D3E24" w:rsidRDefault="00604D02" w:rsidP="00491E49">
      <w:pPr>
        <w:spacing w:after="0" w:line="480" w:lineRule="auto"/>
        <w:rPr>
          <w:rFonts w:ascii="Times New Roman" w:hAnsi="Times New Roman" w:cs="Times New Roman"/>
          <w:b/>
          <w:sz w:val="24"/>
          <w:szCs w:val="24"/>
        </w:rPr>
      </w:pPr>
      <w:r w:rsidRPr="005D3E24">
        <w:rPr>
          <w:rFonts w:ascii="Times New Roman" w:hAnsi="Times New Roman" w:cs="Times New Roman"/>
          <w:b/>
          <w:sz w:val="24"/>
          <w:szCs w:val="24"/>
        </w:rPr>
        <w:t>Demographic and industrial context</w:t>
      </w:r>
    </w:p>
    <w:p w14:paraId="5E68F813" w14:textId="77777777" w:rsidR="00246EA6" w:rsidRDefault="00604D02" w:rsidP="00491E49">
      <w:pPr>
        <w:spacing w:after="0" w:line="480" w:lineRule="auto"/>
        <w:jc w:val="both"/>
        <w:rPr>
          <w:rFonts w:ascii="Times New Roman" w:hAnsi="Times New Roman" w:cs="Times New Roman"/>
          <w:sz w:val="24"/>
          <w:szCs w:val="24"/>
        </w:rPr>
      </w:pPr>
      <w:r w:rsidRPr="005D3E24">
        <w:rPr>
          <w:rFonts w:ascii="Times New Roman" w:hAnsi="Times New Roman" w:cs="Times New Roman"/>
          <w:sz w:val="24"/>
          <w:szCs w:val="24"/>
        </w:rPr>
        <w:t xml:space="preserve">Any changes in the </w:t>
      </w:r>
      <w:r w:rsidR="00A40DBB" w:rsidRPr="005D3E24">
        <w:rPr>
          <w:rFonts w:ascii="Times New Roman" w:hAnsi="Times New Roman" w:cs="Times New Roman"/>
          <w:sz w:val="24"/>
          <w:szCs w:val="24"/>
        </w:rPr>
        <w:t xml:space="preserve">system of </w:t>
      </w:r>
      <w:r w:rsidRPr="005D3E24">
        <w:rPr>
          <w:rFonts w:ascii="Times New Roman" w:hAnsi="Times New Roman" w:cs="Times New Roman"/>
          <w:sz w:val="24"/>
          <w:szCs w:val="24"/>
        </w:rPr>
        <w:t xml:space="preserve">skill </w:t>
      </w:r>
      <w:r w:rsidR="00A40DBB" w:rsidRPr="005D3E24">
        <w:rPr>
          <w:rFonts w:ascii="Times New Roman" w:hAnsi="Times New Roman" w:cs="Times New Roman"/>
          <w:sz w:val="24"/>
          <w:szCs w:val="24"/>
        </w:rPr>
        <w:t xml:space="preserve">formation </w:t>
      </w:r>
      <w:r w:rsidRPr="005D3E24">
        <w:rPr>
          <w:rFonts w:ascii="Times New Roman" w:hAnsi="Times New Roman" w:cs="Times New Roman"/>
          <w:sz w:val="24"/>
          <w:szCs w:val="24"/>
        </w:rPr>
        <w:t xml:space="preserve">must be </w:t>
      </w:r>
      <w:r w:rsidR="00A40DBB" w:rsidRPr="005D3E24">
        <w:rPr>
          <w:rFonts w:ascii="Times New Roman" w:hAnsi="Times New Roman" w:cs="Times New Roman"/>
          <w:sz w:val="24"/>
          <w:szCs w:val="24"/>
        </w:rPr>
        <w:t xml:space="preserve">analysed </w:t>
      </w:r>
      <w:r w:rsidRPr="005D3E24">
        <w:rPr>
          <w:rFonts w:ascii="Times New Roman" w:hAnsi="Times New Roman" w:cs="Times New Roman"/>
          <w:sz w:val="24"/>
          <w:szCs w:val="24"/>
        </w:rPr>
        <w:t>within the context of broader structural developments over the past three decades: (1) declining cohort size, (2) labour migration, and (3) changes in the industrial structure.</w:t>
      </w:r>
    </w:p>
    <w:p w14:paraId="55A48861" w14:textId="12FF122D" w:rsidR="003D0269" w:rsidRDefault="00604D02" w:rsidP="00246EA6">
      <w:pPr>
        <w:spacing w:after="0" w:line="480" w:lineRule="auto"/>
        <w:jc w:val="both"/>
        <w:rPr>
          <w:rFonts w:ascii="Times New Roman" w:hAnsi="Times New Roman" w:cs="Times New Roman"/>
          <w:sz w:val="24"/>
          <w:szCs w:val="24"/>
        </w:rPr>
      </w:pPr>
      <w:r w:rsidRPr="005D3E24">
        <w:rPr>
          <w:rFonts w:ascii="Times New Roman" w:hAnsi="Times New Roman" w:cs="Times New Roman"/>
          <w:sz w:val="24"/>
          <w:szCs w:val="24"/>
        </w:rPr>
        <w:t xml:space="preserve"> </w:t>
      </w:r>
    </w:p>
    <w:p w14:paraId="2410D45F" w14:textId="77777777" w:rsidR="003D0269" w:rsidRPr="005D3E24" w:rsidRDefault="00604D02" w:rsidP="005D3E24">
      <w:pPr>
        <w:pStyle w:val="ListParagraph"/>
        <w:numPr>
          <w:ilvl w:val="0"/>
          <w:numId w:val="2"/>
        </w:numPr>
        <w:spacing w:after="0" w:line="480" w:lineRule="auto"/>
        <w:ind w:left="0" w:firstLine="0"/>
        <w:rPr>
          <w:rFonts w:ascii="Times New Roman" w:hAnsi="Times New Roman" w:cs="Times New Roman"/>
          <w:i/>
          <w:sz w:val="24"/>
          <w:szCs w:val="24"/>
        </w:rPr>
      </w:pPr>
      <w:r w:rsidRPr="005D3E24">
        <w:rPr>
          <w:rFonts w:ascii="Times New Roman" w:hAnsi="Times New Roman" w:cs="Times New Roman"/>
          <w:i/>
          <w:sz w:val="24"/>
          <w:szCs w:val="24"/>
        </w:rPr>
        <w:t>Demographics</w:t>
      </w:r>
    </w:p>
    <w:p w14:paraId="34AFFFE7" w14:textId="39844730" w:rsidR="003D0269" w:rsidRDefault="00604D02" w:rsidP="00246EA6">
      <w:pPr>
        <w:spacing w:after="0" w:line="480" w:lineRule="auto"/>
        <w:jc w:val="both"/>
        <w:rPr>
          <w:rFonts w:ascii="Times New Roman" w:hAnsi="Times New Roman" w:cs="Times New Roman"/>
          <w:sz w:val="24"/>
          <w:szCs w:val="24"/>
        </w:rPr>
      </w:pPr>
      <w:r w:rsidRPr="005D3E24">
        <w:rPr>
          <w:rFonts w:ascii="Times New Roman" w:hAnsi="Times New Roman" w:cs="Times New Roman"/>
          <w:sz w:val="24"/>
          <w:szCs w:val="24"/>
        </w:rPr>
        <w:t>Demographic developments present the first set of challenges to the functioning of the Croatian skill production regime. With birth cohorts steadily on the decline — from 69</w:t>
      </w:r>
      <w:r w:rsidR="005D3E24">
        <w:rPr>
          <w:rFonts w:ascii="Times New Roman" w:hAnsi="Times New Roman" w:cs="Times New Roman"/>
          <w:sz w:val="24"/>
          <w:szCs w:val="24"/>
        </w:rPr>
        <w:t>,000</w:t>
      </w:r>
      <w:r w:rsidRPr="005D3E24">
        <w:rPr>
          <w:rFonts w:ascii="Times New Roman" w:hAnsi="Times New Roman" w:cs="Times New Roman"/>
          <w:sz w:val="24"/>
          <w:szCs w:val="24"/>
        </w:rPr>
        <w:t xml:space="preserve"> in 1979 to 41 thousand in 2001 — Croatia’s education system has faced a diminishing number of pupils at the upper secondary education level since the late 1990s (Figure 1). The size of the generation entering the labour market has also begun to shrink since the early 2000s. Throughout the 2010s the size of </w:t>
      </w:r>
      <w:r w:rsidRPr="005D3E24">
        <w:rPr>
          <w:rFonts w:ascii="Times New Roman" w:hAnsi="Times New Roman" w:cs="Times New Roman"/>
          <w:sz w:val="24"/>
          <w:szCs w:val="24"/>
        </w:rPr>
        <w:lastRenderedPageBreak/>
        <w:t>the cohorts leaving the labour market was about 20</w:t>
      </w:r>
      <w:r w:rsidR="00903362" w:rsidRPr="005D3E24">
        <w:rPr>
          <w:rFonts w:ascii="Times New Roman" w:hAnsi="Times New Roman" w:cs="Times New Roman"/>
          <w:sz w:val="24"/>
          <w:szCs w:val="24"/>
        </w:rPr>
        <w:t xml:space="preserve"> per cent</w:t>
      </w:r>
      <w:r w:rsidRPr="005D3E24">
        <w:rPr>
          <w:rFonts w:ascii="Times New Roman" w:hAnsi="Times New Roman" w:cs="Times New Roman"/>
          <w:sz w:val="24"/>
          <w:szCs w:val="24"/>
        </w:rPr>
        <w:t xml:space="preserve"> larger than the cohorts completing their education. This makes for a substantial cohort replacement challenge. </w:t>
      </w:r>
    </w:p>
    <w:p w14:paraId="480AD84A" w14:textId="77777777" w:rsidR="004A2DDA" w:rsidRPr="005D3E24" w:rsidRDefault="004A2DDA" w:rsidP="005D3E24">
      <w:pPr>
        <w:spacing w:after="0" w:line="480" w:lineRule="auto"/>
        <w:rPr>
          <w:rFonts w:ascii="Times New Roman" w:hAnsi="Times New Roman" w:cs="Times New Roman"/>
          <w:sz w:val="24"/>
          <w:szCs w:val="24"/>
        </w:rPr>
      </w:pPr>
    </w:p>
    <w:p w14:paraId="5EF90E05" w14:textId="77777777" w:rsidR="003D0269" w:rsidRPr="005D3E24" w:rsidRDefault="00604D02" w:rsidP="005D3E24">
      <w:pPr>
        <w:pStyle w:val="ListParagraph"/>
        <w:numPr>
          <w:ilvl w:val="0"/>
          <w:numId w:val="2"/>
        </w:numPr>
        <w:spacing w:after="0" w:line="480" w:lineRule="auto"/>
        <w:ind w:left="0" w:firstLine="0"/>
        <w:rPr>
          <w:rFonts w:ascii="Times New Roman" w:hAnsi="Times New Roman" w:cs="Times New Roman"/>
          <w:sz w:val="24"/>
          <w:szCs w:val="24"/>
        </w:rPr>
      </w:pPr>
      <w:r w:rsidRPr="005D3E24">
        <w:rPr>
          <w:rFonts w:ascii="Times New Roman" w:hAnsi="Times New Roman" w:cs="Times New Roman"/>
          <w:i/>
          <w:iCs/>
          <w:sz w:val="24"/>
          <w:szCs w:val="24"/>
        </w:rPr>
        <w:t xml:space="preserve"> Work immigration</w:t>
      </w:r>
    </w:p>
    <w:p w14:paraId="139BAC23" w14:textId="0F97BF44" w:rsidR="003D0269" w:rsidRPr="005D3E24" w:rsidRDefault="00604D02" w:rsidP="005D3E24">
      <w:pPr>
        <w:spacing w:after="0" w:line="480" w:lineRule="auto"/>
        <w:jc w:val="both"/>
        <w:rPr>
          <w:rFonts w:ascii="Times New Roman" w:hAnsi="Times New Roman" w:cs="Times New Roman"/>
          <w:sz w:val="24"/>
          <w:szCs w:val="24"/>
        </w:rPr>
      </w:pPr>
      <w:r w:rsidRPr="005D3E24">
        <w:rPr>
          <w:rFonts w:ascii="Times New Roman" w:hAnsi="Times New Roman" w:cs="Times New Roman"/>
          <w:sz w:val="24"/>
          <w:szCs w:val="24"/>
        </w:rPr>
        <w:t>In the 1990s, a flood of Croatian nationals immigrated from the other ex-Yugoslavian countries (particularly from Bosnia and Herzegovina), with 30–50</w:t>
      </w:r>
      <w:r w:rsidR="006B5176">
        <w:rPr>
          <w:rFonts w:ascii="Times New Roman" w:hAnsi="Times New Roman" w:cs="Times New Roman"/>
          <w:sz w:val="24"/>
          <w:szCs w:val="24"/>
        </w:rPr>
        <w:t>,000</w:t>
      </w:r>
      <w:r w:rsidRPr="005D3E24">
        <w:rPr>
          <w:rFonts w:ascii="Times New Roman" w:hAnsi="Times New Roman" w:cs="Times New Roman"/>
          <w:sz w:val="24"/>
          <w:szCs w:val="24"/>
        </w:rPr>
        <w:t xml:space="preserve"> people settling in Croatia annually. This workforce </w:t>
      </w:r>
      <w:r w:rsidR="00DA7585" w:rsidRPr="005D3E24">
        <w:rPr>
          <w:rFonts w:ascii="Times New Roman" w:hAnsi="Times New Roman" w:cs="Times New Roman"/>
          <w:sz w:val="24"/>
          <w:szCs w:val="24"/>
        </w:rPr>
        <w:t xml:space="preserve">had experienced </w:t>
      </w:r>
      <w:r w:rsidRPr="005D3E24">
        <w:rPr>
          <w:rFonts w:ascii="Times New Roman" w:hAnsi="Times New Roman" w:cs="Times New Roman"/>
          <w:sz w:val="24"/>
          <w:szCs w:val="24"/>
        </w:rPr>
        <w:t>similar education systems but was general</w:t>
      </w:r>
      <w:r w:rsidR="004A2DDA">
        <w:rPr>
          <w:rFonts w:ascii="Times New Roman" w:hAnsi="Times New Roman" w:cs="Times New Roman"/>
          <w:sz w:val="24"/>
          <w:szCs w:val="24"/>
        </w:rPr>
        <w:t>ly</w:t>
      </w:r>
      <w:r w:rsidRPr="005D3E24">
        <w:rPr>
          <w:rFonts w:ascii="Times New Roman" w:hAnsi="Times New Roman" w:cs="Times New Roman"/>
          <w:sz w:val="24"/>
          <w:szCs w:val="24"/>
        </w:rPr>
        <w:t xml:space="preserve"> less qualified than the resident population. </w:t>
      </w:r>
      <w:r w:rsidR="006B5176">
        <w:rPr>
          <w:rFonts w:ascii="Times New Roman" w:hAnsi="Times New Roman" w:cs="Times New Roman"/>
          <w:sz w:val="24"/>
          <w:szCs w:val="24"/>
        </w:rPr>
        <w:t>T</w:t>
      </w:r>
      <w:r w:rsidRPr="005D3E24">
        <w:rPr>
          <w:rFonts w:ascii="Times New Roman" w:hAnsi="Times New Roman" w:cs="Times New Roman"/>
          <w:sz w:val="24"/>
          <w:szCs w:val="24"/>
        </w:rPr>
        <w:t>his inflow declined to 15–20</w:t>
      </w:r>
      <w:r w:rsidR="006B5176">
        <w:rPr>
          <w:rFonts w:ascii="Times New Roman" w:hAnsi="Times New Roman" w:cs="Times New Roman"/>
          <w:sz w:val="24"/>
          <w:szCs w:val="24"/>
        </w:rPr>
        <w:t>,000</w:t>
      </w:r>
      <w:r w:rsidRPr="005D3E24">
        <w:rPr>
          <w:rFonts w:ascii="Times New Roman" w:hAnsi="Times New Roman" w:cs="Times New Roman"/>
          <w:sz w:val="24"/>
          <w:szCs w:val="24"/>
        </w:rPr>
        <w:t xml:space="preserve"> in 2002–</w:t>
      </w:r>
      <w:r w:rsidR="006B5176">
        <w:rPr>
          <w:rFonts w:ascii="Times New Roman" w:hAnsi="Times New Roman" w:cs="Times New Roman"/>
          <w:sz w:val="24"/>
          <w:szCs w:val="24"/>
        </w:rPr>
        <w:t>200</w:t>
      </w:r>
      <w:r w:rsidRPr="005D3E24">
        <w:rPr>
          <w:rFonts w:ascii="Times New Roman" w:hAnsi="Times New Roman" w:cs="Times New Roman"/>
          <w:sz w:val="24"/>
          <w:szCs w:val="24"/>
        </w:rPr>
        <w:t>8</w:t>
      </w:r>
      <w:r w:rsidRPr="006B5176">
        <w:t xml:space="preserve">. </w:t>
      </w:r>
      <w:r w:rsidRPr="005D3E24">
        <w:rPr>
          <w:rFonts w:ascii="Times New Roman" w:hAnsi="Times New Roman" w:cs="Times New Roman"/>
          <w:sz w:val="24"/>
          <w:szCs w:val="24"/>
        </w:rPr>
        <w:t>It then mostly ended, with the prolonged economic crisis and with Croatia</w:t>
      </w:r>
      <w:r w:rsidR="006B5176">
        <w:rPr>
          <w:rFonts w:ascii="Times New Roman" w:hAnsi="Times New Roman" w:cs="Times New Roman"/>
          <w:sz w:val="24"/>
          <w:szCs w:val="24"/>
        </w:rPr>
        <w:t>’</w:t>
      </w:r>
      <w:r w:rsidRPr="005D3E24">
        <w:rPr>
          <w:rFonts w:ascii="Times New Roman" w:hAnsi="Times New Roman" w:cs="Times New Roman"/>
          <w:sz w:val="24"/>
          <w:szCs w:val="24"/>
        </w:rPr>
        <w:t xml:space="preserve">s accession to the EU in 2013, as many Croatian nationals residing in neighbouring countries opted to move directly to other EU Countries. </w:t>
      </w:r>
      <w:r w:rsidR="00246EA6">
        <w:rPr>
          <w:rFonts w:ascii="Times New Roman" w:hAnsi="Times New Roman" w:cs="Times New Roman"/>
          <w:sz w:val="24"/>
          <w:szCs w:val="24"/>
        </w:rPr>
        <w:t>R</w:t>
      </w:r>
      <w:r w:rsidR="006A4356" w:rsidRPr="005D3E24">
        <w:rPr>
          <w:rFonts w:ascii="Times New Roman" w:hAnsi="Times New Roman" w:cs="Times New Roman"/>
          <w:sz w:val="24"/>
          <w:szCs w:val="24"/>
        </w:rPr>
        <w:t>ecently t</w:t>
      </w:r>
      <w:r w:rsidRPr="005D3E24">
        <w:rPr>
          <w:rFonts w:ascii="Times New Roman" w:hAnsi="Times New Roman" w:cs="Times New Roman"/>
          <w:sz w:val="24"/>
          <w:szCs w:val="24"/>
        </w:rPr>
        <w:t>he work immigration quota system for non-nationals has</w:t>
      </w:r>
      <w:r w:rsidR="009A5C73" w:rsidRPr="005D3E24">
        <w:rPr>
          <w:rFonts w:ascii="Times New Roman" w:hAnsi="Times New Roman" w:cs="Times New Roman"/>
          <w:sz w:val="24"/>
          <w:szCs w:val="24"/>
        </w:rPr>
        <w:t xml:space="preserve"> become more salient</w:t>
      </w:r>
      <w:r w:rsidRPr="005D3E24">
        <w:rPr>
          <w:rFonts w:ascii="Times New Roman" w:hAnsi="Times New Roman" w:cs="Times New Roman"/>
          <w:sz w:val="24"/>
          <w:szCs w:val="24"/>
        </w:rPr>
        <w:t>. Only established in 2003 — and effectively frozen over the crisis period (2010–</w:t>
      </w:r>
      <w:r w:rsidR="006B5176">
        <w:rPr>
          <w:rFonts w:ascii="Times New Roman" w:hAnsi="Times New Roman" w:cs="Times New Roman"/>
          <w:sz w:val="24"/>
          <w:szCs w:val="24"/>
        </w:rPr>
        <w:t>20</w:t>
      </w:r>
      <w:r w:rsidRPr="005D3E24">
        <w:rPr>
          <w:rFonts w:ascii="Times New Roman" w:hAnsi="Times New Roman" w:cs="Times New Roman"/>
          <w:sz w:val="24"/>
          <w:szCs w:val="24"/>
        </w:rPr>
        <w:t xml:space="preserve">15) — the immigration quota exploded </w:t>
      </w:r>
      <w:r w:rsidR="00FC09A6" w:rsidRPr="005D3E24">
        <w:rPr>
          <w:rFonts w:ascii="Times New Roman" w:hAnsi="Times New Roman" w:cs="Times New Roman"/>
          <w:sz w:val="24"/>
          <w:szCs w:val="24"/>
        </w:rPr>
        <w:t>thereafter</w:t>
      </w:r>
      <w:r w:rsidRPr="005D3E24">
        <w:rPr>
          <w:rFonts w:ascii="Times New Roman" w:hAnsi="Times New Roman" w:cs="Times New Roman"/>
          <w:sz w:val="24"/>
          <w:szCs w:val="24"/>
        </w:rPr>
        <w:t>, increasing from 7</w:t>
      </w:r>
      <w:r w:rsidR="006B5176">
        <w:rPr>
          <w:rFonts w:ascii="Times New Roman" w:hAnsi="Times New Roman" w:cs="Times New Roman"/>
          <w:sz w:val="24"/>
          <w:szCs w:val="24"/>
        </w:rPr>
        <w:t>,000</w:t>
      </w:r>
      <w:r w:rsidRPr="005D3E24">
        <w:rPr>
          <w:rFonts w:ascii="Times New Roman" w:hAnsi="Times New Roman" w:cs="Times New Roman"/>
          <w:sz w:val="24"/>
          <w:szCs w:val="24"/>
        </w:rPr>
        <w:t xml:space="preserve"> in 2017 to 55</w:t>
      </w:r>
      <w:r w:rsidR="006B5176">
        <w:rPr>
          <w:rFonts w:ascii="Times New Roman" w:hAnsi="Times New Roman" w:cs="Times New Roman"/>
          <w:sz w:val="24"/>
          <w:szCs w:val="24"/>
        </w:rPr>
        <w:t>,000</w:t>
      </w:r>
      <w:r w:rsidRPr="005D3E24">
        <w:rPr>
          <w:rFonts w:ascii="Times New Roman" w:hAnsi="Times New Roman" w:cs="Times New Roman"/>
          <w:sz w:val="24"/>
          <w:szCs w:val="24"/>
        </w:rPr>
        <w:t xml:space="preserve"> in 2019. This is an important development for the skill formation regime, since up to 90</w:t>
      </w:r>
      <w:r w:rsidR="00903362" w:rsidRPr="005D3E24">
        <w:rPr>
          <w:rFonts w:ascii="Times New Roman" w:hAnsi="Times New Roman" w:cs="Times New Roman"/>
          <w:sz w:val="24"/>
          <w:szCs w:val="24"/>
        </w:rPr>
        <w:t xml:space="preserve"> per cent</w:t>
      </w:r>
      <w:r w:rsidRPr="005D3E24">
        <w:rPr>
          <w:rFonts w:ascii="Times New Roman" w:hAnsi="Times New Roman" w:cs="Times New Roman"/>
          <w:sz w:val="24"/>
          <w:szCs w:val="24"/>
        </w:rPr>
        <w:t xml:space="preserve"> of the quota was specified for skilled, VET-related occupations. Thus, </w:t>
      </w:r>
      <w:r w:rsidR="00645386" w:rsidRPr="005D3E24">
        <w:rPr>
          <w:rFonts w:ascii="Times New Roman" w:hAnsi="Times New Roman" w:cs="Times New Roman"/>
          <w:sz w:val="24"/>
          <w:szCs w:val="24"/>
        </w:rPr>
        <w:t xml:space="preserve">in recent years, the level of immigration of </w:t>
      </w:r>
      <w:r w:rsidRPr="005D3E24">
        <w:rPr>
          <w:rFonts w:ascii="Times New Roman" w:hAnsi="Times New Roman" w:cs="Times New Roman"/>
          <w:sz w:val="24"/>
          <w:szCs w:val="24"/>
        </w:rPr>
        <w:t>skilled worker</w:t>
      </w:r>
      <w:r w:rsidR="00645386" w:rsidRPr="005D3E24">
        <w:rPr>
          <w:rFonts w:ascii="Times New Roman" w:hAnsi="Times New Roman" w:cs="Times New Roman"/>
          <w:sz w:val="24"/>
          <w:szCs w:val="24"/>
        </w:rPr>
        <w:t>s</w:t>
      </w:r>
      <w:r w:rsidRPr="005D3E24">
        <w:rPr>
          <w:rFonts w:ascii="Times New Roman" w:hAnsi="Times New Roman" w:cs="Times New Roman"/>
          <w:sz w:val="24"/>
          <w:szCs w:val="24"/>
        </w:rPr>
        <w:t xml:space="preserve"> </w:t>
      </w:r>
      <w:r w:rsidR="00645386" w:rsidRPr="005D3E24">
        <w:rPr>
          <w:rFonts w:ascii="Times New Roman" w:hAnsi="Times New Roman" w:cs="Times New Roman"/>
          <w:sz w:val="24"/>
          <w:szCs w:val="24"/>
        </w:rPr>
        <w:t xml:space="preserve">has </w:t>
      </w:r>
      <w:r w:rsidRPr="005D3E24">
        <w:rPr>
          <w:rFonts w:ascii="Times New Roman" w:hAnsi="Times New Roman" w:cs="Times New Roman"/>
          <w:sz w:val="24"/>
          <w:szCs w:val="24"/>
        </w:rPr>
        <w:t xml:space="preserve">dwarfed the annual output of the national VET system. </w:t>
      </w:r>
    </w:p>
    <w:p w14:paraId="562777C8" w14:textId="1D7057E3" w:rsidR="003D0269" w:rsidRPr="005D3E24" w:rsidRDefault="00345EF9" w:rsidP="005D3E24">
      <w:pPr>
        <w:spacing w:after="0" w:line="480" w:lineRule="auto"/>
        <w:ind w:firstLine="284"/>
        <w:jc w:val="both"/>
        <w:rPr>
          <w:rFonts w:ascii="Times New Roman" w:hAnsi="Times New Roman" w:cs="Times New Roman"/>
          <w:sz w:val="24"/>
          <w:szCs w:val="24"/>
        </w:rPr>
      </w:pPr>
      <w:r w:rsidRPr="005D3E24">
        <w:rPr>
          <w:rFonts w:ascii="Times New Roman" w:hAnsi="Times New Roman" w:cs="Times New Roman"/>
          <w:sz w:val="24"/>
          <w:szCs w:val="24"/>
        </w:rPr>
        <w:t>The</w:t>
      </w:r>
      <w:r w:rsidR="00AD1C93" w:rsidRPr="005D3E24">
        <w:rPr>
          <w:rFonts w:ascii="Times New Roman" w:hAnsi="Times New Roman" w:cs="Times New Roman"/>
          <w:sz w:val="24"/>
          <w:szCs w:val="24"/>
        </w:rPr>
        <w:t xml:space="preserve"> annual</w:t>
      </w:r>
      <w:r w:rsidRPr="005D3E24">
        <w:rPr>
          <w:rFonts w:ascii="Times New Roman" w:hAnsi="Times New Roman" w:cs="Times New Roman"/>
          <w:sz w:val="24"/>
          <w:szCs w:val="24"/>
        </w:rPr>
        <w:t xml:space="preserve"> level of </w:t>
      </w:r>
      <w:r w:rsidR="00604D02" w:rsidRPr="005D3E24">
        <w:rPr>
          <w:rFonts w:ascii="Times New Roman" w:hAnsi="Times New Roman" w:cs="Times New Roman"/>
          <w:sz w:val="24"/>
          <w:szCs w:val="24"/>
        </w:rPr>
        <w:t xml:space="preserve">youth </w:t>
      </w:r>
      <w:r w:rsidR="007B7CE6" w:rsidRPr="005D3E24">
        <w:rPr>
          <w:rFonts w:ascii="Times New Roman" w:hAnsi="Times New Roman" w:cs="Times New Roman"/>
          <w:sz w:val="24"/>
          <w:szCs w:val="24"/>
        </w:rPr>
        <w:t xml:space="preserve">emigration </w:t>
      </w:r>
      <w:r w:rsidR="00604D02" w:rsidRPr="005D3E24">
        <w:rPr>
          <w:rFonts w:ascii="Times New Roman" w:hAnsi="Times New Roman" w:cs="Times New Roman"/>
          <w:sz w:val="24"/>
          <w:szCs w:val="24"/>
        </w:rPr>
        <w:t>(aged 20-29) seems to have stabili</w:t>
      </w:r>
      <w:r w:rsidR="006B5176">
        <w:rPr>
          <w:rFonts w:ascii="Times New Roman" w:hAnsi="Times New Roman" w:cs="Times New Roman"/>
          <w:sz w:val="24"/>
          <w:szCs w:val="24"/>
        </w:rPr>
        <w:t>z</w:t>
      </w:r>
      <w:r w:rsidR="00604D02" w:rsidRPr="005D3E24">
        <w:rPr>
          <w:rFonts w:ascii="Times New Roman" w:hAnsi="Times New Roman" w:cs="Times New Roman"/>
          <w:sz w:val="24"/>
          <w:szCs w:val="24"/>
        </w:rPr>
        <w:t xml:space="preserve">ed at about </w:t>
      </w:r>
      <w:r w:rsidR="006B5176">
        <w:rPr>
          <w:rFonts w:ascii="Times New Roman" w:hAnsi="Times New Roman" w:cs="Times New Roman"/>
          <w:sz w:val="24"/>
          <w:szCs w:val="24"/>
        </w:rPr>
        <w:t>9,000</w:t>
      </w:r>
      <w:r w:rsidR="00604D02" w:rsidRPr="005D3E24">
        <w:rPr>
          <w:rFonts w:ascii="Times New Roman" w:hAnsi="Times New Roman" w:cs="Times New Roman"/>
          <w:sz w:val="24"/>
          <w:szCs w:val="24"/>
        </w:rPr>
        <w:t xml:space="preserve"> in 2018–</w:t>
      </w:r>
      <w:r w:rsidR="006B5176">
        <w:rPr>
          <w:rFonts w:ascii="Times New Roman" w:hAnsi="Times New Roman" w:cs="Times New Roman"/>
          <w:sz w:val="24"/>
          <w:szCs w:val="24"/>
        </w:rPr>
        <w:t>201</w:t>
      </w:r>
      <w:r w:rsidR="00604D02" w:rsidRPr="005D3E24">
        <w:rPr>
          <w:rFonts w:ascii="Times New Roman" w:hAnsi="Times New Roman" w:cs="Times New Roman"/>
          <w:sz w:val="24"/>
          <w:szCs w:val="24"/>
        </w:rPr>
        <w:t>9 — after the initial post-accession wave relented — or at about 1.9</w:t>
      </w:r>
      <w:r w:rsidR="00903362" w:rsidRPr="005D3E24">
        <w:rPr>
          <w:rFonts w:ascii="Times New Roman" w:hAnsi="Times New Roman" w:cs="Times New Roman"/>
          <w:sz w:val="24"/>
          <w:szCs w:val="24"/>
        </w:rPr>
        <w:t xml:space="preserve"> per cent</w:t>
      </w:r>
      <w:r w:rsidR="00604D02" w:rsidRPr="005D3E24">
        <w:rPr>
          <w:rFonts w:ascii="Times New Roman" w:hAnsi="Times New Roman" w:cs="Times New Roman"/>
          <w:sz w:val="24"/>
          <w:szCs w:val="24"/>
        </w:rPr>
        <w:t xml:space="preserve"> of the population. </w:t>
      </w:r>
      <w:r w:rsidR="007B7CE6" w:rsidRPr="005D3E24">
        <w:rPr>
          <w:rFonts w:ascii="Times New Roman" w:hAnsi="Times New Roman" w:cs="Times New Roman"/>
          <w:sz w:val="24"/>
          <w:szCs w:val="24"/>
        </w:rPr>
        <w:t>The b</w:t>
      </w:r>
      <w:r w:rsidR="00604D02" w:rsidRPr="005D3E24">
        <w:rPr>
          <w:rFonts w:ascii="Times New Roman" w:hAnsi="Times New Roman" w:cs="Times New Roman"/>
          <w:sz w:val="24"/>
          <w:szCs w:val="24"/>
        </w:rPr>
        <w:t>rain drain</w:t>
      </w:r>
      <w:r w:rsidR="00AD1C93" w:rsidRPr="005D3E24">
        <w:rPr>
          <w:rFonts w:ascii="Times New Roman" w:hAnsi="Times New Roman" w:cs="Times New Roman"/>
          <w:sz w:val="24"/>
          <w:szCs w:val="24"/>
        </w:rPr>
        <w:t xml:space="preserve"> appears to have had most impact </w:t>
      </w:r>
      <w:r w:rsidR="00604D02" w:rsidRPr="005D3E24">
        <w:rPr>
          <w:rFonts w:ascii="Times New Roman" w:hAnsi="Times New Roman" w:cs="Times New Roman"/>
          <w:sz w:val="24"/>
          <w:szCs w:val="24"/>
        </w:rPr>
        <w:t>amongst tertiary education graduates; the pilot 2018 Eurograduate survey identified 5–6</w:t>
      </w:r>
      <w:r w:rsidR="00903362" w:rsidRPr="005D3E24">
        <w:rPr>
          <w:rFonts w:ascii="Times New Roman" w:hAnsi="Times New Roman" w:cs="Times New Roman"/>
          <w:sz w:val="24"/>
          <w:szCs w:val="24"/>
        </w:rPr>
        <w:t xml:space="preserve"> per cent</w:t>
      </w:r>
      <w:r w:rsidR="00604D02" w:rsidRPr="005D3E24">
        <w:rPr>
          <w:rFonts w:ascii="Times New Roman" w:hAnsi="Times New Roman" w:cs="Times New Roman"/>
          <w:sz w:val="24"/>
          <w:szCs w:val="24"/>
        </w:rPr>
        <w:t xml:space="preserve"> of Croatian graduates as living abroad a year after graduation </w:t>
      </w:r>
      <w:bookmarkStart w:id="18" w:name="__Fieldmark__210_131419714"/>
      <w:r w:rsidR="00604D02" w:rsidRPr="005D3E24">
        <w:rPr>
          <w:rFonts w:ascii="Times New Roman" w:hAnsi="Times New Roman" w:cs="Times New Roman"/>
          <w:sz w:val="24"/>
          <w:szCs w:val="24"/>
        </w:rPr>
        <w:t>(</w:t>
      </w:r>
      <w:bookmarkStart w:id="19" w:name="__Fieldmark__197_2097806078"/>
      <w:r w:rsidR="00604D02" w:rsidRPr="005D3E24">
        <w:rPr>
          <w:rFonts w:ascii="Times New Roman" w:hAnsi="Times New Roman" w:cs="Times New Roman"/>
          <w:sz w:val="24"/>
          <w:szCs w:val="24"/>
        </w:rPr>
        <w:t>M</w:t>
      </w:r>
      <w:bookmarkStart w:id="20" w:name="__Fieldmark__108_241477822"/>
      <w:r w:rsidR="00604D02" w:rsidRPr="005D3E24">
        <w:rPr>
          <w:rFonts w:ascii="Times New Roman" w:hAnsi="Times New Roman" w:cs="Times New Roman"/>
          <w:sz w:val="24"/>
          <w:szCs w:val="24"/>
        </w:rPr>
        <w:t>e</w:t>
      </w:r>
      <w:bookmarkStart w:id="21" w:name="__Fieldmark__3813_374039044"/>
      <w:r w:rsidR="00604D02" w:rsidRPr="005D3E24">
        <w:rPr>
          <w:rFonts w:ascii="Times New Roman" w:hAnsi="Times New Roman" w:cs="Times New Roman"/>
          <w:sz w:val="24"/>
          <w:szCs w:val="24"/>
        </w:rPr>
        <w:t>ng et al. 2020</w:t>
      </w:r>
      <w:r w:rsidR="006B5176">
        <w:rPr>
          <w:rFonts w:ascii="Times New Roman" w:hAnsi="Times New Roman" w:cs="Times New Roman"/>
          <w:sz w:val="24"/>
          <w:szCs w:val="24"/>
        </w:rPr>
        <w:t>,</w:t>
      </w:r>
      <w:r w:rsidR="00604D02" w:rsidRPr="005D3E24">
        <w:rPr>
          <w:rFonts w:ascii="Times New Roman" w:hAnsi="Times New Roman" w:cs="Times New Roman"/>
          <w:sz w:val="24"/>
          <w:szCs w:val="24"/>
        </w:rPr>
        <w:t xml:space="preserve"> 238)</w:t>
      </w:r>
      <w:bookmarkEnd w:id="18"/>
      <w:bookmarkEnd w:id="19"/>
      <w:bookmarkEnd w:id="20"/>
      <w:bookmarkEnd w:id="21"/>
      <w:r w:rsidR="00604D02" w:rsidRPr="005D3E24">
        <w:rPr>
          <w:rFonts w:ascii="Times New Roman" w:hAnsi="Times New Roman" w:cs="Times New Roman"/>
          <w:sz w:val="24"/>
          <w:szCs w:val="24"/>
        </w:rPr>
        <w:t xml:space="preserve">. </w:t>
      </w:r>
    </w:p>
    <w:p w14:paraId="432B0EEB" w14:textId="1D22F2FA" w:rsidR="003D0269" w:rsidRDefault="003D0269">
      <w:pPr>
        <w:rPr>
          <w:rFonts w:ascii="Times New Roman" w:hAnsi="Times New Roman" w:cs="Times New Roman"/>
          <w:i/>
          <w:sz w:val="24"/>
          <w:szCs w:val="24"/>
        </w:rPr>
      </w:pPr>
    </w:p>
    <w:p w14:paraId="60D01066" w14:textId="77777777" w:rsidR="00491E49" w:rsidRPr="005D3E24" w:rsidRDefault="00491E49">
      <w:pPr>
        <w:rPr>
          <w:rFonts w:ascii="Times New Roman" w:hAnsi="Times New Roman" w:cs="Times New Roman"/>
          <w:i/>
          <w:sz w:val="24"/>
          <w:szCs w:val="24"/>
        </w:rPr>
      </w:pPr>
    </w:p>
    <w:p w14:paraId="65E83059" w14:textId="77777777" w:rsidR="003D0269" w:rsidRPr="005D3E24" w:rsidRDefault="00604D02" w:rsidP="005D3E24">
      <w:pPr>
        <w:pStyle w:val="ListParagraph"/>
        <w:numPr>
          <w:ilvl w:val="0"/>
          <w:numId w:val="2"/>
        </w:numPr>
        <w:spacing w:after="0" w:line="480" w:lineRule="auto"/>
        <w:ind w:left="0" w:firstLine="0"/>
        <w:rPr>
          <w:rFonts w:ascii="Times New Roman" w:hAnsi="Times New Roman" w:cs="Times New Roman"/>
          <w:sz w:val="24"/>
          <w:szCs w:val="24"/>
        </w:rPr>
      </w:pPr>
      <w:r w:rsidRPr="005D3E24">
        <w:rPr>
          <w:rFonts w:ascii="Times New Roman" w:hAnsi="Times New Roman" w:cs="Times New Roman"/>
          <w:i/>
          <w:sz w:val="24"/>
          <w:szCs w:val="24"/>
        </w:rPr>
        <w:t>Industrial structure</w:t>
      </w:r>
    </w:p>
    <w:p w14:paraId="1793C484" w14:textId="68D23BA3" w:rsidR="003D0269" w:rsidRPr="005D3E24" w:rsidRDefault="00604D02" w:rsidP="00246EA6">
      <w:pPr>
        <w:spacing w:after="0" w:line="480" w:lineRule="auto"/>
        <w:jc w:val="both"/>
        <w:rPr>
          <w:rFonts w:ascii="Times New Roman" w:hAnsi="Times New Roman" w:cs="Times New Roman"/>
          <w:sz w:val="24"/>
          <w:szCs w:val="24"/>
        </w:rPr>
      </w:pPr>
      <w:r w:rsidRPr="005D3E24">
        <w:rPr>
          <w:rFonts w:ascii="Times New Roman" w:hAnsi="Times New Roman" w:cs="Times New Roman"/>
          <w:sz w:val="24"/>
          <w:szCs w:val="24"/>
        </w:rPr>
        <w:lastRenderedPageBreak/>
        <w:t xml:space="preserve">In the decades since the transition began, Croatia’s industrial structure has followed a long-term shift towards services, coupled with deindustrialisation and a reduction in total employment (Table 1). </w:t>
      </w:r>
      <w:r w:rsidR="00830CBD" w:rsidRPr="005D3E24">
        <w:rPr>
          <w:rFonts w:ascii="Times New Roman" w:hAnsi="Times New Roman" w:cs="Times New Roman"/>
          <w:sz w:val="24"/>
          <w:szCs w:val="24"/>
        </w:rPr>
        <w:t xml:space="preserve"> During the decade 2009-2019, </w:t>
      </w:r>
      <w:r w:rsidRPr="005D3E24">
        <w:rPr>
          <w:rFonts w:ascii="Times New Roman" w:hAnsi="Times New Roman" w:cs="Times New Roman"/>
          <w:sz w:val="24"/>
          <w:szCs w:val="24"/>
        </w:rPr>
        <w:t>the absolute number of people employed bounced back to about the pre-crisis level (1.56 mil</w:t>
      </w:r>
      <w:r w:rsidR="00246EA6">
        <w:rPr>
          <w:rFonts w:ascii="Times New Roman" w:hAnsi="Times New Roman" w:cs="Times New Roman"/>
          <w:sz w:val="24"/>
          <w:szCs w:val="24"/>
        </w:rPr>
        <w:t>lion</w:t>
      </w:r>
      <w:r w:rsidRPr="005D3E24">
        <w:rPr>
          <w:rFonts w:ascii="Times New Roman" w:hAnsi="Times New Roman" w:cs="Times New Roman"/>
          <w:sz w:val="24"/>
          <w:szCs w:val="24"/>
        </w:rPr>
        <w:t xml:space="preserve"> vs. 1.57 mil</w:t>
      </w:r>
      <w:r w:rsidR="00246EA6">
        <w:rPr>
          <w:rFonts w:ascii="Times New Roman" w:hAnsi="Times New Roman" w:cs="Times New Roman"/>
          <w:sz w:val="24"/>
          <w:szCs w:val="24"/>
        </w:rPr>
        <w:t>lion</w:t>
      </w:r>
      <w:r w:rsidRPr="005D3E24">
        <w:rPr>
          <w:rFonts w:ascii="Times New Roman" w:hAnsi="Times New Roman" w:cs="Times New Roman"/>
          <w:sz w:val="24"/>
          <w:szCs w:val="24"/>
        </w:rPr>
        <w:t>), but the structure of employment changed substantially. There has been strong growth (over 20</w:t>
      </w:r>
      <w:r w:rsidR="00903362" w:rsidRPr="005D3E24">
        <w:rPr>
          <w:rFonts w:ascii="Times New Roman" w:hAnsi="Times New Roman" w:cs="Times New Roman"/>
          <w:sz w:val="24"/>
          <w:szCs w:val="24"/>
        </w:rPr>
        <w:t xml:space="preserve"> per cent</w:t>
      </w:r>
      <w:r w:rsidRPr="005D3E24">
        <w:rPr>
          <w:rFonts w:ascii="Times New Roman" w:hAnsi="Times New Roman" w:cs="Times New Roman"/>
          <w:sz w:val="24"/>
          <w:szCs w:val="24"/>
        </w:rPr>
        <w:t xml:space="preserve">) in all personal service sectors, ICT, and professional and support business services; modest growth in health and education; and a decline in finance, in most transformative industries, and — particularly — in the extractive sector </w:t>
      </w:r>
      <w:bookmarkStart w:id="22" w:name="__Fieldmark__230_131419714"/>
      <w:r w:rsidRPr="005D3E24">
        <w:rPr>
          <w:rFonts w:ascii="Times New Roman" w:hAnsi="Times New Roman" w:cs="Times New Roman"/>
          <w:sz w:val="24"/>
          <w:szCs w:val="24"/>
        </w:rPr>
        <w:t>(</w:t>
      </w:r>
      <w:bookmarkStart w:id="23" w:name="__Fieldmark__213_2097806078"/>
      <w:r w:rsidRPr="005D3E24">
        <w:rPr>
          <w:rFonts w:ascii="Times New Roman" w:hAnsi="Times New Roman" w:cs="Times New Roman"/>
          <w:sz w:val="24"/>
          <w:szCs w:val="24"/>
        </w:rPr>
        <w:t>M</w:t>
      </w:r>
      <w:bookmarkStart w:id="24" w:name="__Fieldmark__120_241477822"/>
      <w:r w:rsidRPr="005D3E24">
        <w:rPr>
          <w:rFonts w:ascii="Times New Roman" w:hAnsi="Times New Roman" w:cs="Times New Roman"/>
          <w:sz w:val="24"/>
          <w:szCs w:val="24"/>
        </w:rPr>
        <w:t>a</w:t>
      </w:r>
      <w:bookmarkStart w:id="25" w:name="__Fieldmark__3887_374039044"/>
      <w:r w:rsidRPr="005D3E24">
        <w:rPr>
          <w:rFonts w:ascii="Times New Roman" w:hAnsi="Times New Roman" w:cs="Times New Roman"/>
          <w:sz w:val="24"/>
          <w:szCs w:val="24"/>
        </w:rPr>
        <w:t>tković 2020</w:t>
      </w:r>
      <w:r w:rsidR="00015214">
        <w:rPr>
          <w:rFonts w:ascii="Times New Roman" w:hAnsi="Times New Roman" w:cs="Times New Roman"/>
          <w:sz w:val="24"/>
          <w:szCs w:val="24"/>
        </w:rPr>
        <w:t>,</w:t>
      </w:r>
      <w:r w:rsidRPr="005D3E24">
        <w:rPr>
          <w:rFonts w:ascii="Times New Roman" w:hAnsi="Times New Roman" w:cs="Times New Roman"/>
          <w:sz w:val="24"/>
          <w:szCs w:val="24"/>
        </w:rPr>
        <w:t xml:space="preserve"> 15)</w:t>
      </w:r>
      <w:bookmarkEnd w:id="22"/>
      <w:bookmarkEnd w:id="23"/>
      <w:bookmarkEnd w:id="24"/>
      <w:bookmarkEnd w:id="25"/>
      <w:r w:rsidRPr="005D3E24">
        <w:rPr>
          <w:rFonts w:ascii="Times New Roman" w:hAnsi="Times New Roman" w:cs="Times New Roman"/>
          <w:sz w:val="24"/>
          <w:szCs w:val="24"/>
        </w:rPr>
        <w:t>.</w:t>
      </w:r>
    </w:p>
    <w:p w14:paraId="3297163B" w14:textId="77777777" w:rsidR="00491E49" w:rsidRDefault="00491E49">
      <w:pPr>
        <w:rPr>
          <w:rFonts w:ascii="Times New Roman" w:hAnsi="Times New Roman" w:cs="Times New Roman"/>
          <w:sz w:val="24"/>
          <w:szCs w:val="24"/>
        </w:rPr>
      </w:pPr>
    </w:p>
    <w:p w14:paraId="1AE6AAF0" w14:textId="29120002" w:rsidR="003D0269" w:rsidRPr="005D3E24" w:rsidRDefault="00604D02">
      <w:pPr>
        <w:rPr>
          <w:rFonts w:ascii="Times New Roman" w:hAnsi="Times New Roman" w:cs="Times New Roman"/>
          <w:sz w:val="24"/>
          <w:szCs w:val="24"/>
        </w:rPr>
      </w:pPr>
      <w:r w:rsidRPr="005D3E24">
        <w:rPr>
          <w:rFonts w:ascii="Times New Roman" w:hAnsi="Times New Roman" w:cs="Times New Roman"/>
          <w:sz w:val="24"/>
          <w:szCs w:val="24"/>
        </w:rPr>
        <w:t>Table 1: Mid-term changes in broad sectoral employment</w:t>
      </w:r>
    </w:p>
    <w:tbl>
      <w:tblPr>
        <w:tblStyle w:val="TableGrid"/>
        <w:tblW w:w="9016" w:type="dxa"/>
        <w:tblInd w:w="-15" w:type="dxa"/>
        <w:tblCellMar>
          <w:left w:w="93" w:type="dxa"/>
        </w:tblCellMar>
        <w:tblLook w:val="04A0" w:firstRow="1" w:lastRow="0" w:firstColumn="1" w:lastColumn="0" w:noHBand="0" w:noVBand="1"/>
      </w:tblPr>
      <w:tblGrid>
        <w:gridCol w:w="3619"/>
        <w:gridCol w:w="1365"/>
        <w:gridCol w:w="1363"/>
        <w:gridCol w:w="1363"/>
        <w:gridCol w:w="1306"/>
      </w:tblGrid>
      <w:tr w:rsidR="003D0269" w:rsidRPr="005D3E24" w14:paraId="2E2C80B9" w14:textId="77777777">
        <w:trPr>
          <w:trHeight w:val="255"/>
        </w:trPr>
        <w:tc>
          <w:tcPr>
            <w:tcW w:w="3619" w:type="dxa"/>
            <w:shd w:val="clear" w:color="auto" w:fill="auto"/>
            <w:tcMar>
              <w:left w:w="93" w:type="dxa"/>
            </w:tcMar>
          </w:tcPr>
          <w:p w14:paraId="1E386865" w14:textId="77777777" w:rsidR="003D0269" w:rsidRPr="005D3E24" w:rsidRDefault="003D0269">
            <w:pPr>
              <w:spacing w:after="0" w:line="240" w:lineRule="auto"/>
              <w:rPr>
                <w:rFonts w:ascii="Times New Roman" w:hAnsi="Times New Roman" w:cs="Times New Roman"/>
                <w:sz w:val="24"/>
                <w:szCs w:val="24"/>
              </w:rPr>
            </w:pPr>
          </w:p>
        </w:tc>
        <w:tc>
          <w:tcPr>
            <w:tcW w:w="1365" w:type="dxa"/>
            <w:shd w:val="clear" w:color="auto" w:fill="auto"/>
            <w:tcMar>
              <w:left w:w="93" w:type="dxa"/>
            </w:tcMar>
          </w:tcPr>
          <w:p w14:paraId="7509AECC" w14:textId="77777777" w:rsidR="003D0269" w:rsidRPr="005D3E24" w:rsidRDefault="00604D02">
            <w:pPr>
              <w:spacing w:after="0" w:line="240" w:lineRule="auto"/>
              <w:jc w:val="center"/>
              <w:rPr>
                <w:rFonts w:ascii="Times New Roman" w:hAnsi="Times New Roman" w:cs="Times New Roman"/>
                <w:sz w:val="24"/>
                <w:szCs w:val="24"/>
              </w:rPr>
            </w:pPr>
            <w:r w:rsidRPr="005D3E24">
              <w:rPr>
                <w:rFonts w:ascii="Times New Roman" w:hAnsi="Times New Roman" w:cs="Times New Roman"/>
                <w:sz w:val="24"/>
                <w:szCs w:val="24"/>
              </w:rPr>
              <w:t>1981</w:t>
            </w:r>
          </w:p>
        </w:tc>
        <w:tc>
          <w:tcPr>
            <w:tcW w:w="1363" w:type="dxa"/>
            <w:shd w:val="clear" w:color="auto" w:fill="auto"/>
            <w:tcMar>
              <w:left w:w="93" w:type="dxa"/>
            </w:tcMar>
          </w:tcPr>
          <w:p w14:paraId="0F83CC96" w14:textId="77777777" w:rsidR="003D0269" w:rsidRPr="005D3E24" w:rsidRDefault="00604D02">
            <w:pPr>
              <w:spacing w:after="0" w:line="240" w:lineRule="auto"/>
              <w:jc w:val="center"/>
              <w:rPr>
                <w:rFonts w:ascii="Times New Roman" w:hAnsi="Times New Roman" w:cs="Times New Roman"/>
                <w:sz w:val="24"/>
                <w:szCs w:val="24"/>
              </w:rPr>
            </w:pPr>
            <w:r w:rsidRPr="005D3E24">
              <w:rPr>
                <w:rFonts w:ascii="Times New Roman" w:hAnsi="Times New Roman" w:cs="Times New Roman"/>
                <w:sz w:val="24"/>
                <w:szCs w:val="24"/>
              </w:rPr>
              <w:t>1991</w:t>
            </w:r>
          </w:p>
        </w:tc>
        <w:tc>
          <w:tcPr>
            <w:tcW w:w="1363" w:type="dxa"/>
            <w:shd w:val="clear" w:color="auto" w:fill="auto"/>
            <w:tcMar>
              <w:left w:w="93" w:type="dxa"/>
            </w:tcMar>
          </w:tcPr>
          <w:p w14:paraId="4E4C4F5D" w14:textId="77777777" w:rsidR="003D0269" w:rsidRPr="005D3E24" w:rsidRDefault="00604D02">
            <w:pPr>
              <w:spacing w:after="0" w:line="240" w:lineRule="auto"/>
              <w:jc w:val="center"/>
              <w:rPr>
                <w:rFonts w:ascii="Times New Roman" w:hAnsi="Times New Roman" w:cs="Times New Roman"/>
                <w:sz w:val="24"/>
                <w:szCs w:val="24"/>
              </w:rPr>
            </w:pPr>
            <w:r w:rsidRPr="005D3E24">
              <w:rPr>
                <w:rFonts w:ascii="Times New Roman" w:hAnsi="Times New Roman" w:cs="Times New Roman"/>
                <w:sz w:val="24"/>
                <w:szCs w:val="24"/>
              </w:rPr>
              <w:t>2001</w:t>
            </w:r>
          </w:p>
        </w:tc>
        <w:tc>
          <w:tcPr>
            <w:tcW w:w="1306" w:type="dxa"/>
            <w:shd w:val="clear" w:color="auto" w:fill="auto"/>
            <w:tcMar>
              <w:left w:w="93" w:type="dxa"/>
            </w:tcMar>
          </w:tcPr>
          <w:p w14:paraId="608D7774" w14:textId="77777777" w:rsidR="003D0269" w:rsidRPr="005D3E24" w:rsidRDefault="00604D02">
            <w:pPr>
              <w:spacing w:after="0" w:line="240" w:lineRule="auto"/>
              <w:jc w:val="center"/>
              <w:rPr>
                <w:rFonts w:ascii="Times New Roman" w:hAnsi="Times New Roman" w:cs="Times New Roman"/>
                <w:sz w:val="24"/>
                <w:szCs w:val="24"/>
              </w:rPr>
            </w:pPr>
            <w:r w:rsidRPr="005D3E24">
              <w:rPr>
                <w:rFonts w:ascii="Times New Roman" w:hAnsi="Times New Roman" w:cs="Times New Roman"/>
                <w:sz w:val="24"/>
                <w:szCs w:val="24"/>
              </w:rPr>
              <w:t>2011</w:t>
            </w:r>
          </w:p>
        </w:tc>
      </w:tr>
      <w:tr w:rsidR="003D0269" w:rsidRPr="005D3E24" w14:paraId="27193ADC" w14:textId="77777777">
        <w:trPr>
          <w:trHeight w:val="255"/>
        </w:trPr>
        <w:tc>
          <w:tcPr>
            <w:tcW w:w="3619" w:type="dxa"/>
            <w:shd w:val="clear" w:color="auto" w:fill="auto"/>
            <w:tcMar>
              <w:left w:w="93" w:type="dxa"/>
            </w:tcMar>
          </w:tcPr>
          <w:p w14:paraId="7C52FC0A" w14:textId="77777777" w:rsidR="003D0269" w:rsidRPr="005D3E24" w:rsidRDefault="00604D02">
            <w:pPr>
              <w:spacing w:after="0" w:line="240" w:lineRule="auto"/>
              <w:rPr>
                <w:rFonts w:ascii="Times New Roman" w:hAnsi="Times New Roman" w:cs="Times New Roman"/>
                <w:sz w:val="24"/>
                <w:szCs w:val="24"/>
              </w:rPr>
            </w:pPr>
            <w:r w:rsidRPr="005D3E24">
              <w:rPr>
                <w:rFonts w:ascii="Times New Roman" w:hAnsi="Times New Roman" w:cs="Times New Roman"/>
                <w:sz w:val="24"/>
                <w:szCs w:val="24"/>
              </w:rPr>
              <w:t>Total employment (in 000s)</w:t>
            </w:r>
          </w:p>
        </w:tc>
        <w:tc>
          <w:tcPr>
            <w:tcW w:w="1365" w:type="dxa"/>
            <w:shd w:val="clear" w:color="auto" w:fill="auto"/>
            <w:tcMar>
              <w:left w:w="93" w:type="dxa"/>
            </w:tcMar>
          </w:tcPr>
          <w:p w14:paraId="169C0CBD" w14:textId="77777777" w:rsidR="003D0269" w:rsidRPr="005D3E24" w:rsidRDefault="003D0269">
            <w:pPr>
              <w:spacing w:after="0" w:line="240" w:lineRule="auto"/>
              <w:rPr>
                <w:rFonts w:ascii="Times New Roman" w:hAnsi="Times New Roman" w:cs="Times New Roman"/>
                <w:sz w:val="24"/>
                <w:szCs w:val="24"/>
              </w:rPr>
            </w:pPr>
          </w:p>
        </w:tc>
        <w:tc>
          <w:tcPr>
            <w:tcW w:w="1363" w:type="dxa"/>
            <w:shd w:val="clear" w:color="auto" w:fill="auto"/>
            <w:tcMar>
              <w:left w:w="93" w:type="dxa"/>
            </w:tcMar>
          </w:tcPr>
          <w:p w14:paraId="7BA160EF" w14:textId="77777777" w:rsidR="003D0269" w:rsidRPr="005D3E24" w:rsidRDefault="003D0269">
            <w:pPr>
              <w:spacing w:after="0" w:line="240" w:lineRule="auto"/>
              <w:rPr>
                <w:rFonts w:ascii="Times New Roman" w:hAnsi="Times New Roman" w:cs="Times New Roman"/>
                <w:sz w:val="24"/>
                <w:szCs w:val="24"/>
              </w:rPr>
            </w:pPr>
          </w:p>
        </w:tc>
        <w:tc>
          <w:tcPr>
            <w:tcW w:w="1363" w:type="dxa"/>
            <w:shd w:val="clear" w:color="auto" w:fill="auto"/>
            <w:tcMar>
              <w:left w:w="93" w:type="dxa"/>
            </w:tcMar>
          </w:tcPr>
          <w:p w14:paraId="7910AC74" w14:textId="77777777" w:rsidR="003D0269" w:rsidRPr="005D3E24" w:rsidRDefault="003D0269">
            <w:pPr>
              <w:spacing w:after="0" w:line="240" w:lineRule="auto"/>
              <w:rPr>
                <w:rFonts w:ascii="Times New Roman" w:hAnsi="Times New Roman" w:cs="Times New Roman"/>
                <w:sz w:val="24"/>
                <w:szCs w:val="24"/>
              </w:rPr>
            </w:pPr>
          </w:p>
        </w:tc>
        <w:tc>
          <w:tcPr>
            <w:tcW w:w="1306" w:type="dxa"/>
            <w:shd w:val="clear" w:color="auto" w:fill="auto"/>
            <w:tcMar>
              <w:left w:w="93" w:type="dxa"/>
            </w:tcMar>
          </w:tcPr>
          <w:p w14:paraId="0FB4D342" w14:textId="77777777" w:rsidR="003D0269" w:rsidRPr="005D3E24" w:rsidRDefault="003D0269">
            <w:pPr>
              <w:spacing w:after="0" w:line="240" w:lineRule="auto"/>
              <w:rPr>
                <w:rFonts w:ascii="Times New Roman" w:hAnsi="Times New Roman" w:cs="Times New Roman"/>
                <w:sz w:val="24"/>
                <w:szCs w:val="24"/>
              </w:rPr>
            </w:pPr>
          </w:p>
        </w:tc>
      </w:tr>
      <w:tr w:rsidR="003D0269" w:rsidRPr="005D3E24" w14:paraId="4E685A29" w14:textId="77777777">
        <w:trPr>
          <w:trHeight w:val="255"/>
        </w:trPr>
        <w:tc>
          <w:tcPr>
            <w:tcW w:w="3619" w:type="dxa"/>
            <w:shd w:val="clear" w:color="auto" w:fill="auto"/>
            <w:tcMar>
              <w:left w:w="93" w:type="dxa"/>
            </w:tcMar>
          </w:tcPr>
          <w:p w14:paraId="0DF3C006" w14:textId="77777777" w:rsidR="003D0269" w:rsidRPr="005D3E24" w:rsidRDefault="00604D02">
            <w:pPr>
              <w:spacing w:after="0" w:line="240" w:lineRule="auto"/>
              <w:rPr>
                <w:rFonts w:ascii="Times New Roman" w:hAnsi="Times New Roman" w:cs="Times New Roman"/>
                <w:sz w:val="24"/>
                <w:szCs w:val="24"/>
              </w:rPr>
            </w:pPr>
            <w:r w:rsidRPr="005D3E24">
              <w:rPr>
                <w:rFonts w:ascii="Times New Roman" w:hAnsi="Times New Roman" w:cs="Times New Roman"/>
                <w:sz w:val="24"/>
                <w:szCs w:val="24"/>
              </w:rPr>
              <w:t>Agriculture</w:t>
            </w:r>
          </w:p>
        </w:tc>
        <w:tc>
          <w:tcPr>
            <w:tcW w:w="1365" w:type="dxa"/>
            <w:shd w:val="clear" w:color="auto" w:fill="auto"/>
            <w:tcMar>
              <w:left w:w="93" w:type="dxa"/>
            </w:tcMar>
          </w:tcPr>
          <w:p w14:paraId="5B1A5F33" w14:textId="77777777" w:rsidR="003D0269" w:rsidRPr="005D3E24" w:rsidRDefault="00604D02">
            <w:pPr>
              <w:spacing w:after="0" w:line="240" w:lineRule="auto"/>
              <w:jc w:val="right"/>
              <w:rPr>
                <w:rFonts w:ascii="Times New Roman" w:hAnsi="Times New Roman" w:cs="Times New Roman"/>
                <w:sz w:val="24"/>
                <w:szCs w:val="24"/>
              </w:rPr>
            </w:pPr>
            <w:r w:rsidRPr="005D3E24">
              <w:rPr>
                <w:rFonts w:ascii="Times New Roman" w:hAnsi="Times New Roman" w:cs="Times New Roman"/>
                <w:sz w:val="24"/>
                <w:szCs w:val="24"/>
              </w:rPr>
              <w:t>449</w:t>
            </w:r>
          </w:p>
        </w:tc>
        <w:tc>
          <w:tcPr>
            <w:tcW w:w="1363" w:type="dxa"/>
            <w:shd w:val="clear" w:color="auto" w:fill="auto"/>
            <w:tcMar>
              <w:left w:w="93" w:type="dxa"/>
            </w:tcMar>
          </w:tcPr>
          <w:p w14:paraId="1DC30A23" w14:textId="77777777" w:rsidR="003D0269" w:rsidRPr="005D3E24" w:rsidRDefault="00604D02">
            <w:pPr>
              <w:spacing w:after="0" w:line="240" w:lineRule="auto"/>
              <w:jc w:val="right"/>
              <w:rPr>
                <w:rFonts w:ascii="Times New Roman" w:hAnsi="Times New Roman" w:cs="Times New Roman"/>
                <w:sz w:val="24"/>
                <w:szCs w:val="24"/>
              </w:rPr>
            </w:pPr>
            <w:r w:rsidRPr="005D3E24">
              <w:rPr>
                <w:rFonts w:ascii="Times New Roman" w:hAnsi="Times New Roman" w:cs="Times New Roman"/>
                <w:sz w:val="24"/>
                <w:szCs w:val="24"/>
              </w:rPr>
              <w:t>265</w:t>
            </w:r>
          </w:p>
        </w:tc>
        <w:tc>
          <w:tcPr>
            <w:tcW w:w="1363" w:type="dxa"/>
            <w:shd w:val="clear" w:color="auto" w:fill="auto"/>
            <w:tcMar>
              <w:left w:w="93" w:type="dxa"/>
            </w:tcMar>
          </w:tcPr>
          <w:p w14:paraId="5E6895B0" w14:textId="77777777" w:rsidR="003D0269" w:rsidRPr="005D3E24" w:rsidRDefault="00604D02">
            <w:pPr>
              <w:spacing w:after="0" w:line="240" w:lineRule="auto"/>
              <w:jc w:val="right"/>
              <w:rPr>
                <w:rFonts w:ascii="Times New Roman" w:hAnsi="Times New Roman" w:cs="Times New Roman"/>
                <w:sz w:val="24"/>
                <w:szCs w:val="24"/>
              </w:rPr>
            </w:pPr>
            <w:r w:rsidRPr="005D3E24">
              <w:rPr>
                <w:rFonts w:ascii="Times New Roman" w:hAnsi="Times New Roman" w:cs="Times New Roman"/>
                <w:sz w:val="24"/>
                <w:szCs w:val="24"/>
              </w:rPr>
              <w:t>175</w:t>
            </w:r>
          </w:p>
        </w:tc>
        <w:tc>
          <w:tcPr>
            <w:tcW w:w="1306" w:type="dxa"/>
            <w:shd w:val="clear" w:color="auto" w:fill="auto"/>
            <w:tcMar>
              <w:left w:w="93" w:type="dxa"/>
            </w:tcMar>
          </w:tcPr>
          <w:p w14:paraId="6D436AE2" w14:textId="77777777" w:rsidR="003D0269" w:rsidRPr="005D3E24" w:rsidRDefault="00604D02">
            <w:pPr>
              <w:spacing w:after="0" w:line="240" w:lineRule="auto"/>
              <w:jc w:val="right"/>
              <w:rPr>
                <w:rFonts w:ascii="Times New Roman" w:hAnsi="Times New Roman" w:cs="Times New Roman"/>
                <w:sz w:val="24"/>
                <w:szCs w:val="24"/>
              </w:rPr>
            </w:pPr>
            <w:r w:rsidRPr="005D3E24">
              <w:rPr>
                <w:rFonts w:ascii="Times New Roman" w:hAnsi="Times New Roman" w:cs="Times New Roman"/>
                <w:sz w:val="24"/>
                <w:szCs w:val="24"/>
              </w:rPr>
              <w:t>80</w:t>
            </w:r>
          </w:p>
        </w:tc>
      </w:tr>
      <w:tr w:rsidR="003D0269" w:rsidRPr="005D3E24" w14:paraId="31FCFE67" w14:textId="77777777">
        <w:trPr>
          <w:trHeight w:val="255"/>
        </w:trPr>
        <w:tc>
          <w:tcPr>
            <w:tcW w:w="3619" w:type="dxa"/>
            <w:shd w:val="clear" w:color="auto" w:fill="auto"/>
            <w:tcMar>
              <w:left w:w="93" w:type="dxa"/>
            </w:tcMar>
          </w:tcPr>
          <w:p w14:paraId="1457ACB1" w14:textId="77777777" w:rsidR="003D0269" w:rsidRPr="005D3E24" w:rsidRDefault="00604D02">
            <w:pPr>
              <w:spacing w:after="0" w:line="240" w:lineRule="auto"/>
              <w:rPr>
                <w:rFonts w:ascii="Times New Roman" w:hAnsi="Times New Roman" w:cs="Times New Roman"/>
                <w:sz w:val="24"/>
                <w:szCs w:val="24"/>
              </w:rPr>
            </w:pPr>
            <w:r w:rsidRPr="005D3E24">
              <w:rPr>
                <w:rFonts w:ascii="Times New Roman" w:hAnsi="Times New Roman" w:cs="Times New Roman"/>
                <w:sz w:val="24"/>
                <w:szCs w:val="24"/>
              </w:rPr>
              <w:t>Manufacture, construction, mining</w:t>
            </w:r>
          </w:p>
        </w:tc>
        <w:tc>
          <w:tcPr>
            <w:tcW w:w="1365" w:type="dxa"/>
            <w:shd w:val="clear" w:color="auto" w:fill="auto"/>
            <w:tcMar>
              <w:left w:w="93" w:type="dxa"/>
            </w:tcMar>
          </w:tcPr>
          <w:p w14:paraId="0288B4F5" w14:textId="77777777" w:rsidR="003D0269" w:rsidRPr="005D3E24" w:rsidRDefault="00604D02">
            <w:pPr>
              <w:spacing w:after="0" w:line="240" w:lineRule="auto"/>
              <w:jc w:val="right"/>
              <w:rPr>
                <w:rFonts w:ascii="Times New Roman" w:hAnsi="Times New Roman" w:cs="Times New Roman"/>
                <w:sz w:val="24"/>
                <w:szCs w:val="24"/>
              </w:rPr>
            </w:pPr>
            <w:r w:rsidRPr="005D3E24">
              <w:rPr>
                <w:rFonts w:ascii="Times New Roman" w:hAnsi="Times New Roman" w:cs="Times New Roman"/>
                <w:sz w:val="24"/>
                <w:szCs w:val="24"/>
              </w:rPr>
              <w:t>631</w:t>
            </w:r>
          </w:p>
        </w:tc>
        <w:tc>
          <w:tcPr>
            <w:tcW w:w="1363" w:type="dxa"/>
            <w:shd w:val="clear" w:color="auto" w:fill="auto"/>
            <w:tcMar>
              <w:left w:w="93" w:type="dxa"/>
            </w:tcMar>
          </w:tcPr>
          <w:p w14:paraId="5192C663" w14:textId="77777777" w:rsidR="003D0269" w:rsidRPr="005D3E24" w:rsidRDefault="00604D02">
            <w:pPr>
              <w:spacing w:after="0" w:line="240" w:lineRule="auto"/>
              <w:jc w:val="right"/>
              <w:rPr>
                <w:rFonts w:ascii="Times New Roman" w:hAnsi="Times New Roman" w:cs="Times New Roman"/>
                <w:sz w:val="24"/>
                <w:szCs w:val="24"/>
              </w:rPr>
            </w:pPr>
            <w:r w:rsidRPr="005D3E24">
              <w:rPr>
                <w:rFonts w:ascii="Times New Roman" w:hAnsi="Times New Roman" w:cs="Times New Roman"/>
                <w:sz w:val="24"/>
                <w:szCs w:val="24"/>
              </w:rPr>
              <w:t>590</w:t>
            </w:r>
          </w:p>
        </w:tc>
        <w:tc>
          <w:tcPr>
            <w:tcW w:w="1363" w:type="dxa"/>
            <w:shd w:val="clear" w:color="auto" w:fill="auto"/>
            <w:tcMar>
              <w:left w:w="93" w:type="dxa"/>
            </w:tcMar>
          </w:tcPr>
          <w:p w14:paraId="06D1A454" w14:textId="77777777" w:rsidR="003D0269" w:rsidRPr="005D3E24" w:rsidRDefault="00604D02">
            <w:pPr>
              <w:spacing w:after="0" w:line="240" w:lineRule="auto"/>
              <w:jc w:val="right"/>
              <w:rPr>
                <w:rFonts w:ascii="Times New Roman" w:hAnsi="Times New Roman" w:cs="Times New Roman"/>
                <w:sz w:val="24"/>
                <w:szCs w:val="24"/>
              </w:rPr>
            </w:pPr>
            <w:r w:rsidRPr="005D3E24">
              <w:rPr>
                <w:rFonts w:ascii="Times New Roman" w:hAnsi="Times New Roman" w:cs="Times New Roman"/>
                <w:sz w:val="24"/>
                <w:szCs w:val="24"/>
              </w:rPr>
              <w:t>386</w:t>
            </w:r>
          </w:p>
        </w:tc>
        <w:tc>
          <w:tcPr>
            <w:tcW w:w="1306" w:type="dxa"/>
            <w:shd w:val="clear" w:color="auto" w:fill="auto"/>
            <w:tcMar>
              <w:left w:w="93" w:type="dxa"/>
            </w:tcMar>
          </w:tcPr>
          <w:p w14:paraId="3399E543" w14:textId="77777777" w:rsidR="003D0269" w:rsidRPr="005D3E24" w:rsidRDefault="00604D02">
            <w:pPr>
              <w:spacing w:after="0" w:line="240" w:lineRule="auto"/>
              <w:jc w:val="right"/>
              <w:rPr>
                <w:rFonts w:ascii="Times New Roman" w:hAnsi="Times New Roman" w:cs="Times New Roman"/>
                <w:sz w:val="24"/>
                <w:szCs w:val="24"/>
              </w:rPr>
            </w:pPr>
            <w:r w:rsidRPr="005D3E24">
              <w:rPr>
                <w:rFonts w:ascii="Times New Roman" w:hAnsi="Times New Roman" w:cs="Times New Roman"/>
                <w:sz w:val="24"/>
                <w:szCs w:val="24"/>
              </w:rPr>
              <w:t>377</w:t>
            </w:r>
          </w:p>
        </w:tc>
      </w:tr>
      <w:tr w:rsidR="003D0269" w:rsidRPr="005D3E24" w14:paraId="2F014AEF" w14:textId="77777777">
        <w:trPr>
          <w:trHeight w:val="255"/>
        </w:trPr>
        <w:tc>
          <w:tcPr>
            <w:tcW w:w="3619" w:type="dxa"/>
            <w:shd w:val="clear" w:color="auto" w:fill="auto"/>
            <w:tcMar>
              <w:left w:w="93" w:type="dxa"/>
            </w:tcMar>
          </w:tcPr>
          <w:p w14:paraId="51B87EB2" w14:textId="77777777" w:rsidR="003D0269" w:rsidRPr="005D3E24" w:rsidRDefault="00604D02">
            <w:pPr>
              <w:spacing w:after="0" w:line="240" w:lineRule="auto"/>
              <w:rPr>
                <w:rFonts w:ascii="Times New Roman" w:hAnsi="Times New Roman" w:cs="Times New Roman"/>
                <w:sz w:val="24"/>
                <w:szCs w:val="24"/>
              </w:rPr>
            </w:pPr>
            <w:r w:rsidRPr="005D3E24">
              <w:rPr>
                <w:rFonts w:ascii="Times New Roman" w:hAnsi="Times New Roman" w:cs="Times New Roman"/>
                <w:sz w:val="24"/>
                <w:szCs w:val="24"/>
              </w:rPr>
              <w:t>Other (services)</w:t>
            </w:r>
          </w:p>
        </w:tc>
        <w:tc>
          <w:tcPr>
            <w:tcW w:w="1365" w:type="dxa"/>
            <w:shd w:val="clear" w:color="auto" w:fill="auto"/>
            <w:tcMar>
              <w:left w:w="93" w:type="dxa"/>
            </w:tcMar>
          </w:tcPr>
          <w:p w14:paraId="2DE1653B" w14:textId="77777777" w:rsidR="003D0269" w:rsidRPr="005D3E24" w:rsidRDefault="00604D02">
            <w:pPr>
              <w:spacing w:after="0" w:line="240" w:lineRule="auto"/>
              <w:jc w:val="right"/>
              <w:rPr>
                <w:rFonts w:ascii="Times New Roman" w:hAnsi="Times New Roman" w:cs="Times New Roman"/>
                <w:sz w:val="24"/>
                <w:szCs w:val="24"/>
              </w:rPr>
            </w:pPr>
            <w:r w:rsidRPr="005D3E24">
              <w:rPr>
                <w:rFonts w:ascii="Times New Roman" w:hAnsi="Times New Roman" w:cs="Times New Roman"/>
                <w:sz w:val="24"/>
                <w:szCs w:val="24"/>
              </w:rPr>
              <w:t>783</w:t>
            </w:r>
          </w:p>
        </w:tc>
        <w:tc>
          <w:tcPr>
            <w:tcW w:w="1363" w:type="dxa"/>
            <w:shd w:val="clear" w:color="auto" w:fill="auto"/>
            <w:tcMar>
              <w:left w:w="93" w:type="dxa"/>
            </w:tcMar>
          </w:tcPr>
          <w:p w14:paraId="3AF557DC" w14:textId="77777777" w:rsidR="003D0269" w:rsidRPr="005D3E24" w:rsidRDefault="00604D02">
            <w:pPr>
              <w:spacing w:after="0" w:line="240" w:lineRule="auto"/>
              <w:jc w:val="right"/>
              <w:rPr>
                <w:rFonts w:ascii="Times New Roman" w:hAnsi="Times New Roman" w:cs="Times New Roman"/>
                <w:sz w:val="24"/>
                <w:szCs w:val="24"/>
              </w:rPr>
            </w:pPr>
            <w:r w:rsidRPr="005D3E24">
              <w:rPr>
                <w:rFonts w:ascii="Times New Roman" w:hAnsi="Times New Roman" w:cs="Times New Roman"/>
                <w:sz w:val="24"/>
                <w:szCs w:val="24"/>
              </w:rPr>
              <w:t>892</w:t>
            </w:r>
          </w:p>
        </w:tc>
        <w:tc>
          <w:tcPr>
            <w:tcW w:w="1363" w:type="dxa"/>
            <w:shd w:val="clear" w:color="auto" w:fill="auto"/>
            <w:tcMar>
              <w:left w:w="93" w:type="dxa"/>
            </w:tcMar>
          </w:tcPr>
          <w:p w14:paraId="71385B13" w14:textId="77777777" w:rsidR="003D0269" w:rsidRPr="005D3E24" w:rsidRDefault="00604D02">
            <w:pPr>
              <w:spacing w:after="0" w:line="240" w:lineRule="auto"/>
              <w:jc w:val="right"/>
              <w:rPr>
                <w:rFonts w:ascii="Times New Roman" w:hAnsi="Times New Roman" w:cs="Times New Roman"/>
                <w:sz w:val="24"/>
                <w:szCs w:val="24"/>
              </w:rPr>
            </w:pPr>
            <w:r w:rsidRPr="005D3E24">
              <w:rPr>
                <w:rFonts w:ascii="Times New Roman" w:hAnsi="Times New Roman" w:cs="Times New Roman"/>
                <w:sz w:val="24"/>
                <w:szCs w:val="24"/>
              </w:rPr>
              <w:t>847</w:t>
            </w:r>
          </w:p>
        </w:tc>
        <w:tc>
          <w:tcPr>
            <w:tcW w:w="1306" w:type="dxa"/>
            <w:shd w:val="clear" w:color="auto" w:fill="auto"/>
            <w:tcMar>
              <w:left w:w="93" w:type="dxa"/>
            </w:tcMar>
          </w:tcPr>
          <w:p w14:paraId="1A0AE509" w14:textId="77777777" w:rsidR="003D0269" w:rsidRPr="005D3E24" w:rsidRDefault="00604D02">
            <w:pPr>
              <w:spacing w:after="0" w:line="240" w:lineRule="auto"/>
              <w:jc w:val="right"/>
              <w:rPr>
                <w:rFonts w:ascii="Times New Roman" w:hAnsi="Times New Roman" w:cs="Times New Roman"/>
                <w:sz w:val="24"/>
                <w:szCs w:val="24"/>
              </w:rPr>
            </w:pPr>
            <w:r w:rsidRPr="005D3E24">
              <w:rPr>
                <w:rFonts w:ascii="Times New Roman" w:hAnsi="Times New Roman" w:cs="Times New Roman"/>
                <w:sz w:val="24"/>
                <w:szCs w:val="24"/>
              </w:rPr>
              <w:t>1004</w:t>
            </w:r>
          </w:p>
        </w:tc>
      </w:tr>
      <w:tr w:rsidR="003D0269" w:rsidRPr="005D3E24" w14:paraId="2B9C5B15" w14:textId="77777777">
        <w:trPr>
          <w:trHeight w:val="255"/>
        </w:trPr>
        <w:tc>
          <w:tcPr>
            <w:tcW w:w="3619" w:type="dxa"/>
            <w:shd w:val="clear" w:color="auto" w:fill="auto"/>
            <w:tcMar>
              <w:left w:w="93" w:type="dxa"/>
            </w:tcMar>
          </w:tcPr>
          <w:p w14:paraId="5FA4834C" w14:textId="15866764" w:rsidR="003D0269" w:rsidRPr="005D3E24" w:rsidRDefault="00903362">
            <w:pPr>
              <w:spacing w:after="0" w:line="240" w:lineRule="auto"/>
              <w:rPr>
                <w:rFonts w:ascii="Times New Roman" w:hAnsi="Times New Roman" w:cs="Times New Roman"/>
                <w:sz w:val="24"/>
                <w:szCs w:val="24"/>
              </w:rPr>
            </w:pPr>
            <w:r w:rsidRPr="005D3E24">
              <w:rPr>
                <w:rFonts w:ascii="Times New Roman" w:hAnsi="Times New Roman" w:cs="Times New Roman"/>
                <w:sz w:val="24"/>
                <w:szCs w:val="24"/>
              </w:rPr>
              <w:t>Total employment</w:t>
            </w:r>
          </w:p>
        </w:tc>
        <w:tc>
          <w:tcPr>
            <w:tcW w:w="1365" w:type="dxa"/>
            <w:shd w:val="clear" w:color="auto" w:fill="auto"/>
            <w:tcMar>
              <w:left w:w="93" w:type="dxa"/>
            </w:tcMar>
          </w:tcPr>
          <w:p w14:paraId="454DD798" w14:textId="77777777" w:rsidR="003D0269" w:rsidRPr="005D3E24" w:rsidRDefault="00604D02">
            <w:pPr>
              <w:spacing w:after="0" w:line="240" w:lineRule="auto"/>
              <w:jc w:val="right"/>
              <w:rPr>
                <w:rFonts w:ascii="Times New Roman" w:hAnsi="Times New Roman" w:cs="Times New Roman"/>
                <w:sz w:val="24"/>
                <w:szCs w:val="24"/>
              </w:rPr>
            </w:pPr>
            <w:r w:rsidRPr="005D3E24">
              <w:rPr>
                <w:rFonts w:ascii="Times New Roman" w:hAnsi="Times New Roman" w:cs="Times New Roman"/>
                <w:sz w:val="24"/>
                <w:szCs w:val="24"/>
              </w:rPr>
              <w:t>1863</w:t>
            </w:r>
          </w:p>
        </w:tc>
        <w:tc>
          <w:tcPr>
            <w:tcW w:w="1363" w:type="dxa"/>
            <w:shd w:val="clear" w:color="auto" w:fill="auto"/>
            <w:tcMar>
              <w:left w:w="93" w:type="dxa"/>
            </w:tcMar>
          </w:tcPr>
          <w:p w14:paraId="5654CC04" w14:textId="77777777" w:rsidR="003D0269" w:rsidRPr="005D3E24" w:rsidRDefault="00604D02">
            <w:pPr>
              <w:spacing w:after="0" w:line="240" w:lineRule="auto"/>
              <w:jc w:val="right"/>
              <w:rPr>
                <w:rFonts w:ascii="Times New Roman" w:hAnsi="Times New Roman" w:cs="Times New Roman"/>
                <w:sz w:val="24"/>
                <w:szCs w:val="24"/>
              </w:rPr>
            </w:pPr>
            <w:r w:rsidRPr="005D3E24">
              <w:rPr>
                <w:rFonts w:ascii="Times New Roman" w:hAnsi="Times New Roman" w:cs="Times New Roman"/>
                <w:sz w:val="24"/>
                <w:szCs w:val="24"/>
              </w:rPr>
              <w:t>1747</w:t>
            </w:r>
          </w:p>
        </w:tc>
        <w:tc>
          <w:tcPr>
            <w:tcW w:w="1363" w:type="dxa"/>
            <w:shd w:val="clear" w:color="auto" w:fill="auto"/>
            <w:tcMar>
              <w:left w:w="93" w:type="dxa"/>
            </w:tcMar>
          </w:tcPr>
          <w:p w14:paraId="0E23A194" w14:textId="77777777" w:rsidR="003D0269" w:rsidRPr="005D3E24" w:rsidRDefault="00604D02">
            <w:pPr>
              <w:spacing w:after="0" w:line="240" w:lineRule="auto"/>
              <w:jc w:val="right"/>
              <w:rPr>
                <w:rFonts w:ascii="Times New Roman" w:hAnsi="Times New Roman" w:cs="Times New Roman"/>
                <w:sz w:val="24"/>
                <w:szCs w:val="24"/>
              </w:rPr>
            </w:pPr>
            <w:r w:rsidRPr="005D3E24">
              <w:rPr>
                <w:rFonts w:ascii="Times New Roman" w:hAnsi="Times New Roman" w:cs="Times New Roman"/>
                <w:sz w:val="24"/>
                <w:szCs w:val="24"/>
              </w:rPr>
              <w:t>1408</w:t>
            </w:r>
          </w:p>
        </w:tc>
        <w:tc>
          <w:tcPr>
            <w:tcW w:w="1306" w:type="dxa"/>
            <w:shd w:val="clear" w:color="auto" w:fill="auto"/>
            <w:tcMar>
              <w:left w:w="93" w:type="dxa"/>
            </w:tcMar>
          </w:tcPr>
          <w:p w14:paraId="07FA625E" w14:textId="77777777" w:rsidR="003D0269" w:rsidRPr="005D3E24" w:rsidRDefault="00604D02">
            <w:pPr>
              <w:spacing w:after="0" w:line="240" w:lineRule="auto"/>
              <w:jc w:val="right"/>
              <w:rPr>
                <w:rFonts w:ascii="Times New Roman" w:hAnsi="Times New Roman" w:cs="Times New Roman"/>
                <w:sz w:val="24"/>
                <w:szCs w:val="24"/>
              </w:rPr>
            </w:pPr>
            <w:r w:rsidRPr="005D3E24">
              <w:rPr>
                <w:rFonts w:ascii="Times New Roman" w:hAnsi="Times New Roman" w:cs="Times New Roman"/>
                <w:sz w:val="24"/>
                <w:szCs w:val="24"/>
              </w:rPr>
              <w:t>1461</w:t>
            </w:r>
          </w:p>
        </w:tc>
      </w:tr>
      <w:tr w:rsidR="00903362" w:rsidRPr="005D3E24" w14:paraId="713D6AD8" w14:textId="77777777">
        <w:trPr>
          <w:trHeight w:val="255"/>
        </w:trPr>
        <w:tc>
          <w:tcPr>
            <w:tcW w:w="3619" w:type="dxa"/>
            <w:shd w:val="clear" w:color="auto" w:fill="auto"/>
            <w:tcMar>
              <w:left w:w="93" w:type="dxa"/>
            </w:tcMar>
          </w:tcPr>
          <w:p w14:paraId="7A253828" w14:textId="77777777" w:rsidR="00903362" w:rsidRPr="005D3E24" w:rsidRDefault="00903362">
            <w:pPr>
              <w:spacing w:after="0" w:line="240" w:lineRule="auto"/>
              <w:rPr>
                <w:rFonts w:ascii="Times New Roman" w:hAnsi="Times New Roman" w:cs="Times New Roman"/>
                <w:sz w:val="24"/>
                <w:szCs w:val="24"/>
              </w:rPr>
            </w:pPr>
          </w:p>
        </w:tc>
        <w:tc>
          <w:tcPr>
            <w:tcW w:w="1365" w:type="dxa"/>
            <w:shd w:val="clear" w:color="auto" w:fill="auto"/>
            <w:tcMar>
              <w:left w:w="93" w:type="dxa"/>
            </w:tcMar>
          </w:tcPr>
          <w:p w14:paraId="00E8619A" w14:textId="77777777" w:rsidR="00903362" w:rsidRPr="005D3E24" w:rsidRDefault="00903362">
            <w:pPr>
              <w:spacing w:after="0" w:line="240" w:lineRule="auto"/>
              <w:jc w:val="right"/>
              <w:rPr>
                <w:rFonts w:ascii="Times New Roman" w:hAnsi="Times New Roman" w:cs="Times New Roman"/>
                <w:sz w:val="24"/>
                <w:szCs w:val="24"/>
              </w:rPr>
            </w:pPr>
          </w:p>
        </w:tc>
        <w:tc>
          <w:tcPr>
            <w:tcW w:w="1363" w:type="dxa"/>
            <w:shd w:val="clear" w:color="auto" w:fill="auto"/>
            <w:tcMar>
              <w:left w:w="93" w:type="dxa"/>
            </w:tcMar>
          </w:tcPr>
          <w:p w14:paraId="6DF50937" w14:textId="77777777" w:rsidR="00903362" w:rsidRPr="005D3E24" w:rsidRDefault="00903362">
            <w:pPr>
              <w:spacing w:after="0" w:line="240" w:lineRule="auto"/>
              <w:jc w:val="right"/>
              <w:rPr>
                <w:rFonts w:ascii="Times New Roman" w:hAnsi="Times New Roman" w:cs="Times New Roman"/>
                <w:sz w:val="24"/>
                <w:szCs w:val="24"/>
              </w:rPr>
            </w:pPr>
          </w:p>
        </w:tc>
        <w:tc>
          <w:tcPr>
            <w:tcW w:w="1363" w:type="dxa"/>
            <w:shd w:val="clear" w:color="auto" w:fill="auto"/>
            <w:tcMar>
              <w:left w:w="93" w:type="dxa"/>
            </w:tcMar>
          </w:tcPr>
          <w:p w14:paraId="6C6F6CA1" w14:textId="77777777" w:rsidR="00903362" w:rsidRPr="005D3E24" w:rsidRDefault="00903362">
            <w:pPr>
              <w:spacing w:after="0" w:line="240" w:lineRule="auto"/>
              <w:jc w:val="right"/>
              <w:rPr>
                <w:rFonts w:ascii="Times New Roman" w:hAnsi="Times New Roman" w:cs="Times New Roman"/>
                <w:sz w:val="24"/>
                <w:szCs w:val="24"/>
              </w:rPr>
            </w:pPr>
          </w:p>
        </w:tc>
        <w:tc>
          <w:tcPr>
            <w:tcW w:w="1306" w:type="dxa"/>
            <w:shd w:val="clear" w:color="auto" w:fill="auto"/>
            <w:tcMar>
              <w:left w:w="93" w:type="dxa"/>
            </w:tcMar>
          </w:tcPr>
          <w:p w14:paraId="09A74637" w14:textId="77777777" w:rsidR="00903362" w:rsidRPr="005D3E24" w:rsidRDefault="00903362">
            <w:pPr>
              <w:spacing w:after="0" w:line="240" w:lineRule="auto"/>
              <w:jc w:val="right"/>
              <w:rPr>
                <w:rFonts w:ascii="Times New Roman" w:hAnsi="Times New Roman" w:cs="Times New Roman"/>
                <w:sz w:val="24"/>
                <w:szCs w:val="24"/>
              </w:rPr>
            </w:pPr>
          </w:p>
        </w:tc>
      </w:tr>
      <w:tr w:rsidR="003D0269" w:rsidRPr="005D3E24" w14:paraId="71ED4856" w14:textId="77777777">
        <w:trPr>
          <w:trHeight w:val="255"/>
        </w:trPr>
        <w:tc>
          <w:tcPr>
            <w:tcW w:w="3619" w:type="dxa"/>
            <w:shd w:val="clear" w:color="auto" w:fill="auto"/>
            <w:tcMar>
              <w:left w:w="93" w:type="dxa"/>
            </w:tcMar>
          </w:tcPr>
          <w:p w14:paraId="285F118B" w14:textId="3CAD88B6" w:rsidR="003D0269" w:rsidRPr="005D3E24" w:rsidRDefault="00903362" w:rsidP="00903362">
            <w:pPr>
              <w:spacing w:after="0" w:line="240" w:lineRule="auto"/>
              <w:rPr>
                <w:rFonts w:ascii="Times New Roman" w:hAnsi="Times New Roman" w:cs="Times New Roman"/>
                <w:sz w:val="24"/>
                <w:szCs w:val="24"/>
              </w:rPr>
            </w:pPr>
            <w:r w:rsidRPr="005D3E24">
              <w:rPr>
                <w:rFonts w:ascii="Times New Roman" w:hAnsi="Times New Roman" w:cs="Times New Roman"/>
                <w:sz w:val="24"/>
                <w:szCs w:val="24"/>
              </w:rPr>
              <w:t>Structure of employment (per cent)</w:t>
            </w:r>
          </w:p>
        </w:tc>
        <w:tc>
          <w:tcPr>
            <w:tcW w:w="1365" w:type="dxa"/>
            <w:shd w:val="clear" w:color="auto" w:fill="auto"/>
            <w:tcMar>
              <w:left w:w="93" w:type="dxa"/>
            </w:tcMar>
          </w:tcPr>
          <w:p w14:paraId="6230BDF6" w14:textId="77777777" w:rsidR="003D0269" w:rsidRPr="005D3E24" w:rsidRDefault="003D0269">
            <w:pPr>
              <w:spacing w:after="0" w:line="240" w:lineRule="auto"/>
              <w:jc w:val="right"/>
              <w:rPr>
                <w:rFonts w:ascii="Times New Roman" w:hAnsi="Times New Roman" w:cs="Times New Roman"/>
                <w:sz w:val="24"/>
                <w:szCs w:val="24"/>
              </w:rPr>
            </w:pPr>
          </w:p>
        </w:tc>
        <w:tc>
          <w:tcPr>
            <w:tcW w:w="1363" w:type="dxa"/>
            <w:shd w:val="clear" w:color="auto" w:fill="auto"/>
            <w:tcMar>
              <w:left w:w="93" w:type="dxa"/>
            </w:tcMar>
          </w:tcPr>
          <w:p w14:paraId="02F4769D" w14:textId="77777777" w:rsidR="003D0269" w:rsidRPr="005D3E24" w:rsidRDefault="003D0269">
            <w:pPr>
              <w:spacing w:after="0" w:line="240" w:lineRule="auto"/>
              <w:jc w:val="right"/>
              <w:rPr>
                <w:rFonts w:ascii="Times New Roman" w:hAnsi="Times New Roman" w:cs="Times New Roman"/>
                <w:sz w:val="24"/>
                <w:szCs w:val="24"/>
              </w:rPr>
            </w:pPr>
          </w:p>
        </w:tc>
        <w:tc>
          <w:tcPr>
            <w:tcW w:w="1363" w:type="dxa"/>
            <w:shd w:val="clear" w:color="auto" w:fill="auto"/>
            <w:tcMar>
              <w:left w:w="93" w:type="dxa"/>
            </w:tcMar>
          </w:tcPr>
          <w:p w14:paraId="77771C41" w14:textId="77777777" w:rsidR="003D0269" w:rsidRPr="005D3E24" w:rsidRDefault="003D0269">
            <w:pPr>
              <w:spacing w:after="0" w:line="240" w:lineRule="auto"/>
              <w:jc w:val="right"/>
              <w:rPr>
                <w:rFonts w:ascii="Times New Roman" w:hAnsi="Times New Roman" w:cs="Times New Roman"/>
                <w:sz w:val="24"/>
                <w:szCs w:val="24"/>
              </w:rPr>
            </w:pPr>
          </w:p>
        </w:tc>
        <w:tc>
          <w:tcPr>
            <w:tcW w:w="1306" w:type="dxa"/>
            <w:shd w:val="clear" w:color="auto" w:fill="auto"/>
            <w:tcMar>
              <w:left w:w="93" w:type="dxa"/>
            </w:tcMar>
          </w:tcPr>
          <w:p w14:paraId="2F83E4CD" w14:textId="77777777" w:rsidR="003D0269" w:rsidRPr="005D3E24" w:rsidRDefault="003D0269">
            <w:pPr>
              <w:spacing w:after="0" w:line="240" w:lineRule="auto"/>
              <w:jc w:val="right"/>
              <w:rPr>
                <w:rFonts w:ascii="Times New Roman" w:hAnsi="Times New Roman" w:cs="Times New Roman"/>
                <w:sz w:val="24"/>
                <w:szCs w:val="24"/>
              </w:rPr>
            </w:pPr>
          </w:p>
        </w:tc>
      </w:tr>
      <w:tr w:rsidR="003D0269" w:rsidRPr="005D3E24" w14:paraId="538B56E2" w14:textId="77777777">
        <w:trPr>
          <w:trHeight w:val="255"/>
        </w:trPr>
        <w:tc>
          <w:tcPr>
            <w:tcW w:w="3619" w:type="dxa"/>
            <w:shd w:val="clear" w:color="auto" w:fill="auto"/>
            <w:tcMar>
              <w:left w:w="93" w:type="dxa"/>
            </w:tcMar>
          </w:tcPr>
          <w:p w14:paraId="36FD1077" w14:textId="77777777" w:rsidR="003D0269" w:rsidRPr="005D3E24" w:rsidRDefault="00604D02">
            <w:pPr>
              <w:spacing w:after="0" w:line="240" w:lineRule="auto"/>
              <w:rPr>
                <w:rFonts w:ascii="Times New Roman" w:hAnsi="Times New Roman" w:cs="Times New Roman"/>
                <w:sz w:val="24"/>
                <w:szCs w:val="24"/>
              </w:rPr>
            </w:pPr>
            <w:r w:rsidRPr="005D3E24">
              <w:rPr>
                <w:rFonts w:ascii="Times New Roman" w:hAnsi="Times New Roman" w:cs="Times New Roman"/>
                <w:sz w:val="24"/>
                <w:szCs w:val="24"/>
              </w:rPr>
              <w:t>Agriculture</w:t>
            </w:r>
          </w:p>
        </w:tc>
        <w:tc>
          <w:tcPr>
            <w:tcW w:w="1365" w:type="dxa"/>
            <w:shd w:val="clear" w:color="auto" w:fill="auto"/>
            <w:tcMar>
              <w:left w:w="93" w:type="dxa"/>
            </w:tcMar>
          </w:tcPr>
          <w:p w14:paraId="256D7D93" w14:textId="68627C0A" w:rsidR="003D0269" w:rsidRPr="005D3E24" w:rsidRDefault="00604D02" w:rsidP="00903362">
            <w:pPr>
              <w:spacing w:after="0" w:line="240" w:lineRule="auto"/>
              <w:jc w:val="right"/>
              <w:rPr>
                <w:rFonts w:ascii="Times New Roman" w:hAnsi="Times New Roman" w:cs="Times New Roman"/>
                <w:sz w:val="24"/>
                <w:szCs w:val="24"/>
              </w:rPr>
            </w:pPr>
            <w:r w:rsidRPr="005D3E24">
              <w:rPr>
                <w:rFonts w:ascii="Times New Roman" w:hAnsi="Times New Roman" w:cs="Times New Roman"/>
                <w:sz w:val="24"/>
                <w:szCs w:val="24"/>
              </w:rPr>
              <w:t>24.1</w:t>
            </w:r>
          </w:p>
        </w:tc>
        <w:tc>
          <w:tcPr>
            <w:tcW w:w="1363" w:type="dxa"/>
            <w:shd w:val="clear" w:color="auto" w:fill="auto"/>
            <w:tcMar>
              <w:left w:w="93" w:type="dxa"/>
            </w:tcMar>
          </w:tcPr>
          <w:p w14:paraId="747729CB" w14:textId="026E30B3" w:rsidR="003D0269" w:rsidRPr="005D3E24" w:rsidRDefault="00604D02" w:rsidP="00903362">
            <w:pPr>
              <w:spacing w:after="0" w:line="240" w:lineRule="auto"/>
              <w:jc w:val="right"/>
              <w:rPr>
                <w:rFonts w:ascii="Times New Roman" w:hAnsi="Times New Roman" w:cs="Times New Roman"/>
                <w:sz w:val="24"/>
                <w:szCs w:val="24"/>
              </w:rPr>
            </w:pPr>
            <w:r w:rsidRPr="005D3E24">
              <w:rPr>
                <w:rFonts w:ascii="Times New Roman" w:hAnsi="Times New Roman" w:cs="Times New Roman"/>
                <w:sz w:val="24"/>
                <w:szCs w:val="24"/>
              </w:rPr>
              <w:t>15.2</w:t>
            </w:r>
          </w:p>
        </w:tc>
        <w:tc>
          <w:tcPr>
            <w:tcW w:w="1363" w:type="dxa"/>
            <w:shd w:val="clear" w:color="auto" w:fill="auto"/>
            <w:tcMar>
              <w:left w:w="93" w:type="dxa"/>
            </w:tcMar>
          </w:tcPr>
          <w:p w14:paraId="1A8B5632" w14:textId="584F069D" w:rsidR="003D0269" w:rsidRPr="005D3E24" w:rsidRDefault="00604D02" w:rsidP="00903362">
            <w:pPr>
              <w:spacing w:after="0" w:line="240" w:lineRule="auto"/>
              <w:jc w:val="right"/>
              <w:rPr>
                <w:rFonts w:ascii="Times New Roman" w:hAnsi="Times New Roman" w:cs="Times New Roman"/>
                <w:sz w:val="24"/>
                <w:szCs w:val="24"/>
              </w:rPr>
            </w:pPr>
            <w:r w:rsidRPr="005D3E24">
              <w:rPr>
                <w:rFonts w:ascii="Times New Roman" w:hAnsi="Times New Roman" w:cs="Times New Roman"/>
                <w:sz w:val="24"/>
                <w:szCs w:val="24"/>
              </w:rPr>
              <w:t>12.5</w:t>
            </w:r>
          </w:p>
        </w:tc>
        <w:tc>
          <w:tcPr>
            <w:tcW w:w="1306" w:type="dxa"/>
            <w:shd w:val="clear" w:color="auto" w:fill="auto"/>
            <w:tcMar>
              <w:left w:w="93" w:type="dxa"/>
            </w:tcMar>
          </w:tcPr>
          <w:p w14:paraId="6E7682F8" w14:textId="2A914591" w:rsidR="003D0269" w:rsidRPr="005D3E24" w:rsidRDefault="00604D02" w:rsidP="00903362">
            <w:pPr>
              <w:spacing w:after="0" w:line="240" w:lineRule="auto"/>
              <w:jc w:val="right"/>
              <w:rPr>
                <w:rFonts w:ascii="Times New Roman" w:hAnsi="Times New Roman" w:cs="Times New Roman"/>
                <w:sz w:val="24"/>
                <w:szCs w:val="24"/>
              </w:rPr>
            </w:pPr>
            <w:r w:rsidRPr="005D3E24">
              <w:rPr>
                <w:rFonts w:ascii="Times New Roman" w:hAnsi="Times New Roman" w:cs="Times New Roman"/>
                <w:sz w:val="24"/>
                <w:szCs w:val="24"/>
              </w:rPr>
              <w:t>5.5</w:t>
            </w:r>
          </w:p>
        </w:tc>
      </w:tr>
      <w:tr w:rsidR="003D0269" w:rsidRPr="005D3E24" w14:paraId="31E73805" w14:textId="77777777">
        <w:trPr>
          <w:trHeight w:val="255"/>
        </w:trPr>
        <w:tc>
          <w:tcPr>
            <w:tcW w:w="3619" w:type="dxa"/>
            <w:shd w:val="clear" w:color="auto" w:fill="auto"/>
            <w:tcMar>
              <w:left w:w="93" w:type="dxa"/>
            </w:tcMar>
          </w:tcPr>
          <w:p w14:paraId="2391006F" w14:textId="77777777" w:rsidR="003D0269" w:rsidRPr="005D3E24" w:rsidRDefault="00604D02">
            <w:pPr>
              <w:spacing w:after="0" w:line="240" w:lineRule="auto"/>
              <w:rPr>
                <w:rFonts w:ascii="Times New Roman" w:hAnsi="Times New Roman" w:cs="Times New Roman"/>
                <w:sz w:val="24"/>
                <w:szCs w:val="24"/>
              </w:rPr>
            </w:pPr>
            <w:r w:rsidRPr="005D3E24">
              <w:rPr>
                <w:rFonts w:ascii="Times New Roman" w:hAnsi="Times New Roman" w:cs="Times New Roman"/>
                <w:sz w:val="24"/>
                <w:szCs w:val="24"/>
              </w:rPr>
              <w:t>Manufacture, construction, mining</w:t>
            </w:r>
          </w:p>
        </w:tc>
        <w:tc>
          <w:tcPr>
            <w:tcW w:w="1365" w:type="dxa"/>
            <w:shd w:val="clear" w:color="auto" w:fill="auto"/>
            <w:tcMar>
              <w:left w:w="93" w:type="dxa"/>
            </w:tcMar>
          </w:tcPr>
          <w:p w14:paraId="0CCA5E1F" w14:textId="253D883E" w:rsidR="003D0269" w:rsidRPr="005D3E24" w:rsidRDefault="00604D02" w:rsidP="00903362">
            <w:pPr>
              <w:spacing w:after="0" w:line="240" w:lineRule="auto"/>
              <w:jc w:val="right"/>
              <w:rPr>
                <w:rFonts w:ascii="Times New Roman" w:hAnsi="Times New Roman" w:cs="Times New Roman"/>
                <w:sz w:val="24"/>
                <w:szCs w:val="24"/>
              </w:rPr>
            </w:pPr>
            <w:r w:rsidRPr="005D3E24">
              <w:rPr>
                <w:rFonts w:ascii="Times New Roman" w:hAnsi="Times New Roman" w:cs="Times New Roman"/>
                <w:sz w:val="24"/>
                <w:szCs w:val="24"/>
              </w:rPr>
              <w:t>33.9</w:t>
            </w:r>
          </w:p>
        </w:tc>
        <w:tc>
          <w:tcPr>
            <w:tcW w:w="1363" w:type="dxa"/>
            <w:shd w:val="clear" w:color="auto" w:fill="auto"/>
            <w:tcMar>
              <w:left w:w="93" w:type="dxa"/>
            </w:tcMar>
          </w:tcPr>
          <w:p w14:paraId="4A897CCA" w14:textId="50B31D0C" w:rsidR="003D0269" w:rsidRPr="005D3E24" w:rsidRDefault="00604D02" w:rsidP="00903362">
            <w:pPr>
              <w:spacing w:after="0" w:line="240" w:lineRule="auto"/>
              <w:jc w:val="right"/>
              <w:rPr>
                <w:rFonts w:ascii="Times New Roman" w:hAnsi="Times New Roman" w:cs="Times New Roman"/>
                <w:sz w:val="24"/>
                <w:szCs w:val="24"/>
              </w:rPr>
            </w:pPr>
            <w:r w:rsidRPr="005D3E24">
              <w:rPr>
                <w:rFonts w:ascii="Times New Roman" w:hAnsi="Times New Roman" w:cs="Times New Roman"/>
                <w:sz w:val="24"/>
                <w:szCs w:val="24"/>
              </w:rPr>
              <w:t>33.8</w:t>
            </w:r>
          </w:p>
        </w:tc>
        <w:tc>
          <w:tcPr>
            <w:tcW w:w="1363" w:type="dxa"/>
            <w:shd w:val="clear" w:color="auto" w:fill="auto"/>
            <w:tcMar>
              <w:left w:w="93" w:type="dxa"/>
            </w:tcMar>
          </w:tcPr>
          <w:p w14:paraId="17852DB2" w14:textId="6ABD88BB" w:rsidR="003D0269" w:rsidRPr="005D3E24" w:rsidRDefault="00604D02" w:rsidP="00903362">
            <w:pPr>
              <w:spacing w:after="0" w:line="240" w:lineRule="auto"/>
              <w:jc w:val="right"/>
              <w:rPr>
                <w:rFonts w:ascii="Times New Roman" w:hAnsi="Times New Roman" w:cs="Times New Roman"/>
                <w:sz w:val="24"/>
                <w:szCs w:val="24"/>
              </w:rPr>
            </w:pPr>
            <w:r w:rsidRPr="005D3E24">
              <w:rPr>
                <w:rFonts w:ascii="Times New Roman" w:hAnsi="Times New Roman" w:cs="Times New Roman"/>
                <w:sz w:val="24"/>
                <w:szCs w:val="24"/>
              </w:rPr>
              <w:t>27.4</w:t>
            </w:r>
          </w:p>
        </w:tc>
        <w:tc>
          <w:tcPr>
            <w:tcW w:w="1306" w:type="dxa"/>
            <w:shd w:val="clear" w:color="auto" w:fill="auto"/>
            <w:tcMar>
              <w:left w:w="93" w:type="dxa"/>
            </w:tcMar>
          </w:tcPr>
          <w:p w14:paraId="6B36D71C" w14:textId="761F51C7" w:rsidR="003D0269" w:rsidRPr="005D3E24" w:rsidRDefault="00604D02" w:rsidP="00903362">
            <w:pPr>
              <w:spacing w:after="0" w:line="240" w:lineRule="auto"/>
              <w:jc w:val="right"/>
              <w:rPr>
                <w:rFonts w:ascii="Times New Roman" w:hAnsi="Times New Roman" w:cs="Times New Roman"/>
                <w:sz w:val="24"/>
                <w:szCs w:val="24"/>
              </w:rPr>
            </w:pPr>
            <w:r w:rsidRPr="005D3E24">
              <w:rPr>
                <w:rFonts w:ascii="Times New Roman" w:hAnsi="Times New Roman" w:cs="Times New Roman"/>
                <w:sz w:val="24"/>
                <w:szCs w:val="24"/>
              </w:rPr>
              <w:t>25.8</w:t>
            </w:r>
          </w:p>
        </w:tc>
      </w:tr>
      <w:tr w:rsidR="003D0269" w:rsidRPr="005D3E24" w14:paraId="37DA307D" w14:textId="77777777">
        <w:trPr>
          <w:trHeight w:val="255"/>
        </w:trPr>
        <w:tc>
          <w:tcPr>
            <w:tcW w:w="3619" w:type="dxa"/>
            <w:shd w:val="clear" w:color="auto" w:fill="auto"/>
            <w:tcMar>
              <w:left w:w="93" w:type="dxa"/>
            </w:tcMar>
          </w:tcPr>
          <w:p w14:paraId="0E5CF28F" w14:textId="77777777" w:rsidR="003D0269" w:rsidRPr="005D3E24" w:rsidRDefault="00604D02">
            <w:pPr>
              <w:spacing w:after="0" w:line="240" w:lineRule="auto"/>
              <w:rPr>
                <w:rFonts w:ascii="Times New Roman" w:hAnsi="Times New Roman" w:cs="Times New Roman"/>
                <w:sz w:val="24"/>
                <w:szCs w:val="24"/>
              </w:rPr>
            </w:pPr>
            <w:r w:rsidRPr="005D3E24">
              <w:rPr>
                <w:rFonts w:ascii="Times New Roman" w:hAnsi="Times New Roman" w:cs="Times New Roman"/>
                <w:sz w:val="24"/>
                <w:szCs w:val="24"/>
              </w:rPr>
              <w:t>Other (services)</w:t>
            </w:r>
          </w:p>
        </w:tc>
        <w:tc>
          <w:tcPr>
            <w:tcW w:w="1365" w:type="dxa"/>
            <w:shd w:val="clear" w:color="auto" w:fill="auto"/>
            <w:tcMar>
              <w:left w:w="93" w:type="dxa"/>
            </w:tcMar>
          </w:tcPr>
          <w:p w14:paraId="1ED20A27" w14:textId="44A0689F" w:rsidR="003D0269" w:rsidRPr="005D3E24" w:rsidRDefault="00604D02" w:rsidP="00903362">
            <w:pPr>
              <w:spacing w:after="0" w:line="240" w:lineRule="auto"/>
              <w:jc w:val="right"/>
              <w:rPr>
                <w:rFonts w:ascii="Times New Roman" w:hAnsi="Times New Roman" w:cs="Times New Roman"/>
                <w:sz w:val="24"/>
                <w:szCs w:val="24"/>
              </w:rPr>
            </w:pPr>
            <w:r w:rsidRPr="005D3E24">
              <w:rPr>
                <w:rFonts w:ascii="Times New Roman" w:hAnsi="Times New Roman" w:cs="Times New Roman"/>
                <w:sz w:val="24"/>
                <w:szCs w:val="24"/>
              </w:rPr>
              <w:t>42.0</w:t>
            </w:r>
          </w:p>
        </w:tc>
        <w:tc>
          <w:tcPr>
            <w:tcW w:w="1363" w:type="dxa"/>
            <w:shd w:val="clear" w:color="auto" w:fill="auto"/>
            <w:tcMar>
              <w:left w:w="93" w:type="dxa"/>
            </w:tcMar>
          </w:tcPr>
          <w:p w14:paraId="7ADC4877" w14:textId="58DA7B25" w:rsidR="003D0269" w:rsidRPr="005D3E24" w:rsidRDefault="00604D02" w:rsidP="00903362">
            <w:pPr>
              <w:spacing w:after="0" w:line="240" w:lineRule="auto"/>
              <w:jc w:val="right"/>
              <w:rPr>
                <w:rFonts w:ascii="Times New Roman" w:hAnsi="Times New Roman" w:cs="Times New Roman"/>
                <w:sz w:val="24"/>
                <w:szCs w:val="24"/>
              </w:rPr>
            </w:pPr>
            <w:r w:rsidRPr="005D3E24">
              <w:rPr>
                <w:rFonts w:ascii="Times New Roman" w:hAnsi="Times New Roman" w:cs="Times New Roman"/>
                <w:sz w:val="24"/>
                <w:szCs w:val="24"/>
              </w:rPr>
              <w:t>51.1</w:t>
            </w:r>
          </w:p>
        </w:tc>
        <w:tc>
          <w:tcPr>
            <w:tcW w:w="1363" w:type="dxa"/>
            <w:shd w:val="clear" w:color="auto" w:fill="auto"/>
            <w:tcMar>
              <w:left w:w="93" w:type="dxa"/>
            </w:tcMar>
          </w:tcPr>
          <w:p w14:paraId="6FD4F650" w14:textId="04335AA9" w:rsidR="003D0269" w:rsidRPr="005D3E24" w:rsidRDefault="00604D02" w:rsidP="00903362">
            <w:pPr>
              <w:spacing w:after="0" w:line="240" w:lineRule="auto"/>
              <w:jc w:val="right"/>
              <w:rPr>
                <w:rFonts w:ascii="Times New Roman" w:hAnsi="Times New Roman" w:cs="Times New Roman"/>
                <w:sz w:val="24"/>
                <w:szCs w:val="24"/>
              </w:rPr>
            </w:pPr>
            <w:r w:rsidRPr="005D3E24">
              <w:rPr>
                <w:rFonts w:ascii="Times New Roman" w:hAnsi="Times New Roman" w:cs="Times New Roman"/>
                <w:sz w:val="24"/>
                <w:szCs w:val="24"/>
              </w:rPr>
              <w:t>60.2</w:t>
            </w:r>
          </w:p>
        </w:tc>
        <w:tc>
          <w:tcPr>
            <w:tcW w:w="1306" w:type="dxa"/>
            <w:shd w:val="clear" w:color="auto" w:fill="auto"/>
            <w:tcMar>
              <w:left w:w="93" w:type="dxa"/>
            </w:tcMar>
          </w:tcPr>
          <w:p w14:paraId="57FA4948" w14:textId="4129A803" w:rsidR="003D0269" w:rsidRPr="005D3E24" w:rsidRDefault="00604D02" w:rsidP="00903362">
            <w:pPr>
              <w:spacing w:after="0" w:line="240" w:lineRule="auto"/>
              <w:jc w:val="right"/>
              <w:rPr>
                <w:rFonts w:ascii="Times New Roman" w:hAnsi="Times New Roman" w:cs="Times New Roman"/>
                <w:sz w:val="24"/>
                <w:szCs w:val="24"/>
              </w:rPr>
            </w:pPr>
            <w:r w:rsidRPr="005D3E24">
              <w:rPr>
                <w:rFonts w:ascii="Times New Roman" w:hAnsi="Times New Roman" w:cs="Times New Roman"/>
                <w:sz w:val="24"/>
                <w:szCs w:val="24"/>
              </w:rPr>
              <w:t>68.7</w:t>
            </w:r>
          </w:p>
        </w:tc>
      </w:tr>
    </w:tbl>
    <w:p w14:paraId="48830360" w14:textId="77777777" w:rsidR="003D0269" w:rsidRPr="005D3E24" w:rsidRDefault="00604D02">
      <w:pPr>
        <w:rPr>
          <w:rFonts w:ascii="Times New Roman" w:hAnsi="Times New Roman" w:cs="Times New Roman"/>
          <w:sz w:val="24"/>
          <w:szCs w:val="24"/>
        </w:rPr>
      </w:pPr>
      <w:r w:rsidRPr="005D3E24">
        <w:rPr>
          <w:rFonts w:ascii="Times New Roman" w:hAnsi="Times New Roman" w:cs="Times New Roman"/>
          <w:sz w:val="24"/>
          <w:szCs w:val="24"/>
        </w:rPr>
        <w:t>Source: Census (1981–2011 rounds)</w:t>
      </w:r>
    </w:p>
    <w:p w14:paraId="65255D27" w14:textId="77777777" w:rsidR="003D0269" w:rsidRPr="005D3E24" w:rsidRDefault="003D0269">
      <w:pPr>
        <w:rPr>
          <w:rFonts w:ascii="Times New Roman" w:hAnsi="Times New Roman" w:cs="Times New Roman"/>
          <w:sz w:val="24"/>
          <w:szCs w:val="24"/>
        </w:rPr>
      </w:pPr>
    </w:p>
    <w:p w14:paraId="657394DB" w14:textId="6929733B" w:rsidR="003D0269" w:rsidRPr="005D3E24" w:rsidRDefault="00246EA6" w:rsidP="00246EA6">
      <w:pPr>
        <w:spacing w:after="0" w:line="480" w:lineRule="auto"/>
        <w:jc w:val="both"/>
        <w:rPr>
          <w:rFonts w:ascii="Times New Roman" w:hAnsi="Times New Roman" w:cs="Times New Roman"/>
          <w:sz w:val="24"/>
          <w:szCs w:val="24"/>
        </w:rPr>
      </w:pPr>
      <w:r>
        <w:rPr>
          <w:rFonts w:ascii="Times New Roman" w:hAnsi="Times New Roman" w:cs="Times New Roman"/>
          <w:sz w:val="24"/>
          <w:szCs w:val="24"/>
        </w:rPr>
        <w:t>C</w:t>
      </w:r>
      <w:r w:rsidR="00604D02" w:rsidRPr="005D3E24">
        <w:rPr>
          <w:rFonts w:ascii="Times New Roman" w:hAnsi="Times New Roman" w:cs="Times New Roman"/>
          <w:sz w:val="24"/>
          <w:szCs w:val="24"/>
        </w:rPr>
        <w:t>urrent (2018) C</w:t>
      </w:r>
      <w:r>
        <w:rPr>
          <w:rFonts w:ascii="Times New Roman" w:hAnsi="Times New Roman" w:cs="Times New Roman"/>
          <w:sz w:val="24"/>
          <w:szCs w:val="24"/>
        </w:rPr>
        <w:t>edefop</w:t>
      </w:r>
      <w:r w:rsidR="00604D02" w:rsidRPr="005D3E24">
        <w:rPr>
          <w:rFonts w:ascii="Times New Roman" w:hAnsi="Times New Roman" w:cs="Times New Roman"/>
          <w:sz w:val="24"/>
          <w:szCs w:val="24"/>
        </w:rPr>
        <w:t xml:space="preserve"> skills forecasts indicate that the trend may change again. The strongest growth is projected </w:t>
      </w:r>
      <w:r w:rsidR="000C393D" w:rsidRPr="005D3E24">
        <w:rPr>
          <w:rFonts w:ascii="Times New Roman" w:hAnsi="Times New Roman" w:cs="Times New Roman"/>
          <w:sz w:val="24"/>
          <w:szCs w:val="24"/>
        </w:rPr>
        <w:t xml:space="preserve">to be </w:t>
      </w:r>
      <w:r w:rsidR="00604D02" w:rsidRPr="005D3E24">
        <w:rPr>
          <w:rFonts w:ascii="Times New Roman" w:hAnsi="Times New Roman" w:cs="Times New Roman"/>
          <w:sz w:val="24"/>
          <w:szCs w:val="24"/>
        </w:rPr>
        <w:t>in health, education, professional activities, and green jobs, whereas hospitality services may join manufacturing and agriculture</w:t>
      </w:r>
      <w:r w:rsidR="007E3FCB" w:rsidRPr="005D3E24">
        <w:rPr>
          <w:rFonts w:ascii="Times New Roman" w:hAnsi="Times New Roman" w:cs="Times New Roman"/>
          <w:sz w:val="24"/>
          <w:szCs w:val="24"/>
        </w:rPr>
        <w:t xml:space="preserve"> as a declining sector</w:t>
      </w:r>
      <w:r w:rsidR="00604D02" w:rsidRPr="005D3E24">
        <w:rPr>
          <w:rFonts w:ascii="Times New Roman" w:hAnsi="Times New Roman" w:cs="Times New Roman"/>
          <w:sz w:val="24"/>
          <w:szCs w:val="24"/>
        </w:rPr>
        <w:t>.</w:t>
      </w:r>
    </w:p>
    <w:p w14:paraId="1E2280C9" w14:textId="2DF68EA0" w:rsidR="003D0269" w:rsidRPr="005D3E24" w:rsidRDefault="00604D02" w:rsidP="00246EA6">
      <w:pPr>
        <w:spacing w:after="0" w:line="480" w:lineRule="auto"/>
        <w:ind w:firstLine="284"/>
        <w:jc w:val="both"/>
        <w:rPr>
          <w:rFonts w:ascii="Times New Roman" w:hAnsi="Times New Roman" w:cs="Times New Roman"/>
          <w:sz w:val="24"/>
          <w:szCs w:val="24"/>
        </w:rPr>
      </w:pPr>
      <w:r w:rsidRPr="005D3E24">
        <w:rPr>
          <w:rFonts w:ascii="Times New Roman" w:hAnsi="Times New Roman" w:cs="Times New Roman"/>
          <w:sz w:val="24"/>
          <w:szCs w:val="24"/>
        </w:rPr>
        <w:t>It is important to mention employment in sole proprietorships (non-incorporated businesses), as they are main providers of workplace training</w:t>
      </w:r>
      <w:r w:rsidR="004A751C" w:rsidRPr="005D3E24">
        <w:rPr>
          <w:rFonts w:ascii="Times New Roman" w:hAnsi="Times New Roman" w:cs="Times New Roman"/>
          <w:sz w:val="24"/>
          <w:szCs w:val="24"/>
        </w:rPr>
        <w:t xml:space="preserve"> for skilled trades occupations</w:t>
      </w:r>
      <w:r w:rsidRPr="005D3E24">
        <w:rPr>
          <w:rFonts w:ascii="Times New Roman" w:hAnsi="Times New Roman" w:cs="Times New Roman"/>
          <w:sz w:val="24"/>
          <w:szCs w:val="24"/>
        </w:rPr>
        <w:t xml:space="preserve">. Sole proprietorships also gain the most from the occupational labour market and standardised workplace training since they lack the resources and size to train internally. The share of </w:t>
      </w:r>
      <w:r w:rsidR="00B72671" w:rsidRPr="005D3E24">
        <w:rPr>
          <w:rFonts w:ascii="Times New Roman" w:hAnsi="Times New Roman" w:cs="Times New Roman"/>
          <w:sz w:val="24"/>
          <w:szCs w:val="24"/>
        </w:rPr>
        <w:t xml:space="preserve">employment </w:t>
      </w:r>
      <w:r w:rsidRPr="005D3E24">
        <w:rPr>
          <w:rFonts w:ascii="Times New Roman" w:hAnsi="Times New Roman" w:cs="Times New Roman"/>
          <w:sz w:val="24"/>
          <w:szCs w:val="24"/>
        </w:rPr>
        <w:t xml:space="preserve">in such entities steadily </w:t>
      </w:r>
      <w:r w:rsidRPr="005D3E24">
        <w:rPr>
          <w:rFonts w:ascii="Times New Roman" w:hAnsi="Times New Roman" w:cs="Times New Roman"/>
          <w:sz w:val="24"/>
          <w:szCs w:val="24"/>
        </w:rPr>
        <w:lastRenderedPageBreak/>
        <w:t>increased from 9.6</w:t>
      </w:r>
      <w:r w:rsidR="00903362" w:rsidRPr="005D3E24">
        <w:rPr>
          <w:rFonts w:ascii="Times New Roman" w:hAnsi="Times New Roman" w:cs="Times New Roman"/>
          <w:sz w:val="24"/>
          <w:szCs w:val="24"/>
        </w:rPr>
        <w:t xml:space="preserve"> per cent</w:t>
      </w:r>
      <w:r w:rsidRPr="005D3E24">
        <w:rPr>
          <w:rFonts w:ascii="Times New Roman" w:hAnsi="Times New Roman" w:cs="Times New Roman"/>
          <w:sz w:val="24"/>
          <w:szCs w:val="24"/>
        </w:rPr>
        <w:t xml:space="preserve"> of all employment in 1991 to 17.5</w:t>
      </w:r>
      <w:r w:rsidR="00903362" w:rsidRPr="005D3E24">
        <w:rPr>
          <w:rFonts w:ascii="Times New Roman" w:hAnsi="Times New Roman" w:cs="Times New Roman"/>
          <w:sz w:val="24"/>
          <w:szCs w:val="24"/>
        </w:rPr>
        <w:t xml:space="preserve"> per cent</w:t>
      </w:r>
      <w:r w:rsidRPr="005D3E24">
        <w:rPr>
          <w:rFonts w:ascii="Times New Roman" w:hAnsi="Times New Roman" w:cs="Times New Roman"/>
          <w:sz w:val="24"/>
          <w:szCs w:val="24"/>
        </w:rPr>
        <w:t xml:space="preserve"> in 2008. Yet this sector was </w:t>
      </w:r>
      <w:r w:rsidR="007E3FCB" w:rsidRPr="005D3E24">
        <w:rPr>
          <w:rFonts w:ascii="Times New Roman" w:hAnsi="Times New Roman" w:cs="Times New Roman"/>
          <w:sz w:val="24"/>
          <w:szCs w:val="24"/>
        </w:rPr>
        <w:t xml:space="preserve">badly </w:t>
      </w:r>
      <w:r w:rsidRPr="005D3E24">
        <w:rPr>
          <w:rFonts w:ascii="Times New Roman" w:hAnsi="Times New Roman" w:cs="Times New Roman"/>
          <w:sz w:val="24"/>
          <w:szCs w:val="24"/>
        </w:rPr>
        <w:t>affected during the 2009–2015 crisis and has not recovered since. By 2019, employment in the sector had shrunk to 194 thousand, or 12.5</w:t>
      </w:r>
      <w:r w:rsidR="00903362" w:rsidRPr="005D3E24">
        <w:rPr>
          <w:rFonts w:ascii="Times New Roman" w:hAnsi="Times New Roman" w:cs="Times New Roman"/>
          <w:sz w:val="24"/>
          <w:szCs w:val="24"/>
        </w:rPr>
        <w:t xml:space="preserve"> per cent</w:t>
      </w:r>
      <w:r w:rsidRPr="005D3E24">
        <w:rPr>
          <w:rFonts w:ascii="Times New Roman" w:hAnsi="Times New Roman" w:cs="Times New Roman"/>
          <w:sz w:val="24"/>
          <w:szCs w:val="24"/>
        </w:rPr>
        <w:t xml:space="preserve"> of all employment. This has implications for both the sector</w:t>
      </w:r>
      <w:r w:rsidR="00015214">
        <w:rPr>
          <w:rFonts w:ascii="Times New Roman" w:hAnsi="Times New Roman" w:cs="Times New Roman"/>
          <w:sz w:val="24"/>
          <w:szCs w:val="24"/>
        </w:rPr>
        <w:t>’</w:t>
      </w:r>
      <w:r w:rsidRPr="005D3E24">
        <w:rPr>
          <w:rFonts w:ascii="Times New Roman" w:hAnsi="Times New Roman" w:cs="Times New Roman"/>
          <w:sz w:val="24"/>
          <w:szCs w:val="24"/>
        </w:rPr>
        <w:t>s labour demand and its training provisions.</w:t>
      </w:r>
    </w:p>
    <w:p w14:paraId="2CB34FB9" w14:textId="77777777" w:rsidR="003D0269" w:rsidRPr="005D3E24" w:rsidRDefault="003D0269" w:rsidP="005D3E24">
      <w:pPr>
        <w:spacing w:after="0" w:line="480" w:lineRule="auto"/>
        <w:jc w:val="both"/>
        <w:rPr>
          <w:rFonts w:ascii="Times New Roman" w:hAnsi="Times New Roman" w:cs="Times New Roman"/>
          <w:sz w:val="24"/>
          <w:szCs w:val="24"/>
        </w:rPr>
      </w:pPr>
    </w:p>
    <w:p w14:paraId="76064897" w14:textId="77777777" w:rsidR="003D0269" w:rsidRPr="005D3E24" w:rsidRDefault="00604D02" w:rsidP="005D3E24">
      <w:pPr>
        <w:spacing w:after="0" w:line="480" w:lineRule="auto"/>
        <w:jc w:val="both"/>
        <w:rPr>
          <w:rFonts w:ascii="Times New Roman" w:hAnsi="Times New Roman" w:cs="Times New Roman"/>
          <w:b/>
          <w:bCs/>
          <w:sz w:val="24"/>
          <w:szCs w:val="24"/>
        </w:rPr>
      </w:pPr>
      <w:r w:rsidRPr="005D3E24">
        <w:rPr>
          <w:rFonts w:ascii="Times New Roman" w:hAnsi="Times New Roman" w:cs="Times New Roman"/>
          <w:b/>
          <w:bCs/>
          <w:sz w:val="24"/>
          <w:szCs w:val="24"/>
        </w:rPr>
        <w:t>Education system and labour market linkages, 1990–2020</w:t>
      </w:r>
    </w:p>
    <w:p w14:paraId="6A1BC7A2" w14:textId="2B5531A0" w:rsidR="003D0269" w:rsidRPr="005D3E24" w:rsidRDefault="00604D02" w:rsidP="005D3E24">
      <w:pPr>
        <w:spacing w:after="0" w:line="480" w:lineRule="auto"/>
        <w:jc w:val="both"/>
        <w:rPr>
          <w:rFonts w:ascii="Times New Roman" w:hAnsi="Times New Roman" w:cs="Times New Roman"/>
          <w:sz w:val="24"/>
          <w:szCs w:val="24"/>
        </w:rPr>
      </w:pPr>
      <w:r w:rsidRPr="005D3E24">
        <w:rPr>
          <w:rFonts w:ascii="Times New Roman" w:hAnsi="Times New Roman" w:cs="Times New Roman"/>
          <w:sz w:val="24"/>
          <w:szCs w:val="24"/>
        </w:rPr>
        <w:t xml:space="preserve">The skill production regime that emerged during the transition must be understood as a reaction to the one that preceded it. In 1975, Yugoslavia implemented a sweeping national education reform, setting up a system called vocational-oriented education (in Croatian: </w:t>
      </w:r>
      <w:r w:rsidRPr="005D3E24">
        <w:rPr>
          <w:rFonts w:ascii="Times New Roman" w:hAnsi="Times New Roman" w:cs="Times New Roman"/>
          <w:i/>
          <w:iCs/>
          <w:sz w:val="24"/>
          <w:szCs w:val="24"/>
        </w:rPr>
        <w:t>usmjereno obrazovanje</w:t>
      </w:r>
      <w:r w:rsidRPr="005D3E24">
        <w:rPr>
          <w:rFonts w:ascii="Times New Roman" w:hAnsi="Times New Roman" w:cs="Times New Roman"/>
          <w:sz w:val="24"/>
          <w:szCs w:val="24"/>
        </w:rPr>
        <w:t>). This was not just characteri</w:t>
      </w:r>
      <w:r w:rsidR="00246EA6">
        <w:rPr>
          <w:rFonts w:ascii="Times New Roman" w:hAnsi="Times New Roman" w:cs="Times New Roman"/>
          <w:sz w:val="24"/>
          <w:szCs w:val="24"/>
        </w:rPr>
        <w:t>z</w:t>
      </w:r>
      <w:r w:rsidRPr="005D3E24">
        <w:rPr>
          <w:rFonts w:ascii="Times New Roman" w:hAnsi="Times New Roman" w:cs="Times New Roman"/>
          <w:sz w:val="24"/>
          <w:szCs w:val="24"/>
        </w:rPr>
        <w:t>ed by vocationali</w:t>
      </w:r>
      <w:r w:rsidR="0067066E" w:rsidRPr="005D3E24">
        <w:rPr>
          <w:rFonts w:ascii="Times New Roman" w:hAnsi="Times New Roman" w:cs="Times New Roman"/>
          <w:sz w:val="24"/>
          <w:szCs w:val="24"/>
        </w:rPr>
        <w:t>z</w:t>
      </w:r>
      <w:r w:rsidRPr="005D3E24">
        <w:rPr>
          <w:rFonts w:ascii="Times New Roman" w:hAnsi="Times New Roman" w:cs="Times New Roman"/>
          <w:sz w:val="24"/>
          <w:szCs w:val="24"/>
        </w:rPr>
        <w:t xml:space="preserve">ed curricula, localised links between the education and productive sectors, and a focus on learning through work; it was also explicitly designed </w:t>
      </w:r>
      <w:r w:rsidR="00314551" w:rsidRPr="005D3E24">
        <w:rPr>
          <w:rFonts w:ascii="Times New Roman" w:hAnsi="Times New Roman" w:cs="Times New Roman"/>
          <w:sz w:val="24"/>
          <w:szCs w:val="24"/>
        </w:rPr>
        <w:t xml:space="preserve">to facilitate </w:t>
      </w:r>
      <w:r w:rsidRPr="005D3E24">
        <w:rPr>
          <w:rFonts w:ascii="Times New Roman" w:hAnsi="Times New Roman" w:cs="Times New Roman"/>
          <w:sz w:val="24"/>
          <w:szCs w:val="24"/>
        </w:rPr>
        <w:t xml:space="preserve">the emancipation of the working class and the suppression of the (white-collar, critical intellectual) middle class. This made the concept toxic during the democratic transition. Dismantling </w:t>
      </w:r>
      <w:r w:rsidR="00314551" w:rsidRPr="005D3E24">
        <w:rPr>
          <w:rFonts w:ascii="Times New Roman" w:hAnsi="Times New Roman" w:cs="Times New Roman"/>
          <w:sz w:val="24"/>
          <w:szCs w:val="24"/>
        </w:rPr>
        <w:t xml:space="preserve">the pre-transition system </w:t>
      </w:r>
      <w:r w:rsidRPr="005D3E24">
        <w:rPr>
          <w:rFonts w:ascii="Times New Roman" w:hAnsi="Times New Roman" w:cs="Times New Roman"/>
          <w:sz w:val="24"/>
          <w:szCs w:val="24"/>
        </w:rPr>
        <w:t xml:space="preserve">was made easier by the fact that VOE </w:t>
      </w:r>
      <w:r w:rsidR="00CE0BC4" w:rsidRPr="00CE0BC4">
        <w:rPr>
          <w:rFonts w:ascii="Times New Roman" w:hAnsi="Times New Roman" w:cs="Times New Roman"/>
          <w:sz w:val="24"/>
          <w:szCs w:val="24"/>
        </w:rPr>
        <w:t xml:space="preserve">did not reach its proclaimed skill matching goals  </w:t>
      </w:r>
      <w:r w:rsidR="004D607B" w:rsidRPr="005D3E24">
        <w:rPr>
          <w:rFonts w:ascii="Times New Roman" w:hAnsi="Times New Roman" w:cs="Times New Roman"/>
          <w:sz w:val="24"/>
          <w:szCs w:val="24"/>
        </w:rPr>
        <w:t xml:space="preserve">, </w:t>
      </w:r>
      <w:r w:rsidRPr="005D3E24">
        <w:rPr>
          <w:rFonts w:ascii="Times New Roman" w:hAnsi="Times New Roman" w:cs="Times New Roman"/>
          <w:sz w:val="24"/>
          <w:szCs w:val="24"/>
        </w:rPr>
        <w:t xml:space="preserve">and </w:t>
      </w:r>
      <w:r w:rsidR="00314551" w:rsidRPr="005D3E24">
        <w:rPr>
          <w:rFonts w:ascii="Times New Roman" w:hAnsi="Times New Roman" w:cs="Times New Roman"/>
          <w:sz w:val="24"/>
          <w:szCs w:val="24"/>
        </w:rPr>
        <w:t xml:space="preserve">that </w:t>
      </w:r>
      <w:r w:rsidRPr="005D3E24">
        <w:rPr>
          <w:rFonts w:ascii="Times New Roman" w:hAnsi="Times New Roman" w:cs="Times New Roman"/>
          <w:sz w:val="24"/>
          <w:szCs w:val="24"/>
        </w:rPr>
        <w:t xml:space="preserve">industry itself only partially embraced its principles </w:t>
      </w:r>
      <w:bookmarkStart w:id="26" w:name="__Fieldmark__444_131419714"/>
      <w:r w:rsidRPr="005D3E24">
        <w:rPr>
          <w:rFonts w:ascii="Times New Roman" w:hAnsi="Times New Roman" w:cs="Times New Roman"/>
          <w:sz w:val="24"/>
          <w:szCs w:val="24"/>
        </w:rPr>
        <w:t>(</w:t>
      </w:r>
      <w:bookmarkStart w:id="27" w:name="__Fieldmark__419_2097806078"/>
      <w:r w:rsidRPr="005D3E24">
        <w:rPr>
          <w:rFonts w:ascii="Times New Roman" w:hAnsi="Times New Roman" w:cs="Times New Roman"/>
          <w:sz w:val="24"/>
          <w:szCs w:val="24"/>
        </w:rPr>
        <w:t>B</w:t>
      </w:r>
      <w:bookmarkStart w:id="28" w:name="__Fieldmark__310_241477822"/>
      <w:r w:rsidRPr="005D3E24">
        <w:rPr>
          <w:rFonts w:ascii="Times New Roman" w:hAnsi="Times New Roman" w:cs="Times New Roman"/>
          <w:sz w:val="24"/>
          <w:szCs w:val="24"/>
        </w:rPr>
        <w:t>a</w:t>
      </w:r>
      <w:bookmarkStart w:id="29" w:name="__Fieldmark__4278_374039044"/>
      <w:r w:rsidRPr="005D3E24">
        <w:rPr>
          <w:rFonts w:ascii="Times New Roman" w:hAnsi="Times New Roman" w:cs="Times New Roman"/>
          <w:sz w:val="24"/>
          <w:szCs w:val="24"/>
        </w:rPr>
        <w:t>ćević 2016)</w:t>
      </w:r>
      <w:bookmarkEnd w:id="26"/>
      <w:bookmarkEnd w:id="27"/>
      <w:bookmarkEnd w:id="28"/>
      <w:bookmarkEnd w:id="29"/>
      <w:r w:rsidRPr="005D3E24">
        <w:rPr>
          <w:rFonts w:ascii="Times New Roman" w:hAnsi="Times New Roman" w:cs="Times New Roman"/>
          <w:sz w:val="24"/>
          <w:szCs w:val="24"/>
        </w:rPr>
        <w:t>.</w:t>
      </w:r>
    </w:p>
    <w:p w14:paraId="46C67894" w14:textId="77777777" w:rsidR="003D0269" w:rsidRPr="005D3E24" w:rsidRDefault="003D0269">
      <w:pPr>
        <w:rPr>
          <w:rFonts w:ascii="Times New Roman" w:hAnsi="Times New Roman" w:cs="Times New Roman"/>
          <w:b/>
          <w:bCs/>
          <w:sz w:val="24"/>
          <w:szCs w:val="24"/>
        </w:rPr>
      </w:pPr>
    </w:p>
    <w:p w14:paraId="470CA0BA" w14:textId="23D24709" w:rsidR="003D0269" w:rsidRPr="005D3E24" w:rsidRDefault="00604D02">
      <w:pPr>
        <w:rPr>
          <w:rFonts w:ascii="Times New Roman" w:hAnsi="Times New Roman" w:cs="Times New Roman"/>
          <w:bCs/>
          <w:i/>
          <w:sz w:val="24"/>
          <w:szCs w:val="24"/>
        </w:rPr>
      </w:pPr>
      <w:r w:rsidRPr="005D3E24">
        <w:rPr>
          <w:rFonts w:ascii="Times New Roman" w:hAnsi="Times New Roman" w:cs="Times New Roman"/>
          <w:bCs/>
          <w:i/>
          <w:sz w:val="24"/>
          <w:szCs w:val="24"/>
        </w:rPr>
        <w:t>Upper secondary education and VET</w:t>
      </w:r>
    </w:p>
    <w:p w14:paraId="025880F0" w14:textId="2A185F78" w:rsidR="003D0269" w:rsidRPr="005D3E24" w:rsidRDefault="00604D02" w:rsidP="00246EA6">
      <w:pPr>
        <w:spacing w:after="0" w:line="480" w:lineRule="auto"/>
        <w:jc w:val="both"/>
        <w:rPr>
          <w:rFonts w:ascii="Times New Roman" w:hAnsi="Times New Roman" w:cs="Times New Roman"/>
          <w:sz w:val="24"/>
          <w:szCs w:val="24"/>
        </w:rPr>
      </w:pPr>
      <w:r w:rsidRPr="005D3E24">
        <w:rPr>
          <w:rFonts w:ascii="Times New Roman" w:hAnsi="Times New Roman" w:cs="Times New Roman"/>
          <w:sz w:val="24"/>
          <w:szCs w:val="24"/>
        </w:rPr>
        <w:t xml:space="preserve">The main features of the current system were introduced in 1992. They clearly reflected the dominant paradigm of the time, which favoured a clean break with the socialist era. To be more precise, this break was with </w:t>
      </w:r>
      <w:r w:rsidRPr="005D3E24">
        <w:rPr>
          <w:rFonts w:ascii="Times New Roman" w:hAnsi="Times New Roman" w:cs="Times New Roman"/>
          <w:i/>
          <w:iCs/>
          <w:sz w:val="24"/>
          <w:szCs w:val="24"/>
        </w:rPr>
        <w:t>the late socialist era</w:t>
      </w:r>
      <w:r w:rsidRPr="005D3E24">
        <w:rPr>
          <w:rFonts w:ascii="Times New Roman" w:hAnsi="Times New Roman" w:cs="Times New Roman"/>
          <w:sz w:val="24"/>
          <w:szCs w:val="24"/>
        </w:rPr>
        <w:t xml:space="preserve">, since the system set up in 1992 closely resembles the one put into place by the earlier socialist reform of 1958. After eight years of compulsory education, </w:t>
      </w:r>
      <w:r w:rsidR="00491E49" w:rsidRPr="005D3E24">
        <w:rPr>
          <w:rFonts w:ascii="Times New Roman" w:hAnsi="Times New Roman" w:cs="Times New Roman"/>
          <w:sz w:val="24"/>
          <w:szCs w:val="24"/>
        </w:rPr>
        <w:t>most</w:t>
      </w:r>
      <w:r w:rsidRPr="005D3E24">
        <w:rPr>
          <w:rFonts w:ascii="Times New Roman" w:hAnsi="Times New Roman" w:cs="Times New Roman"/>
          <w:sz w:val="24"/>
          <w:szCs w:val="24"/>
        </w:rPr>
        <w:t xml:space="preserve"> students choose </w:t>
      </w:r>
      <w:r w:rsidR="00437AE4" w:rsidRPr="005D3E24">
        <w:rPr>
          <w:rFonts w:ascii="Times New Roman" w:hAnsi="Times New Roman" w:cs="Times New Roman"/>
          <w:sz w:val="24"/>
          <w:szCs w:val="24"/>
        </w:rPr>
        <w:t>from</w:t>
      </w:r>
      <w:r w:rsidR="004F610B" w:rsidRPr="005D3E24">
        <w:rPr>
          <w:rFonts w:ascii="Times New Roman" w:hAnsi="Times New Roman" w:cs="Times New Roman"/>
          <w:sz w:val="24"/>
          <w:szCs w:val="24"/>
        </w:rPr>
        <w:t xml:space="preserve"> </w:t>
      </w:r>
      <w:r w:rsidRPr="005D3E24">
        <w:rPr>
          <w:rFonts w:ascii="Times New Roman" w:hAnsi="Times New Roman" w:cs="Times New Roman"/>
          <w:sz w:val="24"/>
          <w:szCs w:val="24"/>
        </w:rPr>
        <w:t>three main</w:t>
      </w:r>
      <w:r w:rsidR="004F610B" w:rsidRPr="005D3E24">
        <w:rPr>
          <w:rFonts w:ascii="Times New Roman" w:hAnsi="Times New Roman" w:cs="Times New Roman"/>
          <w:sz w:val="24"/>
          <w:szCs w:val="24"/>
        </w:rPr>
        <w:t xml:space="preserve"> </w:t>
      </w:r>
      <w:r w:rsidR="00CE0BC4">
        <w:rPr>
          <w:rFonts w:ascii="Times New Roman" w:hAnsi="Times New Roman" w:cs="Times New Roman"/>
          <w:sz w:val="24"/>
          <w:szCs w:val="24"/>
        </w:rPr>
        <w:t>track</w:t>
      </w:r>
      <w:r w:rsidR="00437AE4" w:rsidRPr="005D3E24">
        <w:rPr>
          <w:rFonts w:ascii="Times New Roman" w:hAnsi="Times New Roman" w:cs="Times New Roman"/>
          <w:sz w:val="24"/>
          <w:szCs w:val="24"/>
        </w:rPr>
        <w:t>s</w:t>
      </w:r>
      <w:r w:rsidRPr="005D3E24">
        <w:rPr>
          <w:rFonts w:ascii="Times New Roman" w:hAnsi="Times New Roman" w:cs="Times New Roman"/>
          <w:sz w:val="24"/>
          <w:szCs w:val="24"/>
        </w:rPr>
        <w:t xml:space="preserve">, which differ considerably in prestige and social selectivity </w:t>
      </w:r>
      <w:bookmarkStart w:id="30" w:name="__Fieldmark__468_131419714"/>
      <w:r w:rsidRPr="005D3E24">
        <w:rPr>
          <w:rFonts w:ascii="Times New Roman" w:hAnsi="Times New Roman" w:cs="Times New Roman"/>
          <w:sz w:val="24"/>
          <w:szCs w:val="24"/>
        </w:rPr>
        <w:t>(</w:t>
      </w:r>
      <w:bookmarkStart w:id="31" w:name="__Fieldmark__439_2097806078"/>
      <w:r w:rsidRPr="005D3E24">
        <w:rPr>
          <w:rFonts w:ascii="Times New Roman" w:hAnsi="Times New Roman" w:cs="Times New Roman"/>
          <w:sz w:val="24"/>
          <w:szCs w:val="24"/>
        </w:rPr>
        <w:t>B</w:t>
      </w:r>
      <w:bookmarkStart w:id="32" w:name="__Fieldmark__324_241477822"/>
      <w:r w:rsidRPr="005D3E24">
        <w:rPr>
          <w:rFonts w:ascii="Times New Roman" w:hAnsi="Times New Roman" w:cs="Times New Roman"/>
          <w:sz w:val="24"/>
          <w:szCs w:val="24"/>
        </w:rPr>
        <w:t>u</w:t>
      </w:r>
      <w:bookmarkStart w:id="33" w:name="__Fieldmark__4314_374039044"/>
      <w:r w:rsidRPr="005D3E24">
        <w:rPr>
          <w:rFonts w:ascii="Times New Roman" w:hAnsi="Times New Roman" w:cs="Times New Roman"/>
          <w:sz w:val="24"/>
          <w:szCs w:val="24"/>
        </w:rPr>
        <w:t>ković &amp; Matković 2018; Matković et al. 2013)</w:t>
      </w:r>
      <w:bookmarkEnd w:id="30"/>
      <w:bookmarkEnd w:id="31"/>
      <w:bookmarkEnd w:id="32"/>
      <w:bookmarkEnd w:id="33"/>
      <w:r w:rsidRPr="005D3E24">
        <w:rPr>
          <w:rFonts w:ascii="Times New Roman" w:hAnsi="Times New Roman" w:cs="Times New Roman"/>
          <w:sz w:val="24"/>
          <w:szCs w:val="24"/>
        </w:rPr>
        <w:t xml:space="preserve">, duration, horizontal </w:t>
      </w:r>
      <w:r w:rsidRPr="005D3E24">
        <w:rPr>
          <w:rFonts w:ascii="Times New Roman" w:hAnsi="Times New Roman" w:cs="Times New Roman"/>
          <w:sz w:val="24"/>
          <w:szCs w:val="24"/>
        </w:rPr>
        <w:lastRenderedPageBreak/>
        <w:t xml:space="preserve">differentiation, vocational specificity, approach to workplace training, labour market linkages, and vertical permeability </w:t>
      </w:r>
      <w:bookmarkStart w:id="34" w:name="__Fieldmark__483_131419714"/>
      <w:r w:rsidRPr="005D3E24">
        <w:rPr>
          <w:rFonts w:ascii="Times New Roman" w:hAnsi="Times New Roman" w:cs="Times New Roman"/>
          <w:sz w:val="24"/>
          <w:szCs w:val="24"/>
        </w:rPr>
        <w:t>(</w:t>
      </w:r>
      <w:bookmarkStart w:id="35" w:name="__Fieldmark__450_2097806078"/>
      <w:r w:rsidRPr="005D3E24">
        <w:rPr>
          <w:rFonts w:ascii="Times New Roman" w:hAnsi="Times New Roman" w:cs="Times New Roman"/>
          <w:sz w:val="24"/>
          <w:szCs w:val="24"/>
        </w:rPr>
        <w:t>M</w:t>
      </w:r>
      <w:bookmarkStart w:id="36" w:name="__Fieldmark__331_241477822"/>
      <w:r w:rsidRPr="005D3E24">
        <w:rPr>
          <w:rFonts w:ascii="Times New Roman" w:hAnsi="Times New Roman" w:cs="Times New Roman"/>
          <w:sz w:val="24"/>
          <w:szCs w:val="24"/>
        </w:rPr>
        <w:t>a</w:t>
      </w:r>
      <w:bookmarkStart w:id="37" w:name="__Fieldmark__4323_374039044"/>
      <w:r w:rsidRPr="005D3E24">
        <w:rPr>
          <w:rFonts w:ascii="Times New Roman" w:hAnsi="Times New Roman" w:cs="Times New Roman"/>
          <w:sz w:val="24"/>
          <w:szCs w:val="24"/>
        </w:rPr>
        <w:t>tković 2011)</w:t>
      </w:r>
      <w:bookmarkEnd w:id="34"/>
      <w:bookmarkEnd w:id="35"/>
      <w:bookmarkEnd w:id="36"/>
      <w:bookmarkEnd w:id="37"/>
      <w:r w:rsidRPr="005D3E24">
        <w:rPr>
          <w:rFonts w:ascii="Times New Roman" w:hAnsi="Times New Roman" w:cs="Times New Roman"/>
          <w:sz w:val="24"/>
          <w:szCs w:val="24"/>
        </w:rPr>
        <w:t>. The most selective — accounting for 29</w:t>
      </w:r>
      <w:r w:rsidR="00903362" w:rsidRPr="005D3E24">
        <w:rPr>
          <w:rFonts w:ascii="Times New Roman" w:hAnsi="Times New Roman" w:cs="Times New Roman"/>
          <w:sz w:val="24"/>
          <w:szCs w:val="24"/>
        </w:rPr>
        <w:t xml:space="preserve"> per cent</w:t>
      </w:r>
      <w:r w:rsidRPr="005D3E24">
        <w:rPr>
          <w:rFonts w:ascii="Times New Roman" w:hAnsi="Times New Roman" w:cs="Times New Roman"/>
          <w:sz w:val="24"/>
          <w:szCs w:val="24"/>
        </w:rPr>
        <w:t xml:space="preserve"> of entrants in the year 2019/2020 — is the general secondary, or grammar school,</w:t>
      </w:r>
      <w:r w:rsidR="004F610B" w:rsidRPr="005D3E24">
        <w:rPr>
          <w:rFonts w:ascii="Times New Roman" w:hAnsi="Times New Roman" w:cs="Times New Roman"/>
          <w:sz w:val="24"/>
          <w:szCs w:val="24"/>
        </w:rPr>
        <w:t xml:space="preserve"> </w:t>
      </w:r>
      <w:r w:rsidR="00CE0BC4">
        <w:rPr>
          <w:rFonts w:ascii="Times New Roman" w:hAnsi="Times New Roman" w:cs="Times New Roman"/>
          <w:sz w:val="24"/>
          <w:szCs w:val="24"/>
        </w:rPr>
        <w:t>track</w:t>
      </w:r>
      <w:r w:rsidRPr="005D3E24">
        <w:rPr>
          <w:rFonts w:ascii="Times New Roman" w:hAnsi="Times New Roman" w:cs="Times New Roman"/>
          <w:sz w:val="24"/>
          <w:szCs w:val="24"/>
        </w:rPr>
        <w:t xml:space="preserve">. This </w:t>
      </w:r>
      <w:r w:rsidR="00CE0BC4">
        <w:rPr>
          <w:rFonts w:ascii="Times New Roman" w:hAnsi="Times New Roman" w:cs="Times New Roman"/>
          <w:sz w:val="24"/>
          <w:szCs w:val="24"/>
        </w:rPr>
        <w:t>track</w:t>
      </w:r>
      <w:r w:rsidR="00437AE4" w:rsidRPr="005D3E24">
        <w:rPr>
          <w:rFonts w:ascii="Times New Roman" w:hAnsi="Times New Roman" w:cs="Times New Roman"/>
          <w:sz w:val="24"/>
          <w:szCs w:val="24"/>
        </w:rPr>
        <w:t xml:space="preserve"> </w:t>
      </w:r>
      <w:r w:rsidRPr="005D3E24">
        <w:rPr>
          <w:rFonts w:ascii="Times New Roman" w:hAnsi="Times New Roman" w:cs="Times New Roman"/>
          <w:sz w:val="24"/>
          <w:szCs w:val="24"/>
        </w:rPr>
        <w:t>concludes with a matriculation exam (</w:t>
      </w:r>
      <w:r w:rsidRPr="005D3E24">
        <w:rPr>
          <w:rFonts w:ascii="Times New Roman" w:hAnsi="Times New Roman" w:cs="Times New Roman"/>
          <w:i/>
          <w:sz w:val="24"/>
          <w:szCs w:val="24"/>
        </w:rPr>
        <w:t>matura</w:t>
      </w:r>
      <w:r w:rsidRPr="005D3E24">
        <w:rPr>
          <w:rFonts w:ascii="Times New Roman" w:hAnsi="Times New Roman" w:cs="Times New Roman"/>
          <w:sz w:val="24"/>
          <w:szCs w:val="24"/>
        </w:rPr>
        <w:t>), with 87–88</w:t>
      </w:r>
      <w:r w:rsidR="00903362" w:rsidRPr="005D3E24">
        <w:rPr>
          <w:rFonts w:ascii="Times New Roman" w:hAnsi="Times New Roman" w:cs="Times New Roman"/>
          <w:sz w:val="24"/>
          <w:szCs w:val="24"/>
        </w:rPr>
        <w:t xml:space="preserve"> per cent</w:t>
      </w:r>
      <w:r w:rsidRPr="005D3E24">
        <w:rPr>
          <w:rFonts w:ascii="Times New Roman" w:hAnsi="Times New Roman" w:cs="Times New Roman"/>
          <w:sz w:val="24"/>
          <w:szCs w:val="24"/>
        </w:rPr>
        <w:t xml:space="preserve"> of graduates entering higher education </w:t>
      </w:r>
      <w:r w:rsidR="00015214">
        <w:rPr>
          <w:rFonts w:ascii="Times New Roman" w:hAnsi="Times New Roman" w:cs="Times New Roman"/>
          <w:sz w:val="24"/>
          <w:szCs w:val="24"/>
        </w:rPr>
        <w:t xml:space="preserve">(HE) </w:t>
      </w:r>
      <w:r w:rsidRPr="005D3E24">
        <w:rPr>
          <w:rFonts w:ascii="Times New Roman" w:hAnsi="Times New Roman" w:cs="Times New Roman"/>
          <w:sz w:val="24"/>
          <w:szCs w:val="24"/>
        </w:rPr>
        <w:t xml:space="preserve">outright </w:t>
      </w:r>
      <w:bookmarkStart w:id="38" w:name="__Fieldmark__506_131419714"/>
      <w:r w:rsidRPr="005D3E24">
        <w:rPr>
          <w:rFonts w:ascii="Times New Roman" w:hAnsi="Times New Roman" w:cs="Times New Roman"/>
          <w:sz w:val="24"/>
          <w:szCs w:val="24"/>
        </w:rPr>
        <w:t>(Šabić 2019)</w:t>
      </w:r>
      <w:bookmarkStart w:id="39" w:name="__Fieldmark__4358_374039044"/>
      <w:bookmarkStart w:id="40" w:name="__Fieldmark__469_2097806078"/>
      <w:bookmarkStart w:id="41" w:name="__Fieldmark__345_241477822"/>
      <w:bookmarkEnd w:id="38"/>
      <w:bookmarkEnd w:id="39"/>
      <w:bookmarkEnd w:id="40"/>
      <w:bookmarkEnd w:id="41"/>
      <w:r w:rsidRPr="005D3E24">
        <w:rPr>
          <w:rFonts w:ascii="Times New Roman" w:hAnsi="Times New Roman" w:cs="Times New Roman"/>
          <w:sz w:val="24"/>
          <w:szCs w:val="24"/>
        </w:rPr>
        <w:t xml:space="preserve">.  The other two </w:t>
      </w:r>
      <w:r w:rsidR="00CE0BC4">
        <w:rPr>
          <w:rFonts w:ascii="Times New Roman" w:hAnsi="Times New Roman" w:cs="Times New Roman"/>
          <w:sz w:val="24"/>
          <w:szCs w:val="24"/>
        </w:rPr>
        <w:t>track</w:t>
      </w:r>
      <w:r w:rsidR="00437AE4" w:rsidRPr="005D3E24">
        <w:rPr>
          <w:rFonts w:ascii="Times New Roman" w:hAnsi="Times New Roman" w:cs="Times New Roman"/>
          <w:sz w:val="24"/>
          <w:szCs w:val="24"/>
        </w:rPr>
        <w:t>s</w:t>
      </w:r>
      <w:r w:rsidRPr="005D3E24">
        <w:rPr>
          <w:rFonts w:ascii="Times New Roman" w:hAnsi="Times New Roman" w:cs="Times New Roman"/>
          <w:sz w:val="24"/>
          <w:szCs w:val="24"/>
        </w:rPr>
        <w:t xml:space="preserve"> are vocational.</w:t>
      </w:r>
    </w:p>
    <w:p w14:paraId="185724AC" w14:textId="664024AA" w:rsidR="003D0269" w:rsidRPr="005D3E24" w:rsidRDefault="00604D02" w:rsidP="005D3E24">
      <w:pPr>
        <w:spacing w:after="0" w:line="480" w:lineRule="auto"/>
        <w:ind w:firstLine="284"/>
        <w:jc w:val="both"/>
        <w:rPr>
          <w:rFonts w:ascii="Times New Roman" w:hAnsi="Times New Roman" w:cs="Times New Roman"/>
          <w:sz w:val="24"/>
          <w:szCs w:val="24"/>
        </w:rPr>
      </w:pPr>
      <w:r w:rsidRPr="005D3E24">
        <w:rPr>
          <w:rFonts w:ascii="Times New Roman" w:hAnsi="Times New Roman" w:cs="Times New Roman"/>
          <w:sz w:val="24"/>
          <w:szCs w:val="24"/>
        </w:rPr>
        <w:t>The first group of VET programmes takes four years</w:t>
      </w:r>
      <w:r w:rsidR="00B550AB" w:rsidRPr="005D3E24">
        <w:rPr>
          <w:rFonts w:ascii="Times New Roman" w:hAnsi="Times New Roman" w:cs="Times New Roman"/>
          <w:sz w:val="24"/>
          <w:szCs w:val="24"/>
        </w:rPr>
        <w:t xml:space="preserve"> (five in </w:t>
      </w:r>
      <w:r w:rsidR="00437AE4" w:rsidRPr="005D3E24">
        <w:rPr>
          <w:rFonts w:ascii="Times New Roman" w:hAnsi="Times New Roman" w:cs="Times New Roman"/>
          <w:sz w:val="24"/>
          <w:szCs w:val="24"/>
        </w:rPr>
        <w:t xml:space="preserve">the </w:t>
      </w:r>
      <w:r w:rsidR="00B550AB" w:rsidRPr="005D3E24">
        <w:rPr>
          <w:rFonts w:ascii="Times New Roman" w:hAnsi="Times New Roman" w:cs="Times New Roman"/>
          <w:sz w:val="24"/>
          <w:szCs w:val="24"/>
        </w:rPr>
        <w:t>medical field)</w:t>
      </w:r>
      <w:r w:rsidRPr="005D3E24">
        <w:rPr>
          <w:rFonts w:ascii="Times New Roman" w:hAnsi="Times New Roman" w:cs="Times New Roman"/>
          <w:sz w:val="24"/>
          <w:szCs w:val="24"/>
        </w:rPr>
        <w:t xml:space="preserve"> and prepares entrants for a group of occupations whose practitioners are usually referred to as ‘technicians’. This is the </w:t>
      </w:r>
      <w:r w:rsidR="00CE0BC4">
        <w:rPr>
          <w:rFonts w:ascii="Times New Roman" w:hAnsi="Times New Roman" w:cs="Times New Roman"/>
          <w:sz w:val="24"/>
          <w:szCs w:val="24"/>
        </w:rPr>
        <w:t>largest track</w:t>
      </w:r>
      <w:r w:rsidR="00437AE4" w:rsidRPr="005D3E24">
        <w:rPr>
          <w:rFonts w:ascii="Times New Roman" w:hAnsi="Times New Roman" w:cs="Times New Roman"/>
          <w:sz w:val="24"/>
          <w:szCs w:val="24"/>
        </w:rPr>
        <w:t xml:space="preserve"> </w:t>
      </w:r>
      <w:r w:rsidRPr="005D3E24">
        <w:rPr>
          <w:rFonts w:ascii="Times New Roman" w:hAnsi="Times New Roman" w:cs="Times New Roman"/>
          <w:sz w:val="24"/>
          <w:szCs w:val="24"/>
        </w:rPr>
        <w:t>overall (accounting for 44</w:t>
      </w:r>
      <w:r w:rsidR="00903362" w:rsidRPr="005D3E24">
        <w:rPr>
          <w:rFonts w:ascii="Times New Roman" w:hAnsi="Times New Roman" w:cs="Times New Roman"/>
          <w:sz w:val="24"/>
          <w:szCs w:val="24"/>
        </w:rPr>
        <w:t xml:space="preserve"> per cent</w:t>
      </w:r>
      <w:r w:rsidRPr="005D3E24">
        <w:rPr>
          <w:rFonts w:ascii="Times New Roman" w:hAnsi="Times New Roman" w:cs="Times New Roman"/>
          <w:sz w:val="24"/>
          <w:szCs w:val="24"/>
        </w:rPr>
        <w:t xml:space="preserve"> of the enrolments in 2019/20) and it represents a middle ground between general education and pure VET, with the curricula containing a significant share of general content during the first two years. These curricula usually entail no, or very little, workplace learning (up to two weeks, often only in the final years of study). There is also no standardi</w:t>
      </w:r>
      <w:r w:rsidR="001E2F26">
        <w:rPr>
          <w:rFonts w:ascii="Times New Roman" w:hAnsi="Times New Roman" w:cs="Times New Roman"/>
          <w:sz w:val="24"/>
          <w:szCs w:val="24"/>
        </w:rPr>
        <w:t>z</w:t>
      </w:r>
      <w:r w:rsidRPr="005D3E24">
        <w:rPr>
          <w:rFonts w:ascii="Times New Roman" w:hAnsi="Times New Roman" w:cs="Times New Roman"/>
          <w:sz w:val="24"/>
          <w:szCs w:val="24"/>
        </w:rPr>
        <w:t>ation in terms of execution, monitoring, or pupil-employer matching regarding workplace learning. Such programmes are prevalent in sectors such as</w:t>
      </w:r>
      <w:r w:rsidR="00437AE4" w:rsidRPr="005D3E24">
        <w:rPr>
          <w:rFonts w:ascii="Times New Roman" w:hAnsi="Times New Roman" w:cs="Times New Roman"/>
          <w:sz w:val="24"/>
          <w:szCs w:val="24"/>
        </w:rPr>
        <w:t xml:space="preserve"> economics</w:t>
      </w:r>
      <w:r w:rsidRPr="005D3E24">
        <w:rPr>
          <w:rFonts w:ascii="Times New Roman" w:hAnsi="Times New Roman" w:cs="Times New Roman"/>
          <w:sz w:val="24"/>
          <w:szCs w:val="24"/>
        </w:rPr>
        <w:t xml:space="preserve">, electronics and engineering, health, and hospitality. This </w:t>
      </w:r>
      <w:r w:rsidR="00CE0BC4">
        <w:rPr>
          <w:rFonts w:ascii="Times New Roman" w:hAnsi="Times New Roman" w:cs="Times New Roman"/>
          <w:sz w:val="24"/>
          <w:szCs w:val="24"/>
        </w:rPr>
        <w:t>track</w:t>
      </w:r>
      <w:r w:rsidR="00437AE4" w:rsidRPr="005D3E24">
        <w:rPr>
          <w:rFonts w:ascii="Times New Roman" w:hAnsi="Times New Roman" w:cs="Times New Roman"/>
          <w:sz w:val="24"/>
          <w:szCs w:val="24"/>
        </w:rPr>
        <w:t xml:space="preserve"> </w:t>
      </w:r>
      <w:r w:rsidRPr="005D3E24">
        <w:rPr>
          <w:rFonts w:ascii="Times New Roman" w:hAnsi="Times New Roman" w:cs="Times New Roman"/>
          <w:sz w:val="24"/>
          <w:szCs w:val="24"/>
        </w:rPr>
        <w:t>has a hybrid nature since, apart from providing vocational credentials, it allows students to apply for a matriculation exam and enter any tertiary education program</w:t>
      </w:r>
      <w:r w:rsidR="00437AE4" w:rsidRPr="005D3E24">
        <w:rPr>
          <w:rFonts w:ascii="Times New Roman" w:hAnsi="Times New Roman" w:cs="Times New Roman"/>
          <w:sz w:val="24"/>
          <w:szCs w:val="24"/>
        </w:rPr>
        <w:t>me</w:t>
      </w:r>
      <w:r w:rsidRPr="005D3E24">
        <w:rPr>
          <w:rFonts w:ascii="Times New Roman" w:hAnsi="Times New Roman" w:cs="Times New Roman"/>
          <w:sz w:val="24"/>
          <w:szCs w:val="24"/>
        </w:rPr>
        <w:t>. Many do; 43–45</w:t>
      </w:r>
      <w:r w:rsidR="00903362" w:rsidRPr="005D3E24">
        <w:rPr>
          <w:rFonts w:ascii="Times New Roman" w:hAnsi="Times New Roman" w:cs="Times New Roman"/>
          <w:sz w:val="24"/>
          <w:szCs w:val="24"/>
        </w:rPr>
        <w:t xml:space="preserve"> per cent</w:t>
      </w:r>
      <w:r w:rsidRPr="005D3E24">
        <w:rPr>
          <w:rFonts w:ascii="Times New Roman" w:hAnsi="Times New Roman" w:cs="Times New Roman"/>
          <w:sz w:val="24"/>
          <w:szCs w:val="24"/>
        </w:rPr>
        <w:t xml:space="preserve"> of the 2015–17 cohort of technical education graduates (and as many as 56</w:t>
      </w:r>
      <w:r w:rsidR="00903362" w:rsidRPr="005D3E24">
        <w:rPr>
          <w:rFonts w:ascii="Times New Roman" w:hAnsi="Times New Roman" w:cs="Times New Roman"/>
          <w:sz w:val="24"/>
          <w:szCs w:val="24"/>
        </w:rPr>
        <w:t xml:space="preserve"> per cent</w:t>
      </w:r>
      <w:r w:rsidRPr="005D3E24">
        <w:rPr>
          <w:rFonts w:ascii="Times New Roman" w:hAnsi="Times New Roman" w:cs="Times New Roman"/>
          <w:sz w:val="24"/>
          <w:szCs w:val="24"/>
        </w:rPr>
        <w:t xml:space="preserve"> of economics course graduates) immediately enrolled in </w:t>
      </w:r>
      <w:r w:rsidR="00015214">
        <w:rPr>
          <w:rFonts w:ascii="Times New Roman" w:hAnsi="Times New Roman" w:cs="Times New Roman"/>
          <w:sz w:val="24"/>
          <w:szCs w:val="24"/>
        </w:rPr>
        <w:t>HE</w:t>
      </w:r>
      <w:r w:rsidRPr="005D3E24">
        <w:rPr>
          <w:rFonts w:ascii="Times New Roman" w:hAnsi="Times New Roman" w:cs="Times New Roman"/>
          <w:sz w:val="24"/>
          <w:szCs w:val="24"/>
        </w:rPr>
        <w:t xml:space="preserve"> after graduation </w:t>
      </w:r>
      <w:bookmarkStart w:id="42" w:name="__Fieldmark__544_131419714"/>
      <w:r w:rsidRPr="005D3E24">
        <w:rPr>
          <w:rFonts w:ascii="Times New Roman" w:hAnsi="Times New Roman" w:cs="Times New Roman"/>
          <w:sz w:val="24"/>
          <w:szCs w:val="24"/>
        </w:rPr>
        <w:t>(Šabić 2019)</w:t>
      </w:r>
      <w:bookmarkStart w:id="43" w:name="__Fieldmark__4495_374039044"/>
      <w:bookmarkStart w:id="44" w:name="__Fieldmark__374_241477822"/>
      <w:bookmarkStart w:id="45" w:name="__Fieldmark__504_2097806078"/>
      <w:bookmarkEnd w:id="42"/>
      <w:bookmarkEnd w:id="43"/>
      <w:bookmarkEnd w:id="44"/>
      <w:bookmarkEnd w:id="45"/>
      <w:r w:rsidRPr="005D3E24">
        <w:rPr>
          <w:rFonts w:ascii="Times New Roman" w:hAnsi="Times New Roman" w:cs="Times New Roman"/>
          <w:sz w:val="24"/>
          <w:szCs w:val="24"/>
        </w:rPr>
        <w:t>.</w:t>
      </w:r>
    </w:p>
    <w:p w14:paraId="3EB11C72" w14:textId="6BBB652A" w:rsidR="001E2F26" w:rsidRDefault="00604D02" w:rsidP="005D3E24">
      <w:pPr>
        <w:spacing w:after="0" w:line="480" w:lineRule="auto"/>
        <w:ind w:firstLine="284"/>
        <w:jc w:val="both"/>
        <w:rPr>
          <w:rFonts w:ascii="Times New Roman" w:hAnsi="Times New Roman" w:cs="Times New Roman"/>
          <w:sz w:val="24"/>
          <w:szCs w:val="24"/>
        </w:rPr>
      </w:pPr>
      <w:r w:rsidRPr="005D3E24">
        <w:rPr>
          <w:rFonts w:ascii="Times New Roman" w:hAnsi="Times New Roman" w:cs="Times New Roman"/>
          <w:sz w:val="24"/>
          <w:szCs w:val="24"/>
        </w:rPr>
        <w:t xml:space="preserve">The lower tier of VET programmes in Croatia lasts just three years. It could be qualified as purely vocational with a high degree of vocational specificity, a strong practical orientation, very narrow general curriculum and no direct access to tertiary education or a matriculation exam </w:t>
      </w:r>
      <w:bookmarkStart w:id="46" w:name="__Fieldmark__571_131419714"/>
      <w:r w:rsidRPr="005D3E24">
        <w:rPr>
          <w:rFonts w:ascii="Times New Roman" w:hAnsi="Times New Roman" w:cs="Times New Roman"/>
          <w:sz w:val="24"/>
          <w:szCs w:val="24"/>
        </w:rPr>
        <w:t>(Buković 2019; Matković et al. 2013)</w:t>
      </w:r>
      <w:bookmarkStart w:id="47" w:name="__Fieldmark__384_241477822"/>
      <w:bookmarkStart w:id="48" w:name="__Fieldmark__528_2097806078"/>
      <w:bookmarkStart w:id="49" w:name="__Fieldmark__4520_374039044"/>
      <w:bookmarkEnd w:id="46"/>
      <w:bookmarkEnd w:id="47"/>
      <w:bookmarkEnd w:id="48"/>
      <w:bookmarkEnd w:id="49"/>
      <w:r w:rsidRPr="005D3E24">
        <w:rPr>
          <w:rFonts w:ascii="Times New Roman" w:hAnsi="Times New Roman" w:cs="Times New Roman"/>
          <w:sz w:val="24"/>
          <w:szCs w:val="24"/>
        </w:rPr>
        <w:t xml:space="preserve">. This </w:t>
      </w:r>
      <w:r w:rsidR="00CE0BC4">
        <w:rPr>
          <w:rFonts w:ascii="Times New Roman" w:hAnsi="Times New Roman" w:cs="Times New Roman"/>
          <w:sz w:val="24"/>
          <w:szCs w:val="24"/>
        </w:rPr>
        <w:t>track</w:t>
      </w:r>
      <w:r w:rsidR="0000612A" w:rsidRPr="005D3E24">
        <w:rPr>
          <w:rFonts w:ascii="Times New Roman" w:hAnsi="Times New Roman" w:cs="Times New Roman"/>
          <w:sz w:val="24"/>
          <w:szCs w:val="24"/>
        </w:rPr>
        <w:t xml:space="preserve"> </w:t>
      </w:r>
      <w:r w:rsidRPr="005D3E24">
        <w:rPr>
          <w:rFonts w:ascii="Times New Roman" w:hAnsi="Times New Roman" w:cs="Times New Roman"/>
          <w:sz w:val="24"/>
          <w:szCs w:val="24"/>
        </w:rPr>
        <w:t>is in long-term decline, shrinking from 39 to 24</w:t>
      </w:r>
      <w:r w:rsidR="00903362" w:rsidRPr="005D3E24">
        <w:rPr>
          <w:rFonts w:ascii="Times New Roman" w:hAnsi="Times New Roman" w:cs="Times New Roman"/>
          <w:sz w:val="24"/>
          <w:szCs w:val="24"/>
        </w:rPr>
        <w:t xml:space="preserve"> per cent</w:t>
      </w:r>
      <w:r w:rsidRPr="005D3E24">
        <w:rPr>
          <w:rFonts w:ascii="Times New Roman" w:hAnsi="Times New Roman" w:cs="Times New Roman"/>
          <w:sz w:val="24"/>
          <w:szCs w:val="24"/>
        </w:rPr>
        <w:t xml:space="preserve"> of overall enrolment between 1999 and 2019 (Figure 2); the available places in three-year VET programmes are rarely filled </w:t>
      </w:r>
      <w:bookmarkStart w:id="50" w:name="__Fieldmark__616_131419714"/>
      <w:r w:rsidRPr="005D3E24">
        <w:rPr>
          <w:rFonts w:ascii="Times New Roman" w:hAnsi="Times New Roman" w:cs="Times New Roman"/>
          <w:sz w:val="24"/>
          <w:szCs w:val="24"/>
        </w:rPr>
        <w:t>(</w:t>
      </w:r>
      <w:r w:rsidR="00491E49" w:rsidRPr="005D3E24">
        <w:rPr>
          <w:rFonts w:ascii="Times New Roman" w:hAnsi="Times New Roman" w:cs="Times New Roman"/>
          <w:sz w:val="24"/>
          <w:szCs w:val="24"/>
        </w:rPr>
        <w:t>Christia</w:t>
      </w:r>
      <w:r w:rsidR="00491E49">
        <w:rPr>
          <w:rFonts w:ascii="Times New Roman" w:hAnsi="Times New Roman" w:cs="Times New Roman"/>
          <w:sz w:val="24"/>
          <w:szCs w:val="24"/>
        </w:rPr>
        <w:t>e</w:t>
      </w:r>
      <w:r w:rsidR="00491E49" w:rsidRPr="005D3E24">
        <w:rPr>
          <w:rFonts w:ascii="Times New Roman" w:hAnsi="Times New Roman" w:cs="Times New Roman"/>
          <w:sz w:val="24"/>
          <w:szCs w:val="24"/>
        </w:rPr>
        <w:t>nsen</w:t>
      </w:r>
      <w:r w:rsidRPr="005D3E24">
        <w:rPr>
          <w:rFonts w:ascii="Times New Roman" w:hAnsi="Times New Roman" w:cs="Times New Roman"/>
          <w:sz w:val="24"/>
          <w:szCs w:val="24"/>
        </w:rPr>
        <w:t xml:space="preserve"> et al. 2019)</w:t>
      </w:r>
      <w:bookmarkStart w:id="51" w:name="__Fieldmark__405_241477822"/>
      <w:bookmarkStart w:id="52" w:name="__Fieldmark__4578_374039044"/>
      <w:bookmarkStart w:id="53" w:name="__Fieldmark__572_2097806078"/>
      <w:bookmarkEnd w:id="50"/>
      <w:bookmarkEnd w:id="51"/>
      <w:bookmarkEnd w:id="52"/>
      <w:bookmarkEnd w:id="53"/>
      <w:r w:rsidRPr="005D3E24">
        <w:rPr>
          <w:rFonts w:ascii="Times New Roman" w:hAnsi="Times New Roman" w:cs="Times New Roman"/>
          <w:sz w:val="24"/>
          <w:szCs w:val="24"/>
        </w:rPr>
        <w:t xml:space="preserve">. There are two sub-groups within this </w:t>
      </w:r>
      <w:r w:rsidR="00CE0BC4">
        <w:rPr>
          <w:rFonts w:ascii="Times New Roman" w:hAnsi="Times New Roman" w:cs="Times New Roman"/>
          <w:sz w:val="24"/>
          <w:szCs w:val="24"/>
        </w:rPr>
        <w:lastRenderedPageBreak/>
        <w:t>track</w:t>
      </w:r>
      <w:r w:rsidRPr="005D3E24">
        <w:rPr>
          <w:rFonts w:ascii="Times New Roman" w:hAnsi="Times New Roman" w:cs="Times New Roman"/>
          <w:sz w:val="24"/>
          <w:szCs w:val="24"/>
        </w:rPr>
        <w:t xml:space="preserve">. In one, students are trained for skilled occupations. The other sub-group provides a workforce for retail and industry. Workplace learning is far more prevalent within the skilled trades segment. The decline in the upper-secondary education cohort size began in the late 1990s. Yet, until 2011, the 3-year VET </w:t>
      </w:r>
      <w:r w:rsidR="00CE0BC4">
        <w:rPr>
          <w:rFonts w:ascii="Times New Roman" w:hAnsi="Times New Roman" w:cs="Times New Roman"/>
          <w:sz w:val="24"/>
          <w:szCs w:val="24"/>
        </w:rPr>
        <w:t>track</w:t>
      </w:r>
      <w:r w:rsidR="00922BBC" w:rsidRPr="005D3E24">
        <w:rPr>
          <w:rFonts w:ascii="Times New Roman" w:hAnsi="Times New Roman" w:cs="Times New Roman"/>
          <w:sz w:val="24"/>
          <w:szCs w:val="24"/>
        </w:rPr>
        <w:t xml:space="preserve"> </w:t>
      </w:r>
      <w:r w:rsidRPr="005D3E24">
        <w:rPr>
          <w:rFonts w:ascii="Times New Roman" w:hAnsi="Times New Roman" w:cs="Times New Roman"/>
          <w:sz w:val="24"/>
          <w:szCs w:val="24"/>
        </w:rPr>
        <w:t>bore the brunt of this decline — dropping from 21.0 to 13.5 thousand entrants. As the entrant cohort size continued to decline over the 2010s, the sharp contraction within the 3-year vocational track has continued (from 13.5 in 2011 to 9.2 in 2020). This time around, however, some decline in enrolment has also appeared in the technical (22.1 to 17.6) and gymnasium (13.6 to 11.1) programmes.</w:t>
      </w:r>
    </w:p>
    <w:p w14:paraId="7D998E19" w14:textId="661B419D" w:rsidR="003D0269" w:rsidRPr="005D3E24" w:rsidRDefault="00604D02" w:rsidP="005D3E24">
      <w:pPr>
        <w:spacing w:after="0" w:line="480" w:lineRule="auto"/>
        <w:ind w:firstLine="284"/>
        <w:jc w:val="both"/>
        <w:rPr>
          <w:rFonts w:ascii="Times New Roman" w:hAnsi="Times New Roman" w:cs="Times New Roman"/>
          <w:sz w:val="24"/>
          <w:szCs w:val="24"/>
        </w:rPr>
      </w:pPr>
      <w:r w:rsidRPr="005D3E24">
        <w:rPr>
          <w:rFonts w:ascii="Times New Roman" w:hAnsi="Times New Roman" w:cs="Times New Roman"/>
          <w:sz w:val="24"/>
          <w:szCs w:val="24"/>
        </w:rPr>
        <w:t xml:space="preserve"> </w:t>
      </w:r>
    </w:p>
    <w:p w14:paraId="06ED4900" w14:textId="0F24DBCB" w:rsidR="003D0269" w:rsidRPr="005D3E24" w:rsidRDefault="00604D02">
      <w:pPr>
        <w:rPr>
          <w:rFonts w:ascii="Times New Roman" w:hAnsi="Times New Roman" w:cs="Times New Roman"/>
          <w:sz w:val="24"/>
          <w:szCs w:val="24"/>
        </w:rPr>
      </w:pPr>
      <w:r w:rsidRPr="005D3E24">
        <w:rPr>
          <w:rFonts w:ascii="Times New Roman" w:hAnsi="Times New Roman" w:cs="Times New Roman"/>
          <w:sz w:val="24"/>
          <w:szCs w:val="24"/>
        </w:rPr>
        <w:t xml:space="preserve">Figure 1: Enrolment in upper secondary education </w:t>
      </w:r>
      <w:r w:rsidR="00CE0BC4">
        <w:rPr>
          <w:rFonts w:ascii="Times New Roman" w:hAnsi="Times New Roman" w:cs="Times New Roman"/>
          <w:sz w:val="24"/>
          <w:szCs w:val="24"/>
        </w:rPr>
        <w:t>track</w:t>
      </w:r>
      <w:r w:rsidR="00922BBC" w:rsidRPr="005D3E24">
        <w:rPr>
          <w:rFonts w:ascii="Times New Roman" w:hAnsi="Times New Roman" w:cs="Times New Roman"/>
          <w:sz w:val="24"/>
          <w:szCs w:val="24"/>
        </w:rPr>
        <w:t>s</w:t>
      </w:r>
      <w:r w:rsidRPr="005D3E24">
        <w:rPr>
          <w:rFonts w:ascii="Times New Roman" w:hAnsi="Times New Roman" w:cs="Times New Roman"/>
          <w:sz w:val="24"/>
          <w:szCs w:val="24"/>
        </w:rPr>
        <w:t>, 1998–2020</w:t>
      </w:r>
    </w:p>
    <w:p w14:paraId="58163879" w14:textId="6A0F0D69" w:rsidR="003D0269" w:rsidRPr="005D3E24" w:rsidRDefault="00C23245">
      <w:pPr>
        <w:rPr>
          <w:rFonts w:ascii="Times New Roman" w:hAnsi="Times New Roman" w:cs="Times New Roman"/>
          <w:sz w:val="24"/>
          <w:szCs w:val="24"/>
        </w:rPr>
      </w:pPr>
      <w:r w:rsidRPr="005D3E24">
        <w:rPr>
          <w:rFonts w:ascii="Times New Roman" w:hAnsi="Times New Roman" w:cs="Times New Roman"/>
          <w:noProof/>
          <w:sz w:val="24"/>
          <w:szCs w:val="24"/>
          <w:lang w:val="hr-HR" w:eastAsia="hr-HR"/>
        </w:rPr>
        <w:drawing>
          <wp:inline distT="0" distB="0" distL="0" distR="0" wp14:anchorId="6417E725" wp14:editId="3347B05D">
            <wp:extent cx="5994216" cy="3657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16864" cy="3671419"/>
                    </a:xfrm>
                    <a:prstGeom prst="rect">
                      <a:avLst/>
                    </a:prstGeom>
                    <a:noFill/>
                  </pic:spPr>
                </pic:pic>
              </a:graphicData>
            </a:graphic>
          </wp:inline>
        </w:drawing>
      </w:r>
    </w:p>
    <w:p w14:paraId="678171FD" w14:textId="665AE053" w:rsidR="003D0269" w:rsidRPr="005D3E24" w:rsidRDefault="00604D02">
      <w:pPr>
        <w:rPr>
          <w:rFonts w:ascii="Times New Roman" w:hAnsi="Times New Roman" w:cs="Times New Roman"/>
          <w:sz w:val="24"/>
          <w:szCs w:val="24"/>
        </w:rPr>
      </w:pPr>
      <w:r w:rsidRPr="005D3E24">
        <w:rPr>
          <w:rFonts w:ascii="Times New Roman" w:hAnsi="Times New Roman" w:cs="Times New Roman"/>
          <w:sz w:val="24"/>
          <w:szCs w:val="24"/>
        </w:rPr>
        <w:t>Sources: CBS first releases ‘Upper secondary schools</w:t>
      </w:r>
      <w:r w:rsidR="001E2F26">
        <w:rPr>
          <w:rFonts w:ascii="Times New Roman" w:hAnsi="Times New Roman" w:cs="Times New Roman"/>
          <w:sz w:val="24"/>
          <w:szCs w:val="24"/>
        </w:rPr>
        <w:t>.</w:t>
      </w:r>
      <w:r w:rsidRPr="005D3E24">
        <w:rPr>
          <w:rFonts w:ascii="Times New Roman" w:hAnsi="Times New Roman" w:cs="Times New Roman"/>
          <w:sz w:val="24"/>
          <w:szCs w:val="24"/>
        </w:rPr>
        <w:t xml:space="preserve">’ Apprenticeships: CCTC statistical reports (up to 2012), </w:t>
      </w:r>
      <w:r w:rsidRPr="005D3E24">
        <w:rPr>
          <w:rFonts w:ascii="Times New Roman" w:hAnsi="Times New Roman" w:cs="Times New Roman"/>
          <w:i/>
          <w:sz w:val="24"/>
          <w:szCs w:val="24"/>
        </w:rPr>
        <w:t xml:space="preserve">Školski e-rudnik (since 2013). </w:t>
      </w:r>
    </w:p>
    <w:p w14:paraId="6BFEF6A9" w14:textId="77777777" w:rsidR="003D0269" w:rsidRPr="005D3E24" w:rsidRDefault="00604D02">
      <w:pPr>
        <w:rPr>
          <w:rFonts w:ascii="Times New Roman" w:hAnsi="Times New Roman" w:cs="Times New Roman"/>
          <w:sz w:val="24"/>
          <w:szCs w:val="24"/>
        </w:rPr>
      </w:pPr>
      <w:r w:rsidRPr="005D3E24">
        <w:rPr>
          <w:rFonts w:ascii="Times New Roman" w:hAnsi="Times New Roman" w:cs="Times New Roman"/>
          <w:sz w:val="24"/>
          <w:szCs w:val="24"/>
        </w:rPr>
        <w:t>Note: first-year entrants, no repeaters. Regular art and design programmes displayed among technical schools. Special needs education track not displayed.</w:t>
      </w:r>
    </w:p>
    <w:p w14:paraId="2F49A5FC" w14:textId="77777777" w:rsidR="003D0269" w:rsidRPr="005D3E24" w:rsidRDefault="003D0269">
      <w:pPr>
        <w:rPr>
          <w:rFonts w:ascii="Times New Roman" w:hAnsi="Times New Roman" w:cs="Times New Roman"/>
          <w:sz w:val="24"/>
          <w:szCs w:val="24"/>
        </w:rPr>
      </w:pPr>
    </w:p>
    <w:p w14:paraId="3771804D" w14:textId="74B22B63" w:rsidR="003D0269" w:rsidRPr="005D3E24" w:rsidRDefault="00604D02" w:rsidP="005D3E24">
      <w:pPr>
        <w:spacing w:after="0" w:line="480" w:lineRule="auto"/>
        <w:ind w:firstLine="284"/>
        <w:jc w:val="both"/>
        <w:rPr>
          <w:rFonts w:ascii="Times New Roman" w:hAnsi="Times New Roman" w:cs="Times New Roman"/>
          <w:sz w:val="24"/>
          <w:szCs w:val="24"/>
        </w:rPr>
      </w:pPr>
      <w:r w:rsidRPr="005D3E24">
        <w:rPr>
          <w:rFonts w:ascii="Times New Roman" w:hAnsi="Times New Roman" w:cs="Times New Roman"/>
          <w:sz w:val="24"/>
          <w:szCs w:val="24"/>
        </w:rPr>
        <w:t xml:space="preserve">On the output side, the number of pupils graduating annually from 3-year vocational </w:t>
      </w:r>
      <w:r w:rsidR="00CE0BC4">
        <w:rPr>
          <w:rFonts w:ascii="Times New Roman" w:hAnsi="Times New Roman" w:cs="Times New Roman"/>
          <w:sz w:val="24"/>
          <w:szCs w:val="24"/>
        </w:rPr>
        <w:t>track</w:t>
      </w:r>
      <w:r w:rsidR="00E5736F" w:rsidRPr="005D3E24">
        <w:rPr>
          <w:rFonts w:ascii="Times New Roman" w:hAnsi="Times New Roman" w:cs="Times New Roman"/>
          <w:sz w:val="24"/>
          <w:szCs w:val="24"/>
        </w:rPr>
        <w:t xml:space="preserve">s </w:t>
      </w:r>
      <w:r w:rsidRPr="005D3E24">
        <w:rPr>
          <w:rFonts w:ascii="Times New Roman" w:hAnsi="Times New Roman" w:cs="Times New Roman"/>
          <w:sz w:val="24"/>
          <w:szCs w:val="24"/>
        </w:rPr>
        <w:t xml:space="preserve">declined from 20.4 to 8.4 thousand between 1999 and 2019. Over the same period, the decline in the number of graduates was lower for technical </w:t>
      </w:r>
      <w:r w:rsidR="00CE0BC4">
        <w:rPr>
          <w:rFonts w:ascii="Times New Roman" w:hAnsi="Times New Roman" w:cs="Times New Roman"/>
          <w:sz w:val="24"/>
          <w:szCs w:val="24"/>
        </w:rPr>
        <w:t>track</w:t>
      </w:r>
      <w:r w:rsidR="00E5736F" w:rsidRPr="005D3E24">
        <w:rPr>
          <w:rFonts w:ascii="Times New Roman" w:hAnsi="Times New Roman" w:cs="Times New Roman"/>
          <w:sz w:val="24"/>
          <w:szCs w:val="24"/>
        </w:rPr>
        <w:t xml:space="preserve">s </w:t>
      </w:r>
      <w:r w:rsidRPr="005D3E24">
        <w:rPr>
          <w:rFonts w:ascii="Times New Roman" w:hAnsi="Times New Roman" w:cs="Times New Roman"/>
          <w:sz w:val="24"/>
          <w:szCs w:val="24"/>
        </w:rPr>
        <w:t xml:space="preserve">(19.3 to 17.4 thousand) and stagnant for gymnasium </w:t>
      </w:r>
      <w:r w:rsidR="00CE0BC4">
        <w:rPr>
          <w:rFonts w:ascii="Times New Roman" w:hAnsi="Times New Roman" w:cs="Times New Roman"/>
          <w:sz w:val="24"/>
          <w:szCs w:val="24"/>
        </w:rPr>
        <w:t>track</w:t>
      </w:r>
      <w:r w:rsidR="00E5736F" w:rsidRPr="005D3E24">
        <w:rPr>
          <w:rFonts w:ascii="Times New Roman" w:hAnsi="Times New Roman" w:cs="Times New Roman"/>
          <w:sz w:val="24"/>
          <w:szCs w:val="24"/>
        </w:rPr>
        <w:t xml:space="preserve">s </w:t>
      </w:r>
      <w:r w:rsidRPr="005D3E24">
        <w:rPr>
          <w:rFonts w:ascii="Times New Roman" w:hAnsi="Times New Roman" w:cs="Times New Roman"/>
          <w:sz w:val="24"/>
          <w:szCs w:val="24"/>
        </w:rPr>
        <w:t xml:space="preserve">(11.9 to 12.0 thousand), with some </w:t>
      </w:r>
      <w:r w:rsidR="00E5736F" w:rsidRPr="005D3E24">
        <w:rPr>
          <w:rFonts w:ascii="Times New Roman" w:hAnsi="Times New Roman" w:cs="Times New Roman"/>
          <w:sz w:val="24"/>
          <w:szCs w:val="24"/>
        </w:rPr>
        <w:t xml:space="preserve">contraction occurring after </w:t>
      </w:r>
      <w:r w:rsidRPr="005D3E24">
        <w:rPr>
          <w:rFonts w:ascii="Times New Roman" w:hAnsi="Times New Roman" w:cs="Times New Roman"/>
          <w:sz w:val="24"/>
          <w:szCs w:val="24"/>
        </w:rPr>
        <w:t>2016. Consequently, while the share of upper secondary graduates completing vocati</w:t>
      </w:r>
      <w:r w:rsidR="00903362" w:rsidRPr="005D3E24">
        <w:rPr>
          <w:rFonts w:ascii="Times New Roman" w:hAnsi="Times New Roman" w:cs="Times New Roman"/>
          <w:sz w:val="24"/>
          <w:szCs w:val="24"/>
        </w:rPr>
        <w:t>onal education declined from 77</w:t>
      </w:r>
      <w:r w:rsidRPr="005D3E24">
        <w:rPr>
          <w:rFonts w:ascii="Times New Roman" w:hAnsi="Times New Roman" w:cs="Times New Roman"/>
          <w:sz w:val="24"/>
          <w:szCs w:val="24"/>
        </w:rPr>
        <w:t xml:space="preserve"> </w:t>
      </w:r>
      <w:r w:rsidR="00246EA6">
        <w:rPr>
          <w:rFonts w:ascii="Times New Roman" w:hAnsi="Times New Roman" w:cs="Times New Roman"/>
          <w:sz w:val="24"/>
          <w:szCs w:val="24"/>
        </w:rPr>
        <w:t xml:space="preserve">per cent </w:t>
      </w:r>
      <w:r w:rsidRPr="005D3E24">
        <w:rPr>
          <w:rFonts w:ascii="Times New Roman" w:hAnsi="Times New Roman" w:cs="Times New Roman"/>
          <w:sz w:val="24"/>
          <w:szCs w:val="24"/>
        </w:rPr>
        <w:t>to 68</w:t>
      </w:r>
      <w:r w:rsidR="00903362" w:rsidRPr="005D3E24">
        <w:rPr>
          <w:rFonts w:ascii="Times New Roman" w:hAnsi="Times New Roman" w:cs="Times New Roman"/>
          <w:sz w:val="24"/>
          <w:szCs w:val="24"/>
        </w:rPr>
        <w:t xml:space="preserve"> per cent</w:t>
      </w:r>
      <w:r w:rsidRPr="005D3E24">
        <w:rPr>
          <w:rFonts w:ascii="Times New Roman" w:hAnsi="Times New Roman" w:cs="Times New Roman"/>
          <w:sz w:val="24"/>
          <w:szCs w:val="24"/>
        </w:rPr>
        <w:t xml:space="preserve"> of the cohort, the share of purely vocational three-year VET graduates </w:t>
      </w:r>
      <w:r w:rsidR="00E5736F" w:rsidRPr="005D3E24">
        <w:rPr>
          <w:rFonts w:ascii="Times New Roman" w:hAnsi="Times New Roman" w:cs="Times New Roman"/>
          <w:sz w:val="24"/>
          <w:szCs w:val="24"/>
        </w:rPr>
        <w:t xml:space="preserve">almost halved </w:t>
      </w:r>
      <w:r w:rsidR="00903362" w:rsidRPr="005D3E24">
        <w:rPr>
          <w:rFonts w:ascii="Times New Roman" w:hAnsi="Times New Roman" w:cs="Times New Roman"/>
          <w:sz w:val="24"/>
          <w:szCs w:val="24"/>
        </w:rPr>
        <w:t xml:space="preserve">from 40 </w:t>
      </w:r>
      <w:r w:rsidR="00246EA6">
        <w:rPr>
          <w:rFonts w:ascii="Times New Roman" w:hAnsi="Times New Roman" w:cs="Times New Roman"/>
          <w:sz w:val="24"/>
          <w:szCs w:val="24"/>
        </w:rPr>
        <w:t xml:space="preserve">per cent </w:t>
      </w:r>
      <w:r w:rsidR="00903362" w:rsidRPr="005D3E24">
        <w:rPr>
          <w:rFonts w:ascii="Times New Roman" w:hAnsi="Times New Roman" w:cs="Times New Roman"/>
          <w:sz w:val="24"/>
          <w:szCs w:val="24"/>
        </w:rPr>
        <w:t>to 22 per cent</w:t>
      </w:r>
      <w:r w:rsidRPr="005D3E24">
        <w:rPr>
          <w:rFonts w:ascii="Times New Roman" w:hAnsi="Times New Roman" w:cs="Times New Roman"/>
          <w:sz w:val="24"/>
          <w:szCs w:val="24"/>
        </w:rPr>
        <w:t>.</w:t>
      </w:r>
    </w:p>
    <w:p w14:paraId="1853D5F4" w14:textId="77777777" w:rsidR="003D0269" w:rsidRPr="005D3E24" w:rsidRDefault="003D0269">
      <w:pPr>
        <w:rPr>
          <w:rFonts w:ascii="Times New Roman" w:hAnsi="Times New Roman" w:cs="Times New Roman"/>
          <w:sz w:val="24"/>
          <w:szCs w:val="24"/>
        </w:rPr>
      </w:pPr>
    </w:p>
    <w:p w14:paraId="6343AC28" w14:textId="71E18E25" w:rsidR="003D0269" w:rsidRPr="005D3E24" w:rsidRDefault="00604D02">
      <w:pPr>
        <w:spacing w:after="240"/>
        <w:rPr>
          <w:rFonts w:ascii="Times New Roman" w:hAnsi="Times New Roman" w:cs="Times New Roman"/>
          <w:i/>
          <w:sz w:val="24"/>
          <w:szCs w:val="24"/>
        </w:rPr>
      </w:pPr>
      <w:r w:rsidRPr="005D3E24">
        <w:rPr>
          <w:rFonts w:ascii="Times New Roman" w:hAnsi="Times New Roman" w:cs="Times New Roman"/>
          <w:i/>
          <w:sz w:val="24"/>
          <w:szCs w:val="24"/>
        </w:rPr>
        <w:t>Higher education</w:t>
      </w:r>
    </w:p>
    <w:p w14:paraId="3630756A" w14:textId="6C0EB133" w:rsidR="003D0269" w:rsidRPr="005D3E24" w:rsidRDefault="00604D02" w:rsidP="005D3E24">
      <w:pPr>
        <w:spacing w:after="0" w:line="480" w:lineRule="auto"/>
        <w:jc w:val="both"/>
        <w:rPr>
          <w:rFonts w:ascii="Times New Roman" w:hAnsi="Times New Roman" w:cs="Times New Roman"/>
          <w:sz w:val="24"/>
          <w:szCs w:val="24"/>
        </w:rPr>
      </w:pPr>
      <w:r w:rsidRPr="005D3E24">
        <w:rPr>
          <w:rFonts w:ascii="Times New Roman" w:hAnsi="Times New Roman" w:cs="Times New Roman"/>
          <w:sz w:val="24"/>
          <w:szCs w:val="24"/>
        </w:rPr>
        <w:t xml:space="preserve">Higher education was the last segment of the Croatian education system to be reformed during the transition. The Act on Higher Education Institutions (AHEI) </w:t>
      </w:r>
      <w:r w:rsidR="00F717C9" w:rsidRPr="005D3E24">
        <w:rPr>
          <w:rFonts w:ascii="Times New Roman" w:hAnsi="Times New Roman" w:cs="Times New Roman"/>
          <w:sz w:val="24"/>
          <w:szCs w:val="24"/>
        </w:rPr>
        <w:t xml:space="preserve">was fully implemented </w:t>
      </w:r>
      <w:r w:rsidR="00CC7AEB" w:rsidRPr="005D3E24">
        <w:rPr>
          <w:rFonts w:ascii="Times New Roman" w:hAnsi="Times New Roman" w:cs="Times New Roman"/>
          <w:sz w:val="24"/>
          <w:szCs w:val="24"/>
        </w:rPr>
        <w:t xml:space="preserve">only </w:t>
      </w:r>
      <w:r w:rsidR="00F717C9" w:rsidRPr="005D3E24">
        <w:rPr>
          <w:rFonts w:ascii="Times New Roman" w:hAnsi="Times New Roman" w:cs="Times New Roman"/>
          <w:sz w:val="24"/>
          <w:szCs w:val="24"/>
        </w:rPr>
        <w:t xml:space="preserve">in </w:t>
      </w:r>
      <w:r w:rsidRPr="005D3E24">
        <w:rPr>
          <w:rFonts w:ascii="Times New Roman" w:hAnsi="Times New Roman" w:cs="Times New Roman"/>
          <w:sz w:val="24"/>
          <w:szCs w:val="24"/>
        </w:rPr>
        <w:t>1995. Based on the constitutional guarantee of autonomy for universities, academic self-management (i.e., the ability to determine their own programmes, rules, and criteria) was guaranteed to higher education institutions (HEI). Tertiary education was re-established as a binary single</w:t>
      </w:r>
      <w:r w:rsidR="000C0E12">
        <w:rPr>
          <w:rFonts w:ascii="Times New Roman" w:hAnsi="Times New Roman" w:cs="Times New Roman"/>
          <w:sz w:val="24"/>
          <w:szCs w:val="24"/>
        </w:rPr>
        <w:t xml:space="preserve"> </w:t>
      </w:r>
      <w:r w:rsidRPr="005D3E24">
        <w:rPr>
          <w:rFonts w:ascii="Times New Roman" w:hAnsi="Times New Roman" w:cs="Times New Roman"/>
          <w:sz w:val="24"/>
          <w:szCs w:val="24"/>
        </w:rPr>
        <w:t xml:space="preserve">cycle ‘diploma’ system, with strongly separated academic and professional </w:t>
      </w:r>
      <w:r w:rsidR="00E57C8B" w:rsidRPr="005D3E24">
        <w:rPr>
          <w:rFonts w:ascii="Times New Roman" w:hAnsi="Times New Roman" w:cs="Times New Roman"/>
          <w:sz w:val="24"/>
          <w:szCs w:val="24"/>
        </w:rPr>
        <w:t xml:space="preserve">tertiary education (PTE) </w:t>
      </w:r>
      <w:r w:rsidRPr="005D3E24">
        <w:rPr>
          <w:rFonts w:ascii="Times New Roman" w:hAnsi="Times New Roman" w:cs="Times New Roman"/>
          <w:sz w:val="24"/>
          <w:szCs w:val="24"/>
        </w:rPr>
        <w:t>tracks. Unlike the pre-transition regulations, workplace-based training or involvement of firms was not mentioned in the AHEI, while connection to the labour market was mentioned only via the notion that programmes ought to be ‘appropriate to needs of employers</w:t>
      </w:r>
      <w:r w:rsidR="000C0E12">
        <w:rPr>
          <w:rFonts w:ascii="Times New Roman" w:hAnsi="Times New Roman" w:cs="Times New Roman"/>
          <w:sz w:val="24"/>
          <w:szCs w:val="24"/>
        </w:rPr>
        <w:t>.</w:t>
      </w:r>
      <w:r w:rsidRPr="005D3E24">
        <w:rPr>
          <w:rFonts w:ascii="Times New Roman" w:hAnsi="Times New Roman" w:cs="Times New Roman"/>
          <w:sz w:val="24"/>
          <w:szCs w:val="24"/>
        </w:rPr>
        <w:t xml:space="preserve">’ </w:t>
      </w:r>
    </w:p>
    <w:p w14:paraId="7C153926" w14:textId="3E98A2E3" w:rsidR="003D0269" w:rsidRPr="005D3E24" w:rsidRDefault="00604D02" w:rsidP="005D3E24">
      <w:pPr>
        <w:spacing w:after="0" w:line="480" w:lineRule="auto"/>
        <w:ind w:firstLine="284"/>
        <w:jc w:val="both"/>
        <w:rPr>
          <w:rFonts w:ascii="Times New Roman" w:hAnsi="Times New Roman" w:cs="Times New Roman"/>
          <w:sz w:val="24"/>
          <w:szCs w:val="24"/>
        </w:rPr>
      </w:pPr>
      <w:r w:rsidRPr="005D3E24">
        <w:rPr>
          <w:rFonts w:ascii="Times New Roman" w:hAnsi="Times New Roman" w:cs="Times New Roman"/>
          <w:sz w:val="24"/>
          <w:szCs w:val="24"/>
        </w:rPr>
        <w:t xml:space="preserve">The more comprehensive Act on Scientific Activity and Higher Education was introduced in 2003 and </w:t>
      </w:r>
      <w:r w:rsidR="00FE2644" w:rsidRPr="005D3E24">
        <w:rPr>
          <w:rFonts w:ascii="Times New Roman" w:hAnsi="Times New Roman" w:cs="Times New Roman"/>
          <w:sz w:val="24"/>
          <w:szCs w:val="24"/>
        </w:rPr>
        <w:t xml:space="preserve">remains </w:t>
      </w:r>
      <w:r w:rsidRPr="005D3E24">
        <w:rPr>
          <w:rFonts w:ascii="Times New Roman" w:hAnsi="Times New Roman" w:cs="Times New Roman"/>
          <w:sz w:val="24"/>
          <w:szCs w:val="24"/>
        </w:rPr>
        <w:t>in force as of 2020. With respect to linkages with employers, the only remaining vestige of the fundamental principles was the ‘unity of professional and education work for the purpose of training for specific professional knowledge and skills</w:t>
      </w:r>
      <w:r w:rsidR="000C0E12">
        <w:rPr>
          <w:rFonts w:ascii="Times New Roman" w:hAnsi="Times New Roman" w:cs="Times New Roman"/>
          <w:sz w:val="24"/>
          <w:szCs w:val="24"/>
        </w:rPr>
        <w:t>.</w:t>
      </w:r>
      <w:r w:rsidRPr="005D3E24">
        <w:rPr>
          <w:rFonts w:ascii="Times New Roman" w:hAnsi="Times New Roman" w:cs="Times New Roman"/>
          <w:sz w:val="24"/>
          <w:szCs w:val="24"/>
        </w:rPr>
        <w:t xml:space="preserve">’ Neither the labour market nor employers are otherwise mentioned, indicating a significant decoupling from the labour market. </w:t>
      </w:r>
      <w:r w:rsidRPr="005D3E24">
        <w:rPr>
          <w:rFonts w:ascii="Times New Roman" w:hAnsi="Times New Roman" w:cs="Times New Roman"/>
          <w:sz w:val="24"/>
          <w:szCs w:val="24"/>
        </w:rPr>
        <w:lastRenderedPageBreak/>
        <w:t xml:space="preserve">However, this Act also set up the groundwork for the implementation of the Bologna sequential study regime (Bachelor – BA / Master MA) starting in 2005, and for an external assessment and accreditation process. </w:t>
      </w:r>
    </w:p>
    <w:p w14:paraId="240DD6F9" w14:textId="2D4B347A" w:rsidR="000C0E12" w:rsidRDefault="00604D02" w:rsidP="000C0E12">
      <w:pPr>
        <w:spacing w:after="0" w:line="480" w:lineRule="auto"/>
        <w:ind w:firstLine="284"/>
        <w:jc w:val="both"/>
        <w:rPr>
          <w:rFonts w:ascii="Times New Roman" w:hAnsi="Times New Roman" w:cs="Times New Roman"/>
          <w:sz w:val="24"/>
          <w:szCs w:val="24"/>
        </w:rPr>
      </w:pPr>
      <w:r w:rsidRPr="005D3E24">
        <w:rPr>
          <w:rFonts w:ascii="Times New Roman" w:hAnsi="Times New Roman" w:cs="Times New Roman"/>
          <w:sz w:val="24"/>
          <w:szCs w:val="24"/>
        </w:rPr>
        <w:t xml:space="preserve">The Agency for Science and Higher Education </w:t>
      </w:r>
      <w:r w:rsidR="00B51188" w:rsidRPr="005D3E24">
        <w:rPr>
          <w:rFonts w:ascii="Times New Roman" w:hAnsi="Times New Roman" w:cs="Times New Roman"/>
          <w:sz w:val="24"/>
          <w:szCs w:val="24"/>
        </w:rPr>
        <w:t xml:space="preserve">(ASHE) </w:t>
      </w:r>
      <w:r w:rsidR="00FE2644" w:rsidRPr="005D3E24">
        <w:rPr>
          <w:rFonts w:ascii="Times New Roman" w:hAnsi="Times New Roman" w:cs="Times New Roman"/>
          <w:sz w:val="24"/>
          <w:szCs w:val="24"/>
        </w:rPr>
        <w:t xml:space="preserve">has had responsibility for </w:t>
      </w:r>
      <w:r w:rsidRPr="005D3E24">
        <w:rPr>
          <w:rFonts w:ascii="Times New Roman" w:hAnsi="Times New Roman" w:cs="Times New Roman"/>
          <w:sz w:val="24"/>
          <w:szCs w:val="24"/>
        </w:rPr>
        <w:t xml:space="preserve">the HEI assessment since 2010. An overview of the 2010–2016 cycle </w:t>
      </w:r>
      <w:bookmarkStart w:id="54" w:name="__Fieldmark__747_131419714"/>
      <w:bookmarkStart w:id="55" w:name="__Fieldmark__696_2097806078"/>
      <w:bookmarkStart w:id="56" w:name="__Fieldmark__483_241477822"/>
      <w:bookmarkEnd w:id="54"/>
      <w:bookmarkEnd w:id="55"/>
      <w:bookmarkEnd w:id="56"/>
      <w:r w:rsidRPr="005D3E24">
        <w:rPr>
          <w:rFonts w:ascii="Times New Roman" w:hAnsi="Times New Roman" w:cs="Times New Roman"/>
          <w:sz w:val="24"/>
          <w:szCs w:val="24"/>
        </w:rPr>
        <w:t>(Petrušić 201</w:t>
      </w:r>
      <w:bookmarkStart w:id="57" w:name="__Fieldmark__4920_374039044"/>
      <w:bookmarkEnd w:id="57"/>
      <w:r w:rsidRPr="005D3E24">
        <w:rPr>
          <w:rFonts w:ascii="Times New Roman" w:hAnsi="Times New Roman" w:cs="Times New Roman"/>
          <w:sz w:val="24"/>
          <w:szCs w:val="24"/>
        </w:rPr>
        <w:t>7), indicated the weak to non-existent involvement of labour market stakeholders (institutions or firms) in strategic planning, quality assurance, and revision of study programmes. Internships and practical work were sporadic, and the assessment of labour market needs, alumni organi</w:t>
      </w:r>
      <w:r w:rsidR="000C0E12">
        <w:rPr>
          <w:rFonts w:ascii="Times New Roman" w:hAnsi="Times New Roman" w:cs="Times New Roman"/>
          <w:sz w:val="24"/>
          <w:szCs w:val="24"/>
        </w:rPr>
        <w:t>z</w:t>
      </w:r>
      <w:r w:rsidRPr="005D3E24">
        <w:rPr>
          <w:rFonts w:ascii="Times New Roman" w:hAnsi="Times New Roman" w:cs="Times New Roman"/>
          <w:sz w:val="24"/>
          <w:szCs w:val="24"/>
        </w:rPr>
        <w:t xml:space="preserve">ations, and graduate tracking practices were virtually non-existent. This is </w:t>
      </w:r>
      <w:r w:rsidR="006A7E88" w:rsidRPr="005D3E24">
        <w:rPr>
          <w:rFonts w:ascii="Times New Roman" w:hAnsi="Times New Roman" w:cs="Times New Roman"/>
          <w:sz w:val="24"/>
          <w:szCs w:val="24"/>
        </w:rPr>
        <w:t xml:space="preserve">common </w:t>
      </w:r>
      <w:r w:rsidRPr="005D3E24">
        <w:rPr>
          <w:rFonts w:ascii="Times New Roman" w:hAnsi="Times New Roman" w:cs="Times New Roman"/>
          <w:sz w:val="24"/>
          <w:szCs w:val="24"/>
        </w:rPr>
        <w:t xml:space="preserve">to assessments regardless of field of study or type of institution. Many appeals have been made in the assessments for institutions to formalise cooperation with industry. Yet the conclusions of the National Committee for Professional Higher Education Excellence (NCPHEE) state its main strength as </w:t>
      </w:r>
    </w:p>
    <w:p w14:paraId="37D51ECF" w14:textId="09F6A105" w:rsidR="000C0E12" w:rsidRDefault="00CE0BC4" w:rsidP="000C0E12">
      <w:pPr>
        <w:spacing w:after="0" w:line="240" w:lineRule="auto"/>
        <w:ind w:left="284" w:right="284"/>
        <w:jc w:val="both"/>
        <w:rPr>
          <w:rFonts w:ascii="Times New Roman" w:hAnsi="Times New Roman" w:cs="Times New Roman"/>
          <w:sz w:val="24"/>
          <w:szCs w:val="24"/>
        </w:rPr>
      </w:pPr>
      <w:r w:rsidRPr="00552319">
        <w:rPr>
          <w:rFonts w:ascii="Times New Roman" w:hAnsi="Times New Roman"/>
          <w:sz w:val="24"/>
        </w:rPr>
        <w:t xml:space="preserve">the well-established link between PHE and the world of work seen through the fact that programmes are developed in cooperation with </w:t>
      </w:r>
      <w:r w:rsidRPr="001C1F16">
        <w:t>the world of work</w:t>
      </w:r>
      <w:r w:rsidRPr="00552319">
        <w:rPr>
          <w:rFonts w:ascii="Times New Roman" w:hAnsi="Times New Roman"/>
          <w:sz w:val="24"/>
        </w:rPr>
        <w:t xml:space="preserve"> and the education process is connected with practical exercises. The perception of </w:t>
      </w:r>
      <w:r w:rsidRPr="001C1F16">
        <w:t xml:space="preserve">the world of work </w:t>
      </w:r>
      <w:r w:rsidRPr="00552319">
        <w:rPr>
          <w:rFonts w:ascii="Times New Roman" w:hAnsi="Times New Roman"/>
          <w:sz w:val="24"/>
        </w:rPr>
        <w:t xml:space="preserve">regarding PHE students’ competences is </w:t>
      </w:r>
      <w:r w:rsidRPr="001C1F16">
        <w:t>positive</w:t>
      </w:r>
      <w:r w:rsidR="00604D02" w:rsidRPr="005D3E24">
        <w:rPr>
          <w:rFonts w:ascii="Times New Roman" w:hAnsi="Times New Roman" w:cs="Times New Roman"/>
          <w:sz w:val="24"/>
          <w:szCs w:val="24"/>
        </w:rPr>
        <w:t xml:space="preserve"> </w:t>
      </w:r>
      <w:bookmarkStart w:id="58" w:name="__Fieldmark__770_131419714"/>
      <w:r w:rsidR="00604D02" w:rsidRPr="005D3E24">
        <w:rPr>
          <w:rFonts w:ascii="Times New Roman" w:hAnsi="Times New Roman" w:cs="Times New Roman"/>
          <w:sz w:val="24"/>
          <w:szCs w:val="24"/>
        </w:rPr>
        <w:t>(Poličnik et al. 2017</w:t>
      </w:r>
      <w:r w:rsidR="000C0E12">
        <w:rPr>
          <w:rFonts w:ascii="Times New Roman" w:hAnsi="Times New Roman" w:cs="Times New Roman"/>
          <w:sz w:val="24"/>
          <w:szCs w:val="24"/>
        </w:rPr>
        <w:t>,</w:t>
      </w:r>
      <w:r w:rsidR="00604D02" w:rsidRPr="005D3E24">
        <w:rPr>
          <w:rFonts w:ascii="Times New Roman" w:hAnsi="Times New Roman" w:cs="Times New Roman"/>
          <w:sz w:val="24"/>
          <w:szCs w:val="24"/>
        </w:rPr>
        <w:t xml:space="preserve"> 14)</w:t>
      </w:r>
      <w:bookmarkStart w:id="59" w:name="__Fieldmark__4981_374039044"/>
      <w:bookmarkStart w:id="60" w:name="__Fieldmark__495_241477822"/>
      <w:bookmarkStart w:id="61" w:name="__Fieldmark__713_2097806078"/>
      <w:bookmarkEnd w:id="58"/>
      <w:bookmarkEnd w:id="59"/>
      <w:bookmarkEnd w:id="60"/>
      <w:bookmarkEnd w:id="61"/>
      <w:r w:rsidR="00604D02" w:rsidRPr="005D3E24">
        <w:rPr>
          <w:rFonts w:ascii="Times New Roman" w:hAnsi="Times New Roman" w:cs="Times New Roman"/>
          <w:sz w:val="24"/>
          <w:szCs w:val="24"/>
        </w:rPr>
        <w:t>.</w:t>
      </w:r>
    </w:p>
    <w:p w14:paraId="3CBD9657" w14:textId="77777777" w:rsidR="000C0E12" w:rsidRDefault="000C0E12" w:rsidP="005D3E24">
      <w:pPr>
        <w:spacing w:after="0" w:line="240" w:lineRule="auto"/>
        <w:ind w:left="284" w:right="284"/>
        <w:jc w:val="both"/>
        <w:rPr>
          <w:rFonts w:ascii="Times New Roman" w:hAnsi="Times New Roman" w:cs="Times New Roman"/>
          <w:sz w:val="24"/>
          <w:szCs w:val="24"/>
        </w:rPr>
      </w:pPr>
    </w:p>
    <w:p w14:paraId="53CC4306" w14:textId="390286F1" w:rsidR="003D0269" w:rsidRPr="005D3E24" w:rsidRDefault="00604D02" w:rsidP="00491E49">
      <w:pPr>
        <w:spacing w:after="0" w:line="480" w:lineRule="auto"/>
        <w:ind w:firstLine="284"/>
        <w:jc w:val="both"/>
        <w:rPr>
          <w:rFonts w:ascii="Times New Roman" w:hAnsi="Times New Roman" w:cs="Times New Roman"/>
          <w:sz w:val="24"/>
          <w:szCs w:val="24"/>
        </w:rPr>
      </w:pPr>
      <w:r w:rsidRPr="005D3E24">
        <w:rPr>
          <w:rFonts w:ascii="Times New Roman" w:hAnsi="Times New Roman" w:cs="Times New Roman"/>
          <w:sz w:val="24"/>
          <w:szCs w:val="24"/>
        </w:rPr>
        <w:t>Indeed, four of the nine PHE strengths identified via a SWOT analysis pertain to cooperation with industry.</w:t>
      </w:r>
      <w:r w:rsidR="000C0E12">
        <w:rPr>
          <w:rFonts w:ascii="Times New Roman" w:hAnsi="Times New Roman" w:cs="Times New Roman"/>
          <w:sz w:val="24"/>
          <w:szCs w:val="24"/>
        </w:rPr>
        <w:t xml:space="preserve"> </w:t>
      </w:r>
      <w:r w:rsidRPr="000C0E12">
        <w:rPr>
          <w:rFonts w:ascii="Times New Roman" w:hAnsi="Times New Roman" w:cs="Times New Roman"/>
          <w:sz w:val="24"/>
          <w:szCs w:val="24"/>
        </w:rPr>
        <w:t xml:space="preserve">As for evidence </w:t>
      </w:r>
      <w:r w:rsidRPr="005D3E24">
        <w:rPr>
          <w:rFonts w:ascii="Times New Roman" w:hAnsi="Times New Roman" w:cs="Times New Roman"/>
          <w:sz w:val="24"/>
          <w:szCs w:val="24"/>
        </w:rPr>
        <w:t>of work-based learning</w:t>
      </w:r>
      <w:r w:rsidR="00480ED3" w:rsidRPr="005D3E24">
        <w:rPr>
          <w:rFonts w:ascii="Times New Roman" w:hAnsi="Times New Roman" w:cs="Times New Roman"/>
          <w:sz w:val="24"/>
          <w:szCs w:val="24"/>
        </w:rPr>
        <w:t>,</w:t>
      </w:r>
      <w:r w:rsidR="004E525B" w:rsidRPr="005D3E24">
        <w:rPr>
          <w:rFonts w:ascii="Times New Roman" w:hAnsi="Times New Roman" w:cs="Times New Roman"/>
          <w:sz w:val="24"/>
          <w:szCs w:val="24"/>
        </w:rPr>
        <w:t xml:space="preserve"> Botrić (2017) </w:t>
      </w:r>
      <w:r w:rsidR="00480ED3" w:rsidRPr="005D3E24">
        <w:rPr>
          <w:rFonts w:ascii="Times New Roman" w:hAnsi="Times New Roman" w:cs="Times New Roman"/>
          <w:sz w:val="24"/>
          <w:szCs w:val="24"/>
        </w:rPr>
        <w:t xml:space="preserve">identified that </w:t>
      </w:r>
      <w:r w:rsidR="004E525B" w:rsidRPr="005D3E24">
        <w:rPr>
          <w:rFonts w:ascii="Times New Roman" w:hAnsi="Times New Roman" w:cs="Times New Roman"/>
          <w:sz w:val="24"/>
          <w:szCs w:val="24"/>
        </w:rPr>
        <w:t>in 2015-2016</w:t>
      </w:r>
      <w:r w:rsidRPr="005D3E24">
        <w:rPr>
          <w:rFonts w:ascii="Times New Roman" w:hAnsi="Times New Roman" w:cs="Times New Roman"/>
          <w:sz w:val="24"/>
          <w:szCs w:val="24"/>
        </w:rPr>
        <w:t xml:space="preserve"> just 49</w:t>
      </w:r>
      <w:r w:rsidR="00903362" w:rsidRPr="005D3E24">
        <w:rPr>
          <w:rFonts w:ascii="Times New Roman" w:hAnsi="Times New Roman" w:cs="Times New Roman"/>
          <w:sz w:val="24"/>
          <w:szCs w:val="24"/>
        </w:rPr>
        <w:t xml:space="preserve"> per cent</w:t>
      </w:r>
      <w:r w:rsidRPr="005D3E24">
        <w:rPr>
          <w:rFonts w:ascii="Times New Roman" w:hAnsi="Times New Roman" w:cs="Times New Roman"/>
          <w:sz w:val="24"/>
          <w:szCs w:val="24"/>
        </w:rPr>
        <w:t xml:space="preserve"> of university students attended programmes </w:t>
      </w:r>
      <w:r w:rsidR="004E525B" w:rsidRPr="005D3E24">
        <w:rPr>
          <w:rFonts w:ascii="Times New Roman" w:hAnsi="Times New Roman" w:cs="Times New Roman"/>
          <w:sz w:val="24"/>
          <w:szCs w:val="24"/>
        </w:rPr>
        <w:t xml:space="preserve">that involve </w:t>
      </w:r>
      <w:r w:rsidRPr="005D3E24">
        <w:rPr>
          <w:rFonts w:ascii="Times New Roman" w:hAnsi="Times New Roman" w:cs="Times New Roman"/>
          <w:sz w:val="24"/>
          <w:szCs w:val="24"/>
        </w:rPr>
        <w:t>work placements, along with 73</w:t>
      </w:r>
      <w:r w:rsidR="00903362" w:rsidRPr="005D3E24">
        <w:rPr>
          <w:rFonts w:ascii="Times New Roman" w:hAnsi="Times New Roman" w:cs="Times New Roman"/>
          <w:sz w:val="24"/>
          <w:szCs w:val="24"/>
        </w:rPr>
        <w:t xml:space="preserve"> per cent</w:t>
      </w:r>
      <w:r w:rsidRPr="005D3E24">
        <w:rPr>
          <w:rFonts w:ascii="Times New Roman" w:hAnsi="Times New Roman" w:cs="Times New Roman"/>
          <w:sz w:val="24"/>
          <w:szCs w:val="24"/>
        </w:rPr>
        <w:t xml:space="preserve"> of students in professional programmes. Within university programmes, there is a higher prevalence of work placements in the medicine and biotechnical fields (83-96</w:t>
      </w:r>
      <w:r w:rsidR="00903362" w:rsidRPr="005D3E24">
        <w:rPr>
          <w:rFonts w:ascii="Times New Roman" w:hAnsi="Times New Roman" w:cs="Times New Roman"/>
          <w:sz w:val="24"/>
          <w:szCs w:val="24"/>
        </w:rPr>
        <w:t xml:space="preserve"> per cent</w:t>
      </w:r>
      <w:r w:rsidRPr="005D3E24">
        <w:rPr>
          <w:rFonts w:ascii="Times New Roman" w:hAnsi="Times New Roman" w:cs="Times New Roman"/>
          <w:sz w:val="24"/>
          <w:szCs w:val="24"/>
        </w:rPr>
        <w:t>) and a lower prevalence in social sciences and humanities (36-37</w:t>
      </w:r>
      <w:r w:rsidR="00903362" w:rsidRPr="005D3E24">
        <w:rPr>
          <w:rFonts w:ascii="Times New Roman" w:hAnsi="Times New Roman" w:cs="Times New Roman"/>
          <w:sz w:val="24"/>
          <w:szCs w:val="24"/>
        </w:rPr>
        <w:t xml:space="preserve"> per cent</w:t>
      </w:r>
      <w:r w:rsidRPr="005D3E24">
        <w:rPr>
          <w:rFonts w:ascii="Times New Roman" w:hAnsi="Times New Roman" w:cs="Times New Roman"/>
          <w:sz w:val="24"/>
          <w:szCs w:val="24"/>
        </w:rPr>
        <w:t xml:space="preserve">). </w:t>
      </w:r>
      <w:r w:rsidR="004E525B" w:rsidRPr="005D3E24">
        <w:rPr>
          <w:rFonts w:ascii="Times New Roman" w:hAnsi="Times New Roman" w:cs="Times New Roman"/>
          <w:sz w:val="24"/>
          <w:szCs w:val="24"/>
        </w:rPr>
        <w:t>T</w:t>
      </w:r>
      <w:r w:rsidRPr="005D3E24">
        <w:rPr>
          <w:rFonts w:ascii="Times New Roman" w:hAnsi="Times New Roman" w:cs="Times New Roman"/>
          <w:sz w:val="24"/>
          <w:szCs w:val="24"/>
        </w:rPr>
        <w:t xml:space="preserve">he average annual duration — for those who attended the work placement — averaged a modest 65 hours in academic courses and 95 hours in professional programmes. </w:t>
      </w:r>
      <w:r w:rsidR="004E525B" w:rsidRPr="005D3E24">
        <w:rPr>
          <w:rFonts w:ascii="Times New Roman" w:hAnsi="Times New Roman" w:cs="Times New Roman"/>
          <w:sz w:val="24"/>
          <w:szCs w:val="24"/>
        </w:rPr>
        <w:t xml:space="preserve">Such </w:t>
      </w:r>
      <w:r w:rsidRPr="005D3E24">
        <w:rPr>
          <w:rFonts w:ascii="Times New Roman" w:hAnsi="Times New Roman" w:cs="Times New Roman"/>
          <w:sz w:val="24"/>
          <w:szCs w:val="24"/>
        </w:rPr>
        <w:t>placements were</w:t>
      </w:r>
      <w:r w:rsidR="004E525B" w:rsidRPr="005D3E24">
        <w:rPr>
          <w:rFonts w:ascii="Times New Roman" w:hAnsi="Times New Roman" w:cs="Times New Roman"/>
          <w:sz w:val="24"/>
          <w:szCs w:val="24"/>
        </w:rPr>
        <w:t xml:space="preserve"> commonly</w:t>
      </w:r>
      <w:r w:rsidRPr="005D3E24">
        <w:rPr>
          <w:rFonts w:ascii="Times New Roman" w:hAnsi="Times New Roman" w:cs="Times New Roman"/>
          <w:sz w:val="24"/>
          <w:szCs w:val="24"/>
        </w:rPr>
        <w:t xml:space="preserve"> based on bilateral agreements between the HEI and employers. As for employer linkages via career guidance </w:t>
      </w:r>
      <w:r w:rsidRPr="005D3E24">
        <w:rPr>
          <w:rFonts w:ascii="Times New Roman" w:hAnsi="Times New Roman" w:cs="Times New Roman"/>
          <w:sz w:val="24"/>
          <w:szCs w:val="24"/>
        </w:rPr>
        <w:lastRenderedPageBreak/>
        <w:t xml:space="preserve">services, a recent </w:t>
      </w:r>
      <w:r w:rsidR="00541C66" w:rsidRPr="005D3E24">
        <w:rPr>
          <w:rFonts w:ascii="Times New Roman" w:hAnsi="Times New Roman" w:cs="Times New Roman"/>
          <w:sz w:val="24"/>
          <w:szCs w:val="24"/>
        </w:rPr>
        <w:t xml:space="preserve">analysis </w:t>
      </w:r>
      <w:r w:rsidRPr="005D3E24">
        <w:rPr>
          <w:rFonts w:ascii="Times New Roman" w:hAnsi="Times New Roman" w:cs="Times New Roman"/>
          <w:sz w:val="24"/>
          <w:szCs w:val="24"/>
        </w:rPr>
        <w:t>showed that just one in five HEIs reported offering a career guidance centre</w:t>
      </w:r>
      <w:r w:rsidR="00480ED3" w:rsidRPr="005D3E24">
        <w:rPr>
          <w:rFonts w:ascii="Times New Roman" w:hAnsi="Times New Roman" w:cs="Times New Roman"/>
          <w:sz w:val="24"/>
          <w:szCs w:val="24"/>
        </w:rPr>
        <w:t>, y</w:t>
      </w:r>
      <w:r w:rsidRPr="005D3E24">
        <w:rPr>
          <w:rFonts w:ascii="Times New Roman" w:hAnsi="Times New Roman" w:cs="Times New Roman"/>
          <w:sz w:val="24"/>
          <w:szCs w:val="24"/>
        </w:rPr>
        <w:t xml:space="preserve">et most HEIs reported their intention to open such a centre </w:t>
      </w:r>
      <w:bookmarkStart w:id="62" w:name="__Fieldmark__825_131419714"/>
      <w:r w:rsidRPr="005D3E24">
        <w:rPr>
          <w:rFonts w:ascii="Times New Roman" w:hAnsi="Times New Roman" w:cs="Times New Roman"/>
          <w:sz w:val="24"/>
          <w:szCs w:val="24"/>
        </w:rPr>
        <w:t>(Đorđević 2017)</w:t>
      </w:r>
      <w:bookmarkStart w:id="63" w:name="__Fieldmark__5126_374039044"/>
      <w:bookmarkStart w:id="64" w:name="__Fieldmark__762_2097806078"/>
      <w:bookmarkStart w:id="65" w:name="__Fieldmark__524_241477822"/>
      <w:bookmarkEnd w:id="62"/>
      <w:bookmarkEnd w:id="63"/>
      <w:bookmarkEnd w:id="64"/>
      <w:bookmarkEnd w:id="65"/>
      <w:r w:rsidRPr="005D3E24">
        <w:rPr>
          <w:rFonts w:ascii="Times New Roman" w:hAnsi="Times New Roman" w:cs="Times New Roman"/>
          <w:sz w:val="24"/>
          <w:szCs w:val="24"/>
        </w:rPr>
        <w:t>.</w:t>
      </w:r>
    </w:p>
    <w:p w14:paraId="5E342AB9" w14:textId="33C1FD32" w:rsidR="003D0269" w:rsidRPr="005D3E24" w:rsidRDefault="00E57C8B" w:rsidP="005D3E24">
      <w:pPr>
        <w:spacing w:after="0" w:line="480" w:lineRule="auto"/>
        <w:ind w:firstLine="284"/>
        <w:jc w:val="both"/>
        <w:rPr>
          <w:rFonts w:ascii="Times New Roman" w:hAnsi="Times New Roman" w:cs="Times New Roman"/>
          <w:sz w:val="24"/>
          <w:szCs w:val="24"/>
        </w:rPr>
      </w:pPr>
      <w:r w:rsidRPr="005D3E24">
        <w:rPr>
          <w:rFonts w:ascii="Times New Roman" w:hAnsi="Times New Roman" w:cs="Times New Roman"/>
          <w:sz w:val="24"/>
          <w:szCs w:val="24"/>
        </w:rPr>
        <w:t xml:space="preserve">With HEIs being legally positioned to determine the number of placements and retain the income — yet </w:t>
      </w:r>
      <w:r w:rsidR="00BB338E" w:rsidRPr="005D3E24">
        <w:rPr>
          <w:rFonts w:ascii="Times New Roman" w:hAnsi="Times New Roman" w:cs="Times New Roman"/>
          <w:sz w:val="24"/>
          <w:szCs w:val="24"/>
        </w:rPr>
        <w:t xml:space="preserve">without </w:t>
      </w:r>
      <w:r w:rsidRPr="005D3E24">
        <w:rPr>
          <w:rFonts w:ascii="Times New Roman" w:hAnsi="Times New Roman" w:cs="Times New Roman"/>
          <w:sz w:val="24"/>
          <w:szCs w:val="24"/>
        </w:rPr>
        <w:t>enforceable staffing standards or external assessment prior to late 2000s</w:t>
      </w:r>
      <w:r w:rsidR="00331ECF">
        <w:rPr>
          <w:rFonts w:ascii="Times New Roman" w:hAnsi="Times New Roman" w:cs="Times New Roman"/>
          <w:sz w:val="24"/>
          <w:szCs w:val="24"/>
        </w:rPr>
        <w:t xml:space="preserve"> </w:t>
      </w:r>
      <w:r w:rsidRPr="005D3E24">
        <w:rPr>
          <w:rFonts w:ascii="Times New Roman" w:hAnsi="Times New Roman" w:cs="Times New Roman"/>
          <w:sz w:val="24"/>
          <w:szCs w:val="24"/>
        </w:rPr>
        <w:t>— the number of enrolled students increased rapidly from the mid-1990s to the mid-2000s, particularly in PTE and the social sciences (Babić et al. 2007). Consequently, b</w:t>
      </w:r>
      <w:r w:rsidR="00604D02" w:rsidRPr="005D3E24">
        <w:rPr>
          <w:rFonts w:ascii="Times New Roman" w:hAnsi="Times New Roman" w:cs="Times New Roman"/>
          <w:sz w:val="24"/>
          <w:szCs w:val="24"/>
        </w:rPr>
        <w:t xml:space="preserve">y the late 1990s the number of graduates recovered to the levels achieved in early 1980s </w:t>
      </w:r>
      <w:bookmarkStart w:id="66" w:name="__Fieldmark__841_131419714"/>
      <w:r w:rsidR="00604D02" w:rsidRPr="005D3E24">
        <w:rPr>
          <w:rFonts w:ascii="Times New Roman" w:hAnsi="Times New Roman" w:cs="Times New Roman"/>
          <w:sz w:val="24"/>
          <w:szCs w:val="24"/>
        </w:rPr>
        <w:t>(</w:t>
      </w:r>
      <w:bookmarkStart w:id="67" w:name="__Fieldmark__777_2097806078"/>
      <w:r w:rsidR="00604D02" w:rsidRPr="005D3E24">
        <w:rPr>
          <w:rFonts w:ascii="Times New Roman" w:hAnsi="Times New Roman" w:cs="Times New Roman"/>
          <w:sz w:val="24"/>
          <w:szCs w:val="24"/>
        </w:rPr>
        <w:t>M</w:t>
      </w:r>
      <w:bookmarkStart w:id="68" w:name="__Fieldmark__533_241477822"/>
      <w:r w:rsidR="00604D02" w:rsidRPr="005D3E24">
        <w:rPr>
          <w:rFonts w:ascii="Times New Roman" w:hAnsi="Times New Roman" w:cs="Times New Roman"/>
          <w:sz w:val="24"/>
          <w:szCs w:val="24"/>
        </w:rPr>
        <w:t>a</w:t>
      </w:r>
      <w:bookmarkStart w:id="69" w:name="__Fieldmark__5142_374039044"/>
      <w:r w:rsidR="00604D02" w:rsidRPr="005D3E24">
        <w:rPr>
          <w:rFonts w:ascii="Times New Roman" w:hAnsi="Times New Roman" w:cs="Times New Roman"/>
          <w:sz w:val="24"/>
          <w:szCs w:val="24"/>
        </w:rPr>
        <w:t>tković 2009)</w:t>
      </w:r>
      <w:bookmarkEnd w:id="66"/>
      <w:bookmarkEnd w:id="67"/>
      <w:bookmarkEnd w:id="68"/>
      <w:bookmarkEnd w:id="69"/>
      <w:r w:rsidR="00604D02" w:rsidRPr="005D3E24">
        <w:rPr>
          <w:rFonts w:ascii="Times New Roman" w:hAnsi="Times New Roman" w:cs="Times New Roman"/>
          <w:sz w:val="24"/>
          <w:szCs w:val="24"/>
        </w:rPr>
        <w:t>. It then increased sharply from 2001–2008, levelling off at about 21 thousand thereafter</w:t>
      </w:r>
      <w:r w:rsidR="00480ED3" w:rsidRPr="005D3E24">
        <w:rPr>
          <w:rFonts w:ascii="Times New Roman" w:hAnsi="Times New Roman" w:cs="Times New Roman"/>
          <w:sz w:val="24"/>
          <w:szCs w:val="24"/>
        </w:rPr>
        <w:t xml:space="preserve"> (Figure 2)</w:t>
      </w:r>
      <w:r w:rsidR="00604D02" w:rsidRPr="005D3E24">
        <w:rPr>
          <w:rFonts w:ascii="Times New Roman" w:hAnsi="Times New Roman" w:cs="Times New Roman"/>
          <w:sz w:val="24"/>
          <w:szCs w:val="24"/>
        </w:rPr>
        <w:t xml:space="preserve">. Initially, PTE courses were the major contributor to the growth, as the number of graduates from professional courses </w:t>
      </w:r>
      <w:r w:rsidR="00921C2B" w:rsidRPr="005D3E24">
        <w:rPr>
          <w:rFonts w:ascii="Times New Roman" w:hAnsi="Times New Roman" w:cs="Times New Roman"/>
          <w:sz w:val="24"/>
          <w:szCs w:val="24"/>
        </w:rPr>
        <w:t xml:space="preserve">almost equalled </w:t>
      </w:r>
      <w:r w:rsidR="00604D02" w:rsidRPr="005D3E24">
        <w:rPr>
          <w:rFonts w:ascii="Times New Roman" w:hAnsi="Times New Roman" w:cs="Times New Roman"/>
          <w:sz w:val="24"/>
          <w:szCs w:val="24"/>
        </w:rPr>
        <w:t>those from academic courses in the 2004–2008 period. While the supply of placement positions in PTE has remained high, the number of entrants and graduates has decreased strongly since then. By 2018–2019, the share of professional graduates (at the BA level) dropped again to about 35</w:t>
      </w:r>
      <w:r w:rsidR="00903362" w:rsidRPr="005D3E24">
        <w:rPr>
          <w:rFonts w:ascii="Times New Roman" w:hAnsi="Times New Roman" w:cs="Times New Roman"/>
          <w:sz w:val="24"/>
          <w:szCs w:val="24"/>
        </w:rPr>
        <w:t xml:space="preserve"> per cent</w:t>
      </w:r>
      <w:r w:rsidR="00604D02" w:rsidRPr="005D3E24">
        <w:rPr>
          <w:rFonts w:ascii="Times New Roman" w:hAnsi="Times New Roman" w:cs="Times New Roman"/>
          <w:sz w:val="24"/>
          <w:szCs w:val="24"/>
        </w:rPr>
        <w:t xml:space="preserve">, similar </w:t>
      </w:r>
      <w:r w:rsidR="00491E49">
        <w:rPr>
          <w:rFonts w:ascii="Times New Roman" w:hAnsi="Times New Roman" w:cs="Times New Roman"/>
          <w:sz w:val="24"/>
          <w:szCs w:val="24"/>
        </w:rPr>
        <w:t>to</w:t>
      </w:r>
      <w:r w:rsidR="00604D02" w:rsidRPr="005D3E24">
        <w:rPr>
          <w:rFonts w:ascii="Times New Roman" w:hAnsi="Times New Roman" w:cs="Times New Roman"/>
          <w:sz w:val="24"/>
          <w:szCs w:val="24"/>
        </w:rPr>
        <w:t xml:space="preserve"> the early 1990s.</w:t>
      </w:r>
    </w:p>
    <w:p w14:paraId="1257EA7B" w14:textId="77777777" w:rsidR="003D0269" w:rsidRPr="005D3E24" w:rsidRDefault="003D0269">
      <w:pPr>
        <w:rPr>
          <w:rFonts w:ascii="Times New Roman" w:hAnsi="Times New Roman" w:cs="Times New Roman"/>
          <w:sz w:val="24"/>
          <w:szCs w:val="24"/>
        </w:rPr>
      </w:pPr>
    </w:p>
    <w:p w14:paraId="44930524" w14:textId="77777777" w:rsidR="001E2F26" w:rsidRDefault="001E2F26">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14:paraId="51CB1A0B" w14:textId="2B9D1749" w:rsidR="003D0269" w:rsidRPr="005D3E24" w:rsidRDefault="00604D02">
      <w:pPr>
        <w:rPr>
          <w:rFonts w:ascii="Times New Roman" w:hAnsi="Times New Roman" w:cs="Times New Roman"/>
          <w:sz w:val="24"/>
          <w:szCs w:val="24"/>
        </w:rPr>
      </w:pPr>
      <w:r w:rsidRPr="005D3E24">
        <w:rPr>
          <w:rFonts w:ascii="Times New Roman" w:hAnsi="Times New Roman" w:cs="Times New Roman"/>
          <w:sz w:val="24"/>
          <w:szCs w:val="24"/>
        </w:rPr>
        <w:lastRenderedPageBreak/>
        <w:t>Figure 2: Graduates from professional and academic tertiary education</w:t>
      </w:r>
    </w:p>
    <w:p w14:paraId="77B2FC06" w14:textId="154150C7" w:rsidR="003D0269" w:rsidRPr="005D3E24" w:rsidRDefault="00C23245">
      <w:pPr>
        <w:rPr>
          <w:rFonts w:ascii="Times New Roman" w:hAnsi="Times New Roman" w:cs="Times New Roman"/>
          <w:sz w:val="24"/>
          <w:szCs w:val="24"/>
        </w:rPr>
      </w:pPr>
      <w:r w:rsidRPr="005D3E24">
        <w:rPr>
          <w:rFonts w:ascii="Times New Roman" w:hAnsi="Times New Roman" w:cs="Times New Roman"/>
          <w:noProof/>
          <w:sz w:val="24"/>
          <w:szCs w:val="24"/>
          <w:lang w:val="hr-HR" w:eastAsia="hr-HR"/>
        </w:rPr>
        <w:drawing>
          <wp:inline distT="0" distB="0" distL="0" distR="0" wp14:anchorId="598ED17F" wp14:editId="6CE6B493">
            <wp:extent cx="5954113" cy="3629025"/>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60541" cy="3632943"/>
                    </a:xfrm>
                    <a:prstGeom prst="rect">
                      <a:avLst/>
                    </a:prstGeom>
                    <a:noFill/>
                  </pic:spPr>
                </pic:pic>
              </a:graphicData>
            </a:graphic>
          </wp:inline>
        </w:drawing>
      </w:r>
    </w:p>
    <w:p w14:paraId="287B5ED4" w14:textId="77777777" w:rsidR="003D0269" w:rsidRPr="005D3E24" w:rsidRDefault="00604D02">
      <w:pPr>
        <w:rPr>
          <w:rFonts w:ascii="Times New Roman" w:hAnsi="Times New Roman" w:cs="Times New Roman"/>
          <w:sz w:val="24"/>
          <w:szCs w:val="24"/>
        </w:rPr>
      </w:pPr>
      <w:r w:rsidRPr="005D3E24">
        <w:rPr>
          <w:rFonts w:ascii="Times New Roman" w:hAnsi="Times New Roman" w:cs="Times New Roman"/>
          <w:sz w:val="24"/>
          <w:szCs w:val="24"/>
        </w:rPr>
        <w:t xml:space="preserve">Source: CBS First Releases ‘Students who Graduated from University Study or Completed Professional study’. </w:t>
      </w:r>
    </w:p>
    <w:p w14:paraId="1FF1AD2E" w14:textId="77777777" w:rsidR="003D0269" w:rsidRPr="005D3E24" w:rsidRDefault="00604D02">
      <w:pPr>
        <w:rPr>
          <w:rFonts w:ascii="Times New Roman" w:hAnsi="Times New Roman" w:cs="Times New Roman"/>
          <w:sz w:val="24"/>
          <w:szCs w:val="24"/>
        </w:rPr>
      </w:pPr>
      <w:r w:rsidRPr="005D3E24">
        <w:rPr>
          <w:rFonts w:ascii="Times New Roman" w:hAnsi="Times New Roman" w:cs="Times New Roman"/>
          <w:sz w:val="24"/>
          <w:szCs w:val="24"/>
        </w:rPr>
        <w:t>Note: 2010 break due to the ‘overlap year’ of pre-Bologna and Bologna.</w:t>
      </w:r>
    </w:p>
    <w:p w14:paraId="158D801A" w14:textId="77777777" w:rsidR="003D0269" w:rsidRPr="005D3E24" w:rsidRDefault="003D0269">
      <w:pPr>
        <w:rPr>
          <w:rFonts w:ascii="Times New Roman" w:hAnsi="Times New Roman" w:cs="Times New Roman"/>
          <w:sz w:val="24"/>
          <w:szCs w:val="24"/>
        </w:rPr>
      </w:pPr>
    </w:p>
    <w:p w14:paraId="7078165F" w14:textId="12378E60" w:rsidR="003D0269" w:rsidRPr="005D3E24" w:rsidRDefault="00604D02" w:rsidP="005D3E24">
      <w:pPr>
        <w:spacing w:after="0" w:line="480" w:lineRule="auto"/>
        <w:jc w:val="both"/>
        <w:rPr>
          <w:rFonts w:ascii="Times New Roman" w:hAnsi="Times New Roman" w:cs="Times New Roman"/>
          <w:sz w:val="24"/>
          <w:szCs w:val="24"/>
        </w:rPr>
      </w:pPr>
      <w:r w:rsidRPr="005D3E24">
        <w:rPr>
          <w:rFonts w:ascii="Times New Roman" w:hAnsi="Times New Roman" w:cs="Times New Roman"/>
          <w:sz w:val="24"/>
          <w:szCs w:val="24"/>
        </w:rPr>
        <w:t xml:space="preserve">While the number of graduates declined slightly since 2012, the cohort size has declined dramatically (cf. Figure 2 and Figure 1). </w:t>
      </w:r>
      <w:r w:rsidR="00E57C8B" w:rsidRPr="005D3E24">
        <w:rPr>
          <w:rFonts w:ascii="Times New Roman" w:hAnsi="Times New Roman" w:cs="Times New Roman"/>
          <w:sz w:val="24"/>
          <w:szCs w:val="24"/>
        </w:rPr>
        <w:t>Consequently,</w:t>
      </w:r>
      <w:r w:rsidRPr="005D3E24">
        <w:rPr>
          <w:rFonts w:ascii="Times New Roman" w:hAnsi="Times New Roman" w:cs="Times New Roman"/>
          <w:sz w:val="24"/>
          <w:szCs w:val="24"/>
        </w:rPr>
        <w:t xml:space="preserve"> according to the Labour Force Survey (LFS), the share of 25–34-year-old workers with tertiary educa</w:t>
      </w:r>
      <w:r w:rsidR="00903362" w:rsidRPr="005D3E24">
        <w:rPr>
          <w:rFonts w:ascii="Times New Roman" w:hAnsi="Times New Roman" w:cs="Times New Roman"/>
          <w:sz w:val="24"/>
          <w:szCs w:val="24"/>
        </w:rPr>
        <w:t>tion doubled from 18</w:t>
      </w:r>
      <w:r w:rsidRPr="005D3E24">
        <w:rPr>
          <w:rFonts w:ascii="Times New Roman" w:hAnsi="Times New Roman" w:cs="Times New Roman"/>
          <w:sz w:val="24"/>
          <w:szCs w:val="24"/>
        </w:rPr>
        <w:t xml:space="preserve"> to 35</w:t>
      </w:r>
      <w:r w:rsidR="00903362" w:rsidRPr="005D3E24">
        <w:rPr>
          <w:rFonts w:ascii="Times New Roman" w:hAnsi="Times New Roman" w:cs="Times New Roman"/>
          <w:sz w:val="24"/>
          <w:szCs w:val="24"/>
        </w:rPr>
        <w:t xml:space="preserve"> per cent</w:t>
      </w:r>
      <w:r w:rsidRPr="005D3E24">
        <w:rPr>
          <w:rFonts w:ascii="Times New Roman" w:hAnsi="Times New Roman" w:cs="Times New Roman"/>
          <w:sz w:val="24"/>
          <w:szCs w:val="24"/>
        </w:rPr>
        <w:t xml:space="preserve"> between 2002 and 2019.</w:t>
      </w:r>
    </w:p>
    <w:p w14:paraId="49FF2BCE" w14:textId="77777777" w:rsidR="003D0269" w:rsidRPr="005D3E24" w:rsidRDefault="003D0269" w:rsidP="005D3E24">
      <w:pPr>
        <w:spacing w:after="0" w:line="480" w:lineRule="auto"/>
        <w:jc w:val="both"/>
        <w:rPr>
          <w:rFonts w:ascii="Times New Roman" w:hAnsi="Times New Roman" w:cs="Times New Roman"/>
          <w:sz w:val="24"/>
          <w:szCs w:val="24"/>
        </w:rPr>
      </w:pPr>
    </w:p>
    <w:p w14:paraId="5D4049E3" w14:textId="77777777" w:rsidR="003D0269" w:rsidRPr="005D3E24" w:rsidRDefault="00604D02" w:rsidP="005D3E24">
      <w:pPr>
        <w:spacing w:after="0" w:line="480" w:lineRule="auto"/>
        <w:jc w:val="both"/>
        <w:rPr>
          <w:rFonts w:ascii="Times New Roman" w:hAnsi="Times New Roman" w:cs="Times New Roman"/>
          <w:i/>
          <w:sz w:val="24"/>
          <w:szCs w:val="24"/>
        </w:rPr>
      </w:pPr>
      <w:r w:rsidRPr="005D3E24">
        <w:rPr>
          <w:rFonts w:ascii="Times New Roman" w:hAnsi="Times New Roman" w:cs="Times New Roman"/>
          <w:i/>
          <w:sz w:val="24"/>
          <w:szCs w:val="24"/>
        </w:rPr>
        <w:t>Adult education and lifelong learning</w:t>
      </w:r>
    </w:p>
    <w:p w14:paraId="065F7152" w14:textId="414FF120" w:rsidR="003D0269" w:rsidRPr="005D3E24" w:rsidRDefault="00604D02" w:rsidP="005D3E24">
      <w:pPr>
        <w:spacing w:after="0" w:line="480" w:lineRule="auto"/>
        <w:jc w:val="both"/>
        <w:rPr>
          <w:rFonts w:ascii="Times New Roman" w:hAnsi="Times New Roman" w:cs="Times New Roman"/>
          <w:sz w:val="24"/>
          <w:szCs w:val="24"/>
        </w:rPr>
      </w:pPr>
      <w:r w:rsidRPr="005D3E24">
        <w:rPr>
          <w:rFonts w:ascii="Times New Roman" w:hAnsi="Times New Roman" w:cs="Times New Roman"/>
          <w:sz w:val="24"/>
          <w:szCs w:val="24"/>
        </w:rPr>
        <w:t xml:space="preserve">During the 1990s </w:t>
      </w:r>
      <w:r w:rsidR="003D424E" w:rsidRPr="005D3E24">
        <w:rPr>
          <w:rFonts w:ascii="Times New Roman" w:hAnsi="Times New Roman" w:cs="Times New Roman"/>
          <w:sz w:val="24"/>
          <w:szCs w:val="24"/>
        </w:rPr>
        <w:t>‘</w:t>
      </w:r>
      <w:r w:rsidRPr="005D3E24">
        <w:rPr>
          <w:rFonts w:ascii="Times New Roman" w:hAnsi="Times New Roman" w:cs="Times New Roman"/>
          <w:sz w:val="24"/>
          <w:szCs w:val="24"/>
        </w:rPr>
        <w:t>adult education was marginali</w:t>
      </w:r>
      <w:r w:rsidR="001E2F26">
        <w:rPr>
          <w:rFonts w:ascii="Times New Roman" w:hAnsi="Times New Roman" w:cs="Times New Roman"/>
          <w:sz w:val="24"/>
          <w:szCs w:val="24"/>
        </w:rPr>
        <w:t>z</w:t>
      </w:r>
      <w:r w:rsidRPr="005D3E24">
        <w:rPr>
          <w:rFonts w:ascii="Times New Roman" w:hAnsi="Times New Roman" w:cs="Times New Roman"/>
          <w:sz w:val="24"/>
          <w:szCs w:val="24"/>
        </w:rPr>
        <w:t>ed and the key actors of its implementation</w:t>
      </w:r>
      <w:r w:rsidR="00E57C8B" w:rsidRPr="005D3E24">
        <w:rPr>
          <w:rFonts w:ascii="Times New Roman" w:hAnsi="Times New Roman" w:cs="Times New Roman"/>
          <w:sz w:val="24"/>
          <w:szCs w:val="24"/>
        </w:rPr>
        <w:t xml:space="preserve"> </w:t>
      </w:r>
      <w:r w:rsidRPr="005D3E24">
        <w:rPr>
          <w:rFonts w:ascii="Times New Roman" w:hAnsi="Times New Roman" w:cs="Times New Roman"/>
          <w:sz w:val="24"/>
          <w:szCs w:val="24"/>
        </w:rPr>
        <w:t>were presented as redundant remnants of the old socialist education system</w:t>
      </w:r>
      <w:r w:rsidR="003D424E" w:rsidRPr="005D3E24">
        <w:rPr>
          <w:rFonts w:ascii="Times New Roman" w:hAnsi="Times New Roman" w:cs="Times New Roman"/>
          <w:sz w:val="24"/>
          <w:szCs w:val="24"/>
        </w:rPr>
        <w:t>’</w:t>
      </w:r>
      <w:r w:rsidRPr="005D3E24">
        <w:rPr>
          <w:rFonts w:ascii="Times New Roman" w:hAnsi="Times New Roman" w:cs="Times New Roman"/>
          <w:sz w:val="24"/>
          <w:szCs w:val="24"/>
        </w:rPr>
        <w:t xml:space="preserve"> </w:t>
      </w:r>
      <w:bookmarkStart w:id="70" w:name="__Fieldmark__893_131419714"/>
      <w:r w:rsidRPr="005D3E24">
        <w:rPr>
          <w:rFonts w:ascii="Times New Roman" w:hAnsi="Times New Roman" w:cs="Times New Roman"/>
          <w:sz w:val="24"/>
          <w:szCs w:val="24"/>
        </w:rPr>
        <w:t>(</w:t>
      </w:r>
      <w:bookmarkStart w:id="71" w:name="__Fieldmark__825_2097806078"/>
      <w:r w:rsidRPr="005D3E24">
        <w:rPr>
          <w:rFonts w:ascii="Times New Roman" w:hAnsi="Times New Roman" w:cs="Times New Roman"/>
          <w:sz w:val="24"/>
          <w:szCs w:val="24"/>
        </w:rPr>
        <w:t>Ž</w:t>
      </w:r>
      <w:bookmarkStart w:id="72" w:name="__Fieldmark__575_241477822"/>
      <w:r w:rsidRPr="005D3E24">
        <w:rPr>
          <w:rFonts w:ascii="Times New Roman" w:hAnsi="Times New Roman" w:cs="Times New Roman"/>
          <w:sz w:val="24"/>
          <w:szCs w:val="24"/>
        </w:rPr>
        <w:t>i</w:t>
      </w:r>
      <w:bookmarkStart w:id="73" w:name="__Fieldmark__5316_374039044"/>
      <w:r w:rsidRPr="005D3E24">
        <w:rPr>
          <w:rFonts w:ascii="Times New Roman" w:hAnsi="Times New Roman" w:cs="Times New Roman"/>
          <w:sz w:val="24"/>
          <w:szCs w:val="24"/>
        </w:rPr>
        <w:t>ljak 2018</w:t>
      </w:r>
      <w:r w:rsidR="00331ECF">
        <w:rPr>
          <w:rFonts w:ascii="Times New Roman" w:hAnsi="Times New Roman" w:cs="Times New Roman"/>
          <w:sz w:val="24"/>
          <w:szCs w:val="24"/>
        </w:rPr>
        <w:t>,</w:t>
      </w:r>
      <w:r w:rsidRPr="005D3E24">
        <w:rPr>
          <w:rFonts w:ascii="Times New Roman" w:hAnsi="Times New Roman" w:cs="Times New Roman"/>
          <w:sz w:val="24"/>
          <w:szCs w:val="24"/>
        </w:rPr>
        <w:t xml:space="preserve"> 55)</w:t>
      </w:r>
      <w:bookmarkEnd w:id="70"/>
      <w:bookmarkEnd w:id="71"/>
      <w:bookmarkEnd w:id="72"/>
      <w:bookmarkEnd w:id="73"/>
      <w:r w:rsidRPr="005D3E24">
        <w:rPr>
          <w:rFonts w:ascii="Times New Roman" w:hAnsi="Times New Roman" w:cs="Times New Roman"/>
          <w:sz w:val="24"/>
          <w:szCs w:val="24"/>
        </w:rPr>
        <w:t xml:space="preserve">. The area was initially regulated via bylaws, with comprehensive regulation introduced only through the </w:t>
      </w:r>
      <w:r w:rsidRPr="005D3E24">
        <w:rPr>
          <w:rFonts w:ascii="Times New Roman" w:hAnsi="Times New Roman" w:cs="Times New Roman"/>
          <w:sz w:val="24"/>
          <w:szCs w:val="24"/>
        </w:rPr>
        <w:lastRenderedPageBreak/>
        <w:t xml:space="preserve">Adult Education Act in 2007. The Agency for Adult Education was set up in 2006, </w:t>
      </w:r>
      <w:r w:rsidR="00437F11" w:rsidRPr="005D3E24">
        <w:rPr>
          <w:rFonts w:ascii="Times New Roman" w:hAnsi="Times New Roman" w:cs="Times New Roman"/>
          <w:sz w:val="24"/>
          <w:szCs w:val="24"/>
        </w:rPr>
        <w:t xml:space="preserve">and was </w:t>
      </w:r>
      <w:r w:rsidRPr="005D3E24">
        <w:rPr>
          <w:rFonts w:ascii="Times New Roman" w:hAnsi="Times New Roman" w:cs="Times New Roman"/>
          <w:sz w:val="24"/>
          <w:szCs w:val="24"/>
        </w:rPr>
        <w:t xml:space="preserve">tasked with monitoring, developing, evaluating, and running the registry of adult education. It merged into </w:t>
      </w:r>
      <w:r w:rsidR="009D01A2">
        <w:rPr>
          <w:rFonts w:ascii="Times New Roman" w:hAnsi="Times New Roman" w:cs="Times New Roman"/>
          <w:sz w:val="24"/>
          <w:szCs w:val="24"/>
        </w:rPr>
        <w:t xml:space="preserve">the </w:t>
      </w:r>
      <w:r w:rsidRPr="005D3E24">
        <w:rPr>
          <w:rFonts w:ascii="Times New Roman" w:hAnsi="Times New Roman" w:cs="Times New Roman"/>
          <w:sz w:val="24"/>
          <w:szCs w:val="24"/>
        </w:rPr>
        <w:t>Agency for Vocational Education and Training and Adult Learning (AVETAE) in 2010, institutionally framing adult education as continuous vocational education.</w:t>
      </w:r>
    </w:p>
    <w:p w14:paraId="168B00D4" w14:textId="341B2A60" w:rsidR="003D0269" w:rsidRPr="005D3E24" w:rsidRDefault="00604D02" w:rsidP="005D3E24">
      <w:pPr>
        <w:spacing w:after="0" w:line="480" w:lineRule="auto"/>
        <w:ind w:firstLine="284"/>
        <w:jc w:val="both"/>
        <w:rPr>
          <w:rFonts w:ascii="Times New Roman" w:hAnsi="Times New Roman" w:cs="Times New Roman"/>
          <w:sz w:val="24"/>
          <w:szCs w:val="24"/>
        </w:rPr>
      </w:pPr>
      <w:r w:rsidRPr="005D3E24">
        <w:rPr>
          <w:rFonts w:ascii="Times New Roman" w:hAnsi="Times New Roman" w:cs="Times New Roman"/>
          <w:sz w:val="24"/>
          <w:szCs w:val="24"/>
        </w:rPr>
        <w:t xml:space="preserve">Adult education courses are provided by a patchwork of public open universities, VET schools, </w:t>
      </w:r>
      <w:r w:rsidR="009D01A2">
        <w:rPr>
          <w:rFonts w:ascii="Times New Roman" w:hAnsi="Times New Roman" w:cs="Times New Roman"/>
          <w:sz w:val="24"/>
          <w:szCs w:val="24"/>
        </w:rPr>
        <w:t>HEIs</w:t>
      </w:r>
      <w:r w:rsidRPr="005D3E24">
        <w:rPr>
          <w:rFonts w:ascii="Times New Roman" w:hAnsi="Times New Roman" w:cs="Times New Roman"/>
          <w:sz w:val="24"/>
          <w:szCs w:val="24"/>
        </w:rPr>
        <w:t xml:space="preserve">, language schools and private firms, with the number of registered entities doubling from 345 in 2009 to 618 in 2018.  </w:t>
      </w:r>
      <w:r w:rsidR="00693A8A" w:rsidRPr="005D3E24">
        <w:rPr>
          <w:rFonts w:ascii="Times New Roman" w:hAnsi="Times New Roman" w:cs="Times New Roman"/>
          <w:sz w:val="24"/>
          <w:szCs w:val="24"/>
        </w:rPr>
        <w:t>P</w:t>
      </w:r>
      <w:r w:rsidRPr="005D3E24">
        <w:rPr>
          <w:rFonts w:ascii="Times New Roman" w:hAnsi="Times New Roman" w:cs="Times New Roman"/>
          <w:sz w:val="24"/>
          <w:szCs w:val="24"/>
        </w:rPr>
        <w:t xml:space="preserve">roviders are organized under the umbrella of the Croatian Association of Open Universities (1954), </w:t>
      </w:r>
      <w:r w:rsidR="00FF4E7E" w:rsidRPr="005D3E24">
        <w:rPr>
          <w:rFonts w:ascii="Times New Roman" w:hAnsi="Times New Roman" w:cs="Times New Roman"/>
          <w:sz w:val="24"/>
          <w:szCs w:val="24"/>
        </w:rPr>
        <w:t xml:space="preserve">the </w:t>
      </w:r>
      <w:r w:rsidRPr="005D3E24">
        <w:rPr>
          <w:rFonts w:ascii="Times New Roman" w:hAnsi="Times New Roman" w:cs="Times New Roman"/>
          <w:sz w:val="24"/>
          <w:szCs w:val="24"/>
        </w:rPr>
        <w:t xml:space="preserve">Association of Institutions for Adult Education (2009) and </w:t>
      </w:r>
      <w:r w:rsidR="00FF4E7E" w:rsidRPr="005D3E24">
        <w:rPr>
          <w:rFonts w:ascii="Times New Roman" w:hAnsi="Times New Roman" w:cs="Times New Roman"/>
          <w:sz w:val="24"/>
          <w:szCs w:val="24"/>
        </w:rPr>
        <w:t xml:space="preserve">the </w:t>
      </w:r>
      <w:r w:rsidRPr="005D3E24">
        <w:rPr>
          <w:rFonts w:ascii="Times New Roman" w:hAnsi="Times New Roman" w:cs="Times New Roman"/>
          <w:sz w:val="24"/>
          <w:szCs w:val="24"/>
        </w:rPr>
        <w:t xml:space="preserve">Association of Employers in Education within the Croatian Employers’ Association (2011), but none has power of representation. There is a possibility, but no mandate, for providers to associate with firms </w:t>
      </w:r>
      <w:r w:rsidR="00693A8A" w:rsidRPr="005D3E24">
        <w:rPr>
          <w:rFonts w:ascii="Times New Roman" w:hAnsi="Times New Roman" w:cs="Times New Roman"/>
          <w:sz w:val="24"/>
          <w:szCs w:val="24"/>
        </w:rPr>
        <w:t xml:space="preserve">to provide </w:t>
      </w:r>
      <w:r w:rsidRPr="005D3E24">
        <w:rPr>
          <w:rFonts w:ascii="Times New Roman" w:hAnsi="Times New Roman" w:cs="Times New Roman"/>
          <w:sz w:val="24"/>
          <w:szCs w:val="24"/>
        </w:rPr>
        <w:t xml:space="preserve">courses (including provision of work-based training). About 800-900 courses are registered annually </w:t>
      </w:r>
      <w:r w:rsidR="00693A8A" w:rsidRPr="005D3E24">
        <w:rPr>
          <w:rFonts w:ascii="Times New Roman" w:hAnsi="Times New Roman" w:cs="Times New Roman"/>
          <w:sz w:val="24"/>
          <w:szCs w:val="24"/>
        </w:rPr>
        <w:t xml:space="preserve">across </w:t>
      </w:r>
      <w:r w:rsidRPr="005D3E24">
        <w:rPr>
          <w:rFonts w:ascii="Times New Roman" w:hAnsi="Times New Roman" w:cs="Times New Roman"/>
          <w:sz w:val="24"/>
          <w:szCs w:val="24"/>
        </w:rPr>
        <w:t>the country, with 11,309 entries in the registry by</w:t>
      </w:r>
      <w:r w:rsidR="006E542C" w:rsidRPr="005D3E24">
        <w:rPr>
          <w:rFonts w:ascii="Times New Roman" w:hAnsi="Times New Roman" w:cs="Times New Roman"/>
          <w:sz w:val="24"/>
          <w:szCs w:val="24"/>
        </w:rPr>
        <w:t xml:space="preserve"> the end of </w:t>
      </w:r>
      <w:r w:rsidRPr="005D3E24">
        <w:rPr>
          <w:rFonts w:ascii="Times New Roman" w:hAnsi="Times New Roman" w:cs="Times New Roman"/>
          <w:sz w:val="24"/>
          <w:szCs w:val="24"/>
        </w:rPr>
        <w:t>2018. (Christiansen et al</w:t>
      </w:r>
      <w:r w:rsidR="009D01A2">
        <w:rPr>
          <w:rFonts w:ascii="Times New Roman" w:hAnsi="Times New Roman" w:cs="Times New Roman"/>
          <w:sz w:val="24"/>
          <w:szCs w:val="24"/>
        </w:rPr>
        <w:t>.</w:t>
      </w:r>
      <w:r w:rsidRPr="005D3E24">
        <w:rPr>
          <w:rFonts w:ascii="Times New Roman" w:hAnsi="Times New Roman" w:cs="Times New Roman"/>
          <w:sz w:val="24"/>
          <w:szCs w:val="24"/>
        </w:rPr>
        <w:t xml:space="preserve"> 2019</w:t>
      </w:r>
      <w:r w:rsidR="009D01A2">
        <w:rPr>
          <w:rFonts w:ascii="Times New Roman" w:hAnsi="Times New Roman" w:cs="Times New Roman"/>
          <w:sz w:val="24"/>
          <w:szCs w:val="24"/>
        </w:rPr>
        <w:t>,</w:t>
      </w:r>
      <w:r w:rsidRPr="005D3E24">
        <w:rPr>
          <w:rFonts w:ascii="Times New Roman" w:hAnsi="Times New Roman" w:cs="Times New Roman"/>
          <w:sz w:val="24"/>
          <w:szCs w:val="24"/>
        </w:rPr>
        <w:t xml:space="preserve"> 315). Some providers are private, some are </w:t>
      </w:r>
      <w:r w:rsidR="00FF4E7E" w:rsidRPr="005D3E24">
        <w:rPr>
          <w:rFonts w:ascii="Times New Roman" w:hAnsi="Times New Roman" w:cs="Times New Roman"/>
          <w:sz w:val="24"/>
          <w:szCs w:val="24"/>
        </w:rPr>
        <w:t xml:space="preserve">established </w:t>
      </w:r>
      <w:r w:rsidRPr="005D3E24">
        <w:rPr>
          <w:rFonts w:ascii="Times New Roman" w:hAnsi="Times New Roman" w:cs="Times New Roman"/>
          <w:sz w:val="24"/>
          <w:szCs w:val="24"/>
        </w:rPr>
        <w:t>by local governments, but there</w:t>
      </w:r>
      <w:r w:rsidR="00693A8A" w:rsidRPr="005D3E24">
        <w:rPr>
          <w:rFonts w:ascii="Times New Roman" w:hAnsi="Times New Roman" w:cs="Times New Roman"/>
          <w:sz w:val="24"/>
          <w:szCs w:val="24"/>
        </w:rPr>
        <w:t xml:space="preserve"> is little publicly funded provision</w:t>
      </w:r>
      <w:r w:rsidRPr="005D3E24">
        <w:rPr>
          <w:rFonts w:ascii="Times New Roman" w:hAnsi="Times New Roman" w:cs="Times New Roman"/>
          <w:sz w:val="24"/>
          <w:szCs w:val="24"/>
        </w:rPr>
        <w:t>. Local government</w:t>
      </w:r>
      <w:r w:rsidR="00E27BE1">
        <w:rPr>
          <w:rFonts w:ascii="Times New Roman" w:hAnsi="Times New Roman" w:cs="Times New Roman"/>
          <w:sz w:val="24"/>
          <w:szCs w:val="24"/>
        </w:rPr>
        <w:t>s</w:t>
      </w:r>
      <w:r w:rsidRPr="005D3E24">
        <w:rPr>
          <w:rFonts w:ascii="Times New Roman" w:hAnsi="Times New Roman" w:cs="Times New Roman"/>
          <w:sz w:val="24"/>
          <w:szCs w:val="24"/>
        </w:rPr>
        <w:t xml:space="preserve"> fund some operational expenses, while central government (and EU instruments such as Erasmus+ and ESF</w:t>
      </w:r>
      <w:r w:rsidR="00413EA5" w:rsidRPr="005D3E24">
        <w:rPr>
          <w:rFonts w:ascii="Times New Roman" w:hAnsi="Times New Roman" w:cs="Times New Roman"/>
          <w:sz w:val="24"/>
          <w:szCs w:val="24"/>
        </w:rPr>
        <w:t>)</w:t>
      </w:r>
      <w:r w:rsidRPr="005D3E24">
        <w:rPr>
          <w:rFonts w:ascii="Times New Roman" w:hAnsi="Times New Roman" w:cs="Times New Roman"/>
          <w:sz w:val="24"/>
          <w:szCs w:val="24"/>
        </w:rPr>
        <w:t xml:space="preserve"> fund</w:t>
      </w:r>
      <w:r w:rsidR="00E27BE1">
        <w:rPr>
          <w:rFonts w:ascii="Times New Roman" w:hAnsi="Times New Roman" w:cs="Times New Roman"/>
          <w:sz w:val="24"/>
          <w:szCs w:val="24"/>
        </w:rPr>
        <w:t>s</w:t>
      </w:r>
      <w:r w:rsidRPr="005D3E24">
        <w:rPr>
          <w:rFonts w:ascii="Times New Roman" w:hAnsi="Times New Roman" w:cs="Times New Roman"/>
          <w:sz w:val="24"/>
          <w:szCs w:val="24"/>
        </w:rPr>
        <w:t xml:space="preserve"> some development activities. Yet apart from provision of elementary education, all the courses are paid for by </w:t>
      </w:r>
      <w:r w:rsidR="00693A8A" w:rsidRPr="005D3E24">
        <w:rPr>
          <w:rFonts w:ascii="Times New Roman" w:hAnsi="Times New Roman" w:cs="Times New Roman"/>
          <w:sz w:val="24"/>
          <w:szCs w:val="24"/>
        </w:rPr>
        <w:t xml:space="preserve">attendees </w:t>
      </w:r>
      <w:r w:rsidRPr="005D3E24">
        <w:rPr>
          <w:rFonts w:ascii="Times New Roman" w:hAnsi="Times New Roman" w:cs="Times New Roman"/>
          <w:sz w:val="24"/>
          <w:szCs w:val="24"/>
        </w:rPr>
        <w:t xml:space="preserve">(or their employers), with few placements being offered by the Croatian Employment Service and </w:t>
      </w:r>
      <w:r w:rsidR="00693A8A" w:rsidRPr="005D3E24">
        <w:rPr>
          <w:rFonts w:ascii="Times New Roman" w:hAnsi="Times New Roman" w:cs="Times New Roman"/>
          <w:sz w:val="24"/>
          <w:szCs w:val="24"/>
        </w:rPr>
        <w:t xml:space="preserve">occasional opportunities being </w:t>
      </w:r>
      <w:r w:rsidRPr="005D3E24">
        <w:rPr>
          <w:rFonts w:ascii="Times New Roman" w:hAnsi="Times New Roman" w:cs="Times New Roman"/>
          <w:sz w:val="24"/>
          <w:szCs w:val="24"/>
        </w:rPr>
        <w:t>provided by NGOs or funded by towns or municipalities.</w:t>
      </w:r>
    </w:p>
    <w:p w14:paraId="6DAB74AB" w14:textId="6B0CE637" w:rsidR="003D0269" w:rsidRPr="005D3E24" w:rsidRDefault="00604D02" w:rsidP="001E2F26">
      <w:pPr>
        <w:spacing w:after="0" w:line="480" w:lineRule="auto"/>
        <w:ind w:firstLine="284"/>
        <w:jc w:val="both"/>
        <w:rPr>
          <w:rFonts w:ascii="Times New Roman" w:hAnsi="Times New Roman" w:cs="Times New Roman"/>
          <w:sz w:val="24"/>
          <w:szCs w:val="24"/>
        </w:rPr>
      </w:pPr>
      <w:r w:rsidRPr="005D3E24">
        <w:rPr>
          <w:rFonts w:ascii="Times New Roman" w:hAnsi="Times New Roman" w:cs="Times New Roman"/>
          <w:sz w:val="24"/>
          <w:szCs w:val="24"/>
        </w:rPr>
        <w:t xml:space="preserve">Despite recent developments, </w:t>
      </w:r>
      <w:r w:rsidR="00FA7D86" w:rsidRPr="005D3E24">
        <w:rPr>
          <w:rFonts w:ascii="Times New Roman" w:hAnsi="Times New Roman" w:cs="Times New Roman"/>
          <w:sz w:val="24"/>
          <w:szCs w:val="24"/>
        </w:rPr>
        <w:t xml:space="preserve">such arrangements </w:t>
      </w:r>
      <w:r w:rsidRPr="005D3E24">
        <w:rPr>
          <w:rFonts w:ascii="Times New Roman" w:hAnsi="Times New Roman" w:cs="Times New Roman"/>
          <w:sz w:val="24"/>
          <w:szCs w:val="24"/>
        </w:rPr>
        <w:t xml:space="preserve">led to low and stagnant participation in lifelong learning, especially in non-formal education. The monthly </w:t>
      </w:r>
      <w:r w:rsidRPr="005D3E24">
        <w:rPr>
          <w:rStyle w:val="data-product-info-title"/>
          <w:rFonts w:ascii="Times New Roman" w:hAnsi="Times New Roman" w:cs="Times New Roman"/>
          <w:sz w:val="24"/>
          <w:szCs w:val="24"/>
        </w:rPr>
        <w:t>participation rate in education and training for population aged 25-64, as measured by the Labour Force Survey, remained stagnant at 2.5-3.5</w:t>
      </w:r>
      <w:r w:rsidR="00903362" w:rsidRPr="005D3E24">
        <w:rPr>
          <w:rStyle w:val="data-product-info-title"/>
          <w:rFonts w:ascii="Times New Roman" w:hAnsi="Times New Roman" w:cs="Times New Roman"/>
          <w:sz w:val="24"/>
          <w:szCs w:val="24"/>
        </w:rPr>
        <w:t xml:space="preserve"> per cent</w:t>
      </w:r>
      <w:r w:rsidRPr="005D3E24">
        <w:rPr>
          <w:rStyle w:val="data-product-info-title"/>
          <w:rFonts w:ascii="Times New Roman" w:hAnsi="Times New Roman" w:cs="Times New Roman"/>
          <w:sz w:val="24"/>
          <w:szCs w:val="24"/>
        </w:rPr>
        <w:t xml:space="preserve"> for the entire 2006-2019 period</w:t>
      </w:r>
      <w:r w:rsidRPr="005D3E24">
        <w:rPr>
          <w:rFonts w:ascii="Times New Roman" w:hAnsi="Times New Roman" w:cs="Times New Roman"/>
          <w:sz w:val="24"/>
          <w:szCs w:val="24"/>
        </w:rPr>
        <w:t xml:space="preserve">, and </w:t>
      </w:r>
      <w:r w:rsidR="00AA5898" w:rsidRPr="005D3E24">
        <w:rPr>
          <w:rFonts w:ascii="Times New Roman" w:hAnsi="Times New Roman" w:cs="Times New Roman"/>
          <w:sz w:val="24"/>
          <w:szCs w:val="24"/>
        </w:rPr>
        <w:t xml:space="preserve">was </w:t>
      </w:r>
      <w:r w:rsidRPr="005D3E24">
        <w:rPr>
          <w:rFonts w:ascii="Times New Roman" w:hAnsi="Times New Roman" w:cs="Times New Roman"/>
          <w:sz w:val="24"/>
          <w:szCs w:val="24"/>
        </w:rPr>
        <w:t xml:space="preserve">among the lowest in the EU. The findings of the 2016 Adult Education Survey were similar, with </w:t>
      </w:r>
      <w:r w:rsidR="00FA7D86" w:rsidRPr="005D3E24">
        <w:rPr>
          <w:rFonts w:ascii="Times New Roman" w:hAnsi="Times New Roman" w:cs="Times New Roman"/>
          <w:sz w:val="24"/>
          <w:szCs w:val="24"/>
        </w:rPr>
        <w:t xml:space="preserve">only around </w:t>
      </w:r>
      <w:r w:rsidRPr="005D3E24">
        <w:rPr>
          <w:rFonts w:ascii="Times New Roman" w:hAnsi="Times New Roman" w:cs="Times New Roman"/>
          <w:sz w:val="24"/>
          <w:szCs w:val="24"/>
        </w:rPr>
        <w:t xml:space="preserve">a third of adults participating </w:t>
      </w:r>
      <w:r w:rsidRPr="005D3E24">
        <w:rPr>
          <w:rFonts w:ascii="Times New Roman" w:hAnsi="Times New Roman" w:cs="Times New Roman"/>
          <w:sz w:val="24"/>
          <w:szCs w:val="24"/>
        </w:rPr>
        <w:lastRenderedPageBreak/>
        <w:t xml:space="preserve">in education during the previous year. Both sources indicate that the participation is particularly low among </w:t>
      </w:r>
      <w:r w:rsidR="00FA7D86" w:rsidRPr="005D3E24">
        <w:rPr>
          <w:rFonts w:ascii="Times New Roman" w:hAnsi="Times New Roman" w:cs="Times New Roman"/>
          <w:sz w:val="24"/>
          <w:szCs w:val="24"/>
        </w:rPr>
        <w:t xml:space="preserve">those </w:t>
      </w:r>
      <w:r w:rsidRPr="005D3E24">
        <w:rPr>
          <w:rFonts w:ascii="Times New Roman" w:hAnsi="Times New Roman" w:cs="Times New Roman"/>
          <w:sz w:val="24"/>
          <w:szCs w:val="24"/>
        </w:rPr>
        <w:t>aged over 45, those without tertiary education and</w:t>
      </w:r>
      <w:r w:rsidR="00FA7D86" w:rsidRPr="005D3E24">
        <w:rPr>
          <w:rFonts w:ascii="Times New Roman" w:hAnsi="Times New Roman" w:cs="Times New Roman"/>
          <w:sz w:val="24"/>
          <w:szCs w:val="24"/>
        </w:rPr>
        <w:t xml:space="preserve"> the unemployed</w:t>
      </w:r>
      <w:r w:rsidRPr="005D3E24">
        <w:rPr>
          <w:rFonts w:ascii="Times New Roman" w:hAnsi="Times New Roman" w:cs="Times New Roman"/>
          <w:sz w:val="24"/>
          <w:szCs w:val="24"/>
        </w:rPr>
        <w:t xml:space="preserve">. When it comes to </w:t>
      </w:r>
      <w:r w:rsidR="00FA7D86" w:rsidRPr="005D3E24">
        <w:rPr>
          <w:rFonts w:ascii="Times New Roman" w:hAnsi="Times New Roman" w:cs="Times New Roman"/>
          <w:sz w:val="24"/>
          <w:szCs w:val="24"/>
        </w:rPr>
        <w:t xml:space="preserve">corporate </w:t>
      </w:r>
      <w:r w:rsidRPr="005D3E24">
        <w:rPr>
          <w:rFonts w:ascii="Times New Roman" w:hAnsi="Times New Roman" w:cs="Times New Roman"/>
          <w:sz w:val="24"/>
          <w:szCs w:val="24"/>
        </w:rPr>
        <w:t xml:space="preserve">HRD policies, </w:t>
      </w:r>
      <w:r w:rsidR="00B0057C" w:rsidRPr="005D3E24">
        <w:rPr>
          <w:rFonts w:ascii="Times New Roman" w:hAnsi="Times New Roman" w:cs="Times New Roman"/>
          <w:sz w:val="24"/>
          <w:szCs w:val="24"/>
        </w:rPr>
        <w:t>training makes up an average 1.3</w:t>
      </w:r>
      <w:r w:rsidR="00903362" w:rsidRPr="005D3E24">
        <w:rPr>
          <w:rFonts w:ascii="Times New Roman" w:hAnsi="Times New Roman" w:cs="Times New Roman"/>
          <w:sz w:val="24"/>
          <w:szCs w:val="24"/>
        </w:rPr>
        <w:t xml:space="preserve"> per cent</w:t>
      </w:r>
      <w:r w:rsidR="00B0057C" w:rsidRPr="005D3E24">
        <w:rPr>
          <w:rFonts w:ascii="Times New Roman" w:hAnsi="Times New Roman" w:cs="Times New Roman"/>
          <w:sz w:val="24"/>
          <w:szCs w:val="24"/>
        </w:rPr>
        <w:t xml:space="preserve"> of </w:t>
      </w:r>
      <w:r w:rsidR="00FA7D86" w:rsidRPr="005D3E24">
        <w:rPr>
          <w:rFonts w:ascii="Times New Roman" w:hAnsi="Times New Roman" w:cs="Times New Roman"/>
          <w:sz w:val="24"/>
          <w:szCs w:val="24"/>
        </w:rPr>
        <w:t xml:space="preserve">the </w:t>
      </w:r>
      <w:r w:rsidR="00B0057C" w:rsidRPr="005D3E24">
        <w:rPr>
          <w:rFonts w:ascii="Times New Roman" w:hAnsi="Times New Roman" w:cs="Times New Roman"/>
          <w:sz w:val="24"/>
          <w:szCs w:val="24"/>
        </w:rPr>
        <w:t xml:space="preserve">labour </w:t>
      </w:r>
      <w:r w:rsidR="00FA7D86" w:rsidRPr="005D3E24">
        <w:rPr>
          <w:rFonts w:ascii="Times New Roman" w:hAnsi="Times New Roman" w:cs="Times New Roman"/>
          <w:sz w:val="24"/>
          <w:szCs w:val="24"/>
        </w:rPr>
        <w:t xml:space="preserve">costs </w:t>
      </w:r>
      <w:r w:rsidR="00B0057C" w:rsidRPr="005D3E24">
        <w:rPr>
          <w:rFonts w:ascii="Times New Roman" w:hAnsi="Times New Roman" w:cs="Times New Roman"/>
          <w:sz w:val="24"/>
          <w:szCs w:val="24"/>
        </w:rPr>
        <w:t>of Croatian firms (EU average 1.7</w:t>
      </w:r>
      <w:r w:rsidR="00903362" w:rsidRPr="005D3E24">
        <w:rPr>
          <w:rFonts w:ascii="Times New Roman" w:hAnsi="Times New Roman" w:cs="Times New Roman"/>
          <w:sz w:val="24"/>
          <w:szCs w:val="24"/>
        </w:rPr>
        <w:t xml:space="preserve"> per cent</w:t>
      </w:r>
      <w:r w:rsidR="00B0057C" w:rsidRPr="005D3E24">
        <w:rPr>
          <w:rFonts w:ascii="Times New Roman" w:hAnsi="Times New Roman" w:cs="Times New Roman"/>
          <w:sz w:val="24"/>
          <w:szCs w:val="24"/>
        </w:rPr>
        <w:t>)</w:t>
      </w:r>
      <w:r w:rsidRPr="005D3E24">
        <w:rPr>
          <w:rFonts w:ascii="Times New Roman" w:hAnsi="Times New Roman" w:cs="Times New Roman"/>
          <w:sz w:val="24"/>
          <w:szCs w:val="24"/>
        </w:rPr>
        <w:t xml:space="preserve"> as per the 2015 Continuous Vocational Training Survey</w:t>
      </w:r>
      <w:r w:rsidR="00B0057C" w:rsidRPr="005D3E24">
        <w:rPr>
          <w:rFonts w:ascii="Times New Roman" w:hAnsi="Times New Roman" w:cs="Times New Roman"/>
          <w:sz w:val="24"/>
          <w:szCs w:val="24"/>
        </w:rPr>
        <w:t xml:space="preserve">. </w:t>
      </w:r>
      <w:r w:rsidR="00FA7D86" w:rsidRPr="005D3E24">
        <w:rPr>
          <w:rFonts w:ascii="Times New Roman" w:hAnsi="Times New Roman" w:cs="Times New Roman"/>
          <w:sz w:val="24"/>
          <w:szCs w:val="24"/>
        </w:rPr>
        <w:t xml:space="preserve">Furthermore, </w:t>
      </w:r>
      <w:r w:rsidR="00B0057C" w:rsidRPr="005D3E24">
        <w:rPr>
          <w:rFonts w:ascii="Times New Roman" w:hAnsi="Times New Roman" w:cs="Times New Roman"/>
          <w:sz w:val="24"/>
          <w:szCs w:val="24"/>
        </w:rPr>
        <w:t>only 55</w:t>
      </w:r>
      <w:r w:rsidR="00903362" w:rsidRPr="005D3E24">
        <w:rPr>
          <w:rFonts w:ascii="Times New Roman" w:hAnsi="Times New Roman" w:cs="Times New Roman"/>
          <w:sz w:val="24"/>
          <w:szCs w:val="24"/>
        </w:rPr>
        <w:t xml:space="preserve"> per cent</w:t>
      </w:r>
      <w:r w:rsidR="00B0057C" w:rsidRPr="005D3E24">
        <w:rPr>
          <w:rFonts w:ascii="Times New Roman" w:hAnsi="Times New Roman" w:cs="Times New Roman"/>
          <w:sz w:val="24"/>
          <w:szCs w:val="24"/>
        </w:rPr>
        <w:t xml:space="preserve"> of Croatian firms provide training</w:t>
      </w:r>
      <w:r w:rsidRPr="005D3E24">
        <w:rPr>
          <w:rFonts w:ascii="Times New Roman" w:hAnsi="Times New Roman" w:cs="Times New Roman"/>
          <w:sz w:val="24"/>
          <w:szCs w:val="24"/>
        </w:rPr>
        <w:t xml:space="preserve"> (cf. 73</w:t>
      </w:r>
      <w:r w:rsidR="00903362" w:rsidRPr="005D3E24">
        <w:rPr>
          <w:rFonts w:ascii="Times New Roman" w:hAnsi="Times New Roman" w:cs="Times New Roman"/>
          <w:sz w:val="24"/>
          <w:szCs w:val="24"/>
        </w:rPr>
        <w:t xml:space="preserve"> per cent</w:t>
      </w:r>
      <w:r w:rsidRPr="005D3E24">
        <w:rPr>
          <w:rFonts w:ascii="Times New Roman" w:hAnsi="Times New Roman" w:cs="Times New Roman"/>
          <w:sz w:val="24"/>
          <w:szCs w:val="24"/>
        </w:rPr>
        <w:t xml:space="preserve"> EU average), with </w:t>
      </w:r>
      <w:r w:rsidR="00FA7D86" w:rsidRPr="005D3E24">
        <w:rPr>
          <w:rFonts w:ascii="Times New Roman" w:hAnsi="Times New Roman" w:cs="Times New Roman"/>
          <w:sz w:val="24"/>
          <w:szCs w:val="24"/>
        </w:rPr>
        <w:t xml:space="preserve">the </w:t>
      </w:r>
      <w:r w:rsidRPr="005D3E24">
        <w:rPr>
          <w:rFonts w:ascii="Times New Roman" w:hAnsi="Times New Roman" w:cs="Times New Roman"/>
          <w:sz w:val="24"/>
          <w:szCs w:val="24"/>
        </w:rPr>
        <w:t xml:space="preserve">incidence of externally provided courses declining over the 2010-2015 period. Any business-driven initiative to </w:t>
      </w:r>
      <w:r w:rsidR="00AA5898" w:rsidRPr="005D3E24">
        <w:rPr>
          <w:rFonts w:ascii="Times New Roman" w:hAnsi="Times New Roman" w:cs="Times New Roman"/>
          <w:sz w:val="24"/>
          <w:szCs w:val="24"/>
        </w:rPr>
        <w:t xml:space="preserve"> upgrade </w:t>
      </w:r>
      <w:r w:rsidR="001F73FB" w:rsidRPr="005D3E24">
        <w:rPr>
          <w:rFonts w:ascii="Times New Roman" w:hAnsi="Times New Roman" w:cs="Times New Roman"/>
          <w:sz w:val="24"/>
          <w:szCs w:val="24"/>
        </w:rPr>
        <w:t xml:space="preserve"> </w:t>
      </w:r>
      <w:r w:rsidRPr="005D3E24">
        <w:rPr>
          <w:rFonts w:ascii="Times New Roman" w:hAnsi="Times New Roman" w:cs="Times New Roman"/>
          <w:sz w:val="24"/>
          <w:szCs w:val="24"/>
        </w:rPr>
        <w:t xml:space="preserve">the </w:t>
      </w:r>
      <w:r w:rsidR="00FA7D86" w:rsidRPr="005D3E24">
        <w:rPr>
          <w:rFonts w:ascii="Times New Roman" w:hAnsi="Times New Roman" w:cs="Times New Roman"/>
          <w:sz w:val="24"/>
          <w:szCs w:val="24"/>
        </w:rPr>
        <w:t xml:space="preserve">system of </w:t>
      </w:r>
      <w:r w:rsidRPr="005D3E24">
        <w:rPr>
          <w:rFonts w:ascii="Times New Roman" w:hAnsi="Times New Roman" w:cs="Times New Roman"/>
          <w:sz w:val="24"/>
          <w:szCs w:val="24"/>
        </w:rPr>
        <w:t xml:space="preserve">skill </w:t>
      </w:r>
      <w:r w:rsidR="00FA7D86" w:rsidRPr="005D3E24">
        <w:rPr>
          <w:rFonts w:ascii="Times New Roman" w:hAnsi="Times New Roman" w:cs="Times New Roman"/>
          <w:sz w:val="24"/>
          <w:szCs w:val="24"/>
        </w:rPr>
        <w:t xml:space="preserve">formation </w:t>
      </w:r>
      <w:r w:rsidRPr="005D3E24">
        <w:rPr>
          <w:rFonts w:ascii="Times New Roman" w:hAnsi="Times New Roman" w:cs="Times New Roman"/>
          <w:sz w:val="24"/>
          <w:szCs w:val="24"/>
        </w:rPr>
        <w:t>seems unlikely, as 79</w:t>
      </w:r>
      <w:r w:rsidR="00903362" w:rsidRPr="005D3E24">
        <w:rPr>
          <w:rFonts w:ascii="Times New Roman" w:hAnsi="Times New Roman" w:cs="Times New Roman"/>
          <w:sz w:val="24"/>
          <w:szCs w:val="24"/>
        </w:rPr>
        <w:t xml:space="preserve"> per cent</w:t>
      </w:r>
      <w:r w:rsidRPr="005D3E24">
        <w:rPr>
          <w:rFonts w:ascii="Times New Roman" w:hAnsi="Times New Roman" w:cs="Times New Roman"/>
          <w:sz w:val="24"/>
          <w:szCs w:val="24"/>
        </w:rPr>
        <w:t xml:space="preserve"> of employers claimed that qualifications, skills and competences correspond to the current needs of their enterprises, while 65</w:t>
      </w:r>
      <w:r w:rsidR="00903362" w:rsidRPr="005D3E24">
        <w:rPr>
          <w:rFonts w:ascii="Times New Roman" w:hAnsi="Times New Roman" w:cs="Times New Roman"/>
          <w:sz w:val="24"/>
          <w:szCs w:val="24"/>
        </w:rPr>
        <w:t xml:space="preserve"> per cent</w:t>
      </w:r>
      <w:r w:rsidRPr="005D3E24">
        <w:rPr>
          <w:rFonts w:ascii="Times New Roman" w:hAnsi="Times New Roman" w:cs="Times New Roman"/>
          <w:sz w:val="24"/>
          <w:szCs w:val="24"/>
        </w:rPr>
        <w:t xml:space="preserve"> assessed the level of training they provide as appropriate (cf.  52</w:t>
      </w:r>
      <w:r w:rsidR="00903362" w:rsidRPr="005D3E24">
        <w:rPr>
          <w:rFonts w:ascii="Times New Roman" w:hAnsi="Times New Roman" w:cs="Times New Roman"/>
          <w:sz w:val="24"/>
          <w:szCs w:val="24"/>
        </w:rPr>
        <w:t xml:space="preserve"> per cent</w:t>
      </w:r>
      <w:r w:rsidRPr="005D3E24">
        <w:rPr>
          <w:rFonts w:ascii="Times New Roman" w:hAnsi="Times New Roman" w:cs="Times New Roman"/>
          <w:sz w:val="24"/>
          <w:szCs w:val="24"/>
        </w:rPr>
        <w:t xml:space="preserve"> EU average).</w:t>
      </w:r>
    </w:p>
    <w:p w14:paraId="65A7B20A" w14:textId="7564FC02" w:rsidR="003D0269" w:rsidRPr="005D3E24" w:rsidRDefault="00015B25" w:rsidP="005D3E24">
      <w:pPr>
        <w:spacing w:after="0" w:line="480" w:lineRule="auto"/>
        <w:ind w:firstLine="284"/>
        <w:jc w:val="both"/>
        <w:rPr>
          <w:rFonts w:ascii="Times New Roman" w:hAnsi="Times New Roman" w:cs="Times New Roman"/>
          <w:sz w:val="24"/>
          <w:szCs w:val="24"/>
        </w:rPr>
      </w:pPr>
      <w:r>
        <w:rPr>
          <w:rFonts w:ascii="Times New Roman" w:hAnsi="Times New Roman" w:cs="Times New Roman"/>
          <w:sz w:val="24"/>
          <w:szCs w:val="24"/>
        </w:rPr>
        <w:t>A</w:t>
      </w:r>
      <w:r w:rsidR="00811C6E" w:rsidRPr="005D3E24">
        <w:rPr>
          <w:rFonts w:ascii="Times New Roman" w:hAnsi="Times New Roman" w:cs="Times New Roman"/>
          <w:sz w:val="24"/>
          <w:szCs w:val="24"/>
        </w:rPr>
        <w:t>dult</w:t>
      </w:r>
      <w:r w:rsidR="00B0057C" w:rsidRPr="005D3E24">
        <w:rPr>
          <w:rFonts w:ascii="Times New Roman" w:hAnsi="Times New Roman" w:cs="Times New Roman"/>
          <w:sz w:val="24"/>
          <w:szCs w:val="24"/>
        </w:rPr>
        <w:t xml:space="preserve"> education </w:t>
      </w:r>
      <w:r w:rsidR="00811C6E" w:rsidRPr="005D3E24">
        <w:rPr>
          <w:rFonts w:ascii="Times New Roman" w:hAnsi="Times New Roman" w:cs="Times New Roman"/>
          <w:sz w:val="24"/>
          <w:szCs w:val="24"/>
        </w:rPr>
        <w:t>holds</w:t>
      </w:r>
      <w:r w:rsidR="00B0057C" w:rsidRPr="005D3E24">
        <w:rPr>
          <w:rFonts w:ascii="Times New Roman" w:hAnsi="Times New Roman" w:cs="Times New Roman"/>
          <w:sz w:val="24"/>
          <w:szCs w:val="24"/>
        </w:rPr>
        <w:t xml:space="preserve"> a </w:t>
      </w:r>
      <w:r w:rsidR="00604D02" w:rsidRPr="005D3E24">
        <w:rPr>
          <w:rFonts w:ascii="Times New Roman" w:hAnsi="Times New Roman" w:cs="Times New Roman"/>
          <w:sz w:val="24"/>
          <w:szCs w:val="24"/>
        </w:rPr>
        <w:t xml:space="preserve">prominent place in </w:t>
      </w:r>
      <w:r w:rsidR="009417DD" w:rsidRPr="005D3E24">
        <w:rPr>
          <w:rFonts w:ascii="Times New Roman" w:hAnsi="Times New Roman" w:cs="Times New Roman"/>
          <w:sz w:val="24"/>
          <w:szCs w:val="24"/>
        </w:rPr>
        <w:t xml:space="preserve">the </w:t>
      </w:r>
      <w:r w:rsidR="00604D02" w:rsidRPr="005D3E24">
        <w:rPr>
          <w:rFonts w:ascii="Times New Roman" w:hAnsi="Times New Roman" w:cs="Times New Roman"/>
          <w:sz w:val="24"/>
          <w:szCs w:val="24"/>
        </w:rPr>
        <w:t xml:space="preserve">Strategy for Science, Education and Technology (Hrvatski sabor 2014), </w:t>
      </w:r>
      <w:r>
        <w:rPr>
          <w:rFonts w:ascii="Times New Roman" w:hAnsi="Times New Roman" w:cs="Times New Roman"/>
          <w:sz w:val="24"/>
          <w:szCs w:val="24"/>
        </w:rPr>
        <w:t xml:space="preserve">but </w:t>
      </w:r>
      <w:r w:rsidR="00604D02" w:rsidRPr="005D3E24">
        <w:rPr>
          <w:rFonts w:ascii="Times New Roman" w:hAnsi="Times New Roman" w:cs="Times New Roman"/>
          <w:sz w:val="24"/>
          <w:szCs w:val="24"/>
        </w:rPr>
        <w:t>public</w:t>
      </w:r>
      <w:r w:rsidR="00604D02" w:rsidRPr="00015B25">
        <w:t xml:space="preserve"> </w:t>
      </w:r>
      <w:r w:rsidR="00604D02" w:rsidRPr="005D3E24">
        <w:rPr>
          <w:rFonts w:ascii="Times New Roman" w:hAnsi="Times New Roman" w:cs="Times New Roman"/>
          <w:sz w:val="24"/>
          <w:szCs w:val="24"/>
        </w:rPr>
        <w:t xml:space="preserve">and political interest </w:t>
      </w:r>
      <w:r>
        <w:rPr>
          <w:rFonts w:ascii="Times New Roman" w:hAnsi="Times New Roman" w:cs="Times New Roman"/>
          <w:sz w:val="24"/>
          <w:szCs w:val="24"/>
        </w:rPr>
        <w:t xml:space="preserve">has </w:t>
      </w:r>
      <w:r w:rsidR="00604D02" w:rsidRPr="005D3E24">
        <w:rPr>
          <w:rFonts w:ascii="Times New Roman" w:hAnsi="Times New Roman" w:cs="Times New Roman"/>
          <w:sz w:val="24"/>
          <w:szCs w:val="24"/>
        </w:rPr>
        <w:t>remained</w:t>
      </w:r>
      <w:r w:rsidR="001F73FB" w:rsidRPr="005D3E24">
        <w:rPr>
          <w:rFonts w:ascii="Times New Roman" w:hAnsi="Times New Roman" w:cs="Times New Roman"/>
          <w:sz w:val="24"/>
          <w:szCs w:val="24"/>
        </w:rPr>
        <w:t xml:space="preserve"> </w:t>
      </w:r>
      <w:r w:rsidR="009417DD" w:rsidRPr="005D3E24">
        <w:rPr>
          <w:rFonts w:ascii="Times New Roman" w:hAnsi="Times New Roman" w:cs="Times New Roman"/>
          <w:sz w:val="24"/>
          <w:szCs w:val="24"/>
        </w:rPr>
        <w:t>lukewarm</w:t>
      </w:r>
      <w:r w:rsidR="00604D02" w:rsidRPr="005D3E24">
        <w:rPr>
          <w:rFonts w:ascii="Times New Roman" w:hAnsi="Times New Roman" w:cs="Times New Roman"/>
          <w:sz w:val="24"/>
          <w:szCs w:val="24"/>
        </w:rPr>
        <w:t xml:space="preserve">, </w:t>
      </w:r>
      <w:r w:rsidR="00811C6E" w:rsidRPr="005D3E24">
        <w:rPr>
          <w:rFonts w:ascii="Times New Roman" w:hAnsi="Times New Roman" w:cs="Times New Roman"/>
          <w:sz w:val="24"/>
          <w:szCs w:val="24"/>
        </w:rPr>
        <w:t xml:space="preserve">while </w:t>
      </w:r>
      <w:r w:rsidR="00604D02" w:rsidRPr="005D3E24">
        <w:rPr>
          <w:rFonts w:ascii="Times New Roman" w:hAnsi="Times New Roman" w:cs="Times New Roman"/>
          <w:sz w:val="24"/>
          <w:szCs w:val="24"/>
        </w:rPr>
        <w:t>the</w:t>
      </w:r>
      <w:r w:rsidR="00B0057C" w:rsidRPr="005D3E24">
        <w:rPr>
          <w:rFonts w:ascii="Times New Roman" w:hAnsi="Times New Roman" w:cs="Times New Roman"/>
          <w:sz w:val="24"/>
          <w:szCs w:val="24"/>
        </w:rPr>
        <w:t xml:space="preserve"> amendments to </w:t>
      </w:r>
      <w:r w:rsidR="00604D02" w:rsidRPr="005D3E24">
        <w:rPr>
          <w:rFonts w:ascii="Times New Roman" w:hAnsi="Times New Roman" w:cs="Times New Roman"/>
          <w:sz w:val="24"/>
          <w:szCs w:val="24"/>
        </w:rPr>
        <w:t xml:space="preserve">the Adult Education Act and improvements in quality assurance stalled during the 2015-2020 period </w:t>
      </w:r>
      <w:bookmarkStart w:id="74" w:name="__Fieldmark__1072_131419714"/>
      <w:r w:rsidR="00604D02" w:rsidRPr="005D3E24">
        <w:rPr>
          <w:rFonts w:ascii="Times New Roman" w:hAnsi="Times New Roman" w:cs="Times New Roman"/>
          <w:sz w:val="24"/>
          <w:szCs w:val="24"/>
        </w:rPr>
        <w:t>(Žiljak 2018)</w:t>
      </w:r>
      <w:bookmarkStart w:id="75" w:name="__Fieldmark__626_241477822"/>
      <w:bookmarkStart w:id="76" w:name="__Fieldmark__1000_2097806078"/>
      <w:bookmarkStart w:id="77" w:name="__Fieldmark__5417_374039044"/>
      <w:bookmarkEnd w:id="74"/>
      <w:bookmarkEnd w:id="75"/>
      <w:bookmarkEnd w:id="76"/>
      <w:bookmarkEnd w:id="77"/>
      <w:r w:rsidR="00604D02" w:rsidRPr="005D3E24">
        <w:rPr>
          <w:rFonts w:ascii="Times New Roman" w:hAnsi="Times New Roman" w:cs="Times New Roman"/>
          <w:sz w:val="24"/>
          <w:szCs w:val="24"/>
        </w:rPr>
        <w:t>.</w:t>
      </w:r>
    </w:p>
    <w:p w14:paraId="6D661574" w14:textId="77777777" w:rsidR="003D0269" w:rsidRPr="005D3E24" w:rsidRDefault="003D0269" w:rsidP="005D3E24">
      <w:pPr>
        <w:spacing w:after="0" w:line="480" w:lineRule="auto"/>
        <w:jc w:val="both"/>
        <w:rPr>
          <w:rFonts w:ascii="Times New Roman" w:hAnsi="Times New Roman" w:cs="Times New Roman"/>
          <w:sz w:val="24"/>
          <w:szCs w:val="24"/>
        </w:rPr>
      </w:pPr>
    </w:p>
    <w:p w14:paraId="0051EB98" w14:textId="11357C18" w:rsidR="003D0269" w:rsidRPr="005D3E24" w:rsidRDefault="00604D02" w:rsidP="005D3E24">
      <w:pPr>
        <w:spacing w:after="0" w:line="480" w:lineRule="auto"/>
        <w:jc w:val="both"/>
        <w:rPr>
          <w:rFonts w:ascii="Times New Roman" w:hAnsi="Times New Roman" w:cs="Times New Roman"/>
          <w:b/>
          <w:bCs/>
          <w:sz w:val="24"/>
          <w:szCs w:val="24"/>
        </w:rPr>
      </w:pPr>
      <w:r w:rsidRPr="005D3E24">
        <w:rPr>
          <w:rFonts w:ascii="Times New Roman" w:hAnsi="Times New Roman" w:cs="Times New Roman"/>
          <w:b/>
          <w:bCs/>
          <w:sz w:val="24"/>
          <w:szCs w:val="24"/>
        </w:rPr>
        <w:t xml:space="preserve">Social partnership and skill </w:t>
      </w:r>
      <w:r w:rsidR="00E27BE1">
        <w:rPr>
          <w:rFonts w:ascii="Times New Roman" w:hAnsi="Times New Roman" w:cs="Times New Roman"/>
          <w:b/>
          <w:bCs/>
          <w:sz w:val="24"/>
          <w:szCs w:val="24"/>
        </w:rPr>
        <w:t>formation</w:t>
      </w:r>
      <w:r w:rsidR="00E27BE1" w:rsidRPr="005D3E24">
        <w:rPr>
          <w:rFonts w:ascii="Times New Roman" w:hAnsi="Times New Roman" w:cs="Times New Roman"/>
          <w:b/>
          <w:bCs/>
          <w:sz w:val="24"/>
          <w:szCs w:val="24"/>
        </w:rPr>
        <w:t xml:space="preserve"> </w:t>
      </w:r>
      <w:r w:rsidRPr="005D3E24">
        <w:rPr>
          <w:rFonts w:ascii="Times New Roman" w:hAnsi="Times New Roman" w:cs="Times New Roman"/>
          <w:b/>
          <w:bCs/>
          <w:sz w:val="24"/>
          <w:szCs w:val="24"/>
        </w:rPr>
        <w:t>in Croatia</w:t>
      </w:r>
    </w:p>
    <w:p w14:paraId="61C7E1C9" w14:textId="47FD3739" w:rsidR="003D0269" w:rsidRPr="005D3E24" w:rsidRDefault="00604D02" w:rsidP="005D3E24">
      <w:pPr>
        <w:spacing w:after="0" w:line="480" w:lineRule="auto"/>
        <w:jc w:val="both"/>
        <w:rPr>
          <w:rFonts w:ascii="Times New Roman" w:hAnsi="Times New Roman" w:cs="Times New Roman"/>
          <w:sz w:val="24"/>
          <w:szCs w:val="24"/>
        </w:rPr>
      </w:pPr>
      <w:r w:rsidRPr="005D3E24">
        <w:rPr>
          <w:rFonts w:ascii="Times New Roman" w:hAnsi="Times New Roman" w:cs="Times New Roman"/>
          <w:sz w:val="24"/>
          <w:szCs w:val="24"/>
        </w:rPr>
        <w:t xml:space="preserve">Several factors </w:t>
      </w:r>
      <w:r w:rsidR="00722A27" w:rsidRPr="005D3E24">
        <w:rPr>
          <w:rFonts w:ascii="Times New Roman" w:hAnsi="Times New Roman" w:cs="Times New Roman"/>
          <w:sz w:val="24"/>
          <w:szCs w:val="24"/>
        </w:rPr>
        <w:t xml:space="preserve">have </w:t>
      </w:r>
      <w:r w:rsidR="00811C6E" w:rsidRPr="005D3E24">
        <w:rPr>
          <w:rFonts w:ascii="Times New Roman" w:hAnsi="Times New Roman" w:cs="Times New Roman"/>
          <w:sz w:val="24"/>
          <w:szCs w:val="24"/>
        </w:rPr>
        <w:t>affect</w:t>
      </w:r>
      <w:r w:rsidR="00722A27" w:rsidRPr="005D3E24">
        <w:rPr>
          <w:rFonts w:ascii="Times New Roman" w:hAnsi="Times New Roman" w:cs="Times New Roman"/>
          <w:sz w:val="24"/>
          <w:szCs w:val="24"/>
        </w:rPr>
        <w:t>ed</w:t>
      </w:r>
      <w:r w:rsidRPr="005D3E24">
        <w:rPr>
          <w:rFonts w:ascii="Times New Roman" w:hAnsi="Times New Roman" w:cs="Times New Roman"/>
          <w:sz w:val="24"/>
          <w:szCs w:val="24"/>
        </w:rPr>
        <w:t xml:space="preserve"> the current state of social partnership </w:t>
      </w:r>
      <w:r w:rsidR="00722A27" w:rsidRPr="005D3E24">
        <w:rPr>
          <w:rFonts w:ascii="Times New Roman" w:hAnsi="Times New Roman" w:cs="Times New Roman"/>
          <w:sz w:val="24"/>
          <w:szCs w:val="24"/>
        </w:rPr>
        <w:t>with</w:t>
      </w:r>
      <w:r w:rsidRPr="005D3E24">
        <w:rPr>
          <w:rFonts w:ascii="Times New Roman" w:hAnsi="Times New Roman" w:cs="Times New Roman"/>
          <w:sz w:val="24"/>
          <w:szCs w:val="24"/>
        </w:rPr>
        <w:t xml:space="preserve">in the Croatian </w:t>
      </w:r>
      <w:r w:rsidR="00722A27" w:rsidRPr="005D3E24">
        <w:rPr>
          <w:rFonts w:ascii="Times New Roman" w:hAnsi="Times New Roman" w:cs="Times New Roman"/>
          <w:sz w:val="24"/>
          <w:szCs w:val="24"/>
        </w:rPr>
        <w:t xml:space="preserve">system of </w:t>
      </w:r>
      <w:r w:rsidRPr="005D3E24">
        <w:rPr>
          <w:rFonts w:ascii="Times New Roman" w:hAnsi="Times New Roman" w:cs="Times New Roman"/>
          <w:sz w:val="24"/>
          <w:szCs w:val="24"/>
        </w:rPr>
        <w:t>skill</w:t>
      </w:r>
      <w:r w:rsidR="00722A27" w:rsidRPr="005D3E24">
        <w:rPr>
          <w:rFonts w:ascii="Times New Roman" w:hAnsi="Times New Roman" w:cs="Times New Roman"/>
          <w:sz w:val="24"/>
          <w:szCs w:val="24"/>
        </w:rPr>
        <w:t xml:space="preserve"> formation</w:t>
      </w:r>
      <w:r w:rsidRPr="005D3E24">
        <w:rPr>
          <w:rFonts w:ascii="Times New Roman" w:hAnsi="Times New Roman" w:cs="Times New Roman"/>
          <w:sz w:val="24"/>
          <w:szCs w:val="24"/>
        </w:rPr>
        <w:t xml:space="preserve">. The first is weak co-ordination, exemplified </w:t>
      </w:r>
      <w:r w:rsidR="00722A27" w:rsidRPr="005D3E24">
        <w:rPr>
          <w:rFonts w:ascii="Times New Roman" w:hAnsi="Times New Roman" w:cs="Times New Roman"/>
          <w:sz w:val="24"/>
          <w:szCs w:val="24"/>
        </w:rPr>
        <w:t xml:space="preserve">by the </w:t>
      </w:r>
      <w:r w:rsidRPr="005D3E24">
        <w:rPr>
          <w:rFonts w:ascii="Times New Roman" w:hAnsi="Times New Roman" w:cs="Times New Roman"/>
          <w:sz w:val="24"/>
          <w:szCs w:val="24"/>
        </w:rPr>
        <w:t xml:space="preserve">various advisory councils </w:t>
      </w:r>
      <w:r w:rsidR="00DE1C99" w:rsidRPr="005D3E24">
        <w:rPr>
          <w:rFonts w:ascii="Times New Roman" w:hAnsi="Times New Roman" w:cs="Times New Roman"/>
          <w:sz w:val="24"/>
          <w:szCs w:val="24"/>
        </w:rPr>
        <w:t xml:space="preserve">established </w:t>
      </w:r>
      <w:r w:rsidRPr="005D3E24">
        <w:rPr>
          <w:rFonts w:ascii="Times New Roman" w:hAnsi="Times New Roman" w:cs="Times New Roman"/>
          <w:sz w:val="24"/>
          <w:szCs w:val="24"/>
        </w:rPr>
        <w:t>since the 2000s.</w:t>
      </w:r>
      <w:r w:rsidR="00E354F1" w:rsidRPr="005D3E24">
        <w:rPr>
          <w:rFonts w:ascii="Times New Roman" w:hAnsi="Times New Roman" w:cs="Times New Roman"/>
          <w:sz w:val="24"/>
          <w:szCs w:val="24"/>
        </w:rPr>
        <w:t xml:space="preserve"> This includes </w:t>
      </w:r>
      <w:r w:rsidRPr="005D3E24">
        <w:rPr>
          <w:rFonts w:ascii="Times New Roman" w:hAnsi="Times New Roman" w:cs="Times New Roman"/>
          <w:sz w:val="24"/>
          <w:szCs w:val="24"/>
        </w:rPr>
        <w:t>the Council for VET (</w:t>
      </w:r>
      <w:r w:rsidR="00E354F1" w:rsidRPr="005D3E24">
        <w:rPr>
          <w:rFonts w:ascii="Times New Roman" w:hAnsi="Times New Roman" w:cs="Times New Roman"/>
          <w:sz w:val="24"/>
          <w:szCs w:val="24"/>
        </w:rPr>
        <w:t>2009</w:t>
      </w:r>
      <w:r w:rsidRPr="005D3E24">
        <w:rPr>
          <w:rFonts w:ascii="Times New Roman" w:hAnsi="Times New Roman" w:cs="Times New Roman"/>
          <w:sz w:val="24"/>
          <w:szCs w:val="24"/>
        </w:rPr>
        <w:t xml:space="preserve">), </w:t>
      </w:r>
      <w:r w:rsidR="00722A27" w:rsidRPr="005D3E24">
        <w:rPr>
          <w:rFonts w:ascii="Times New Roman" w:hAnsi="Times New Roman" w:cs="Times New Roman"/>
          <w:sz w:val="24"/>
          <w:szCs w:val="24"/>
        </w:rPr>
        <w:t xml:space="preserve">the </w:t>
      </w:r>
      <w:r w:rsidRPr="005D3E24">
        <w:rPr>
          <w:rFonts w:ascii="Times New Roman" w:hAnsi="Times New Roman" w:cs="Times New Roman"/>
          <w:sz w:val="24"/>
          <w:szCs w:val="24"/>
        </w:rPr>
        <w:t>National Council for Science, Higher Education and Technological Development (NCSHETD</w:t>
      </w:r>
      <w:r w:rsidR="00E354F1" w:rsidRPr="005D3E24">
        <w:rPr>
          <w:rFonts w:ascii="Times New Roman" w:hAnsi="Times New Roman" w:cs="Times New Roman"/>
          <w:sz w:val="24"/>
          <w:szCs w:val="24"/>
        </w:rPr>
        <w:t>, 2004</w:t>
      </w:r>
      <w:r w:rsidRPr="005D3E24">
        <w:rPr>
          <w:rFonts w:ascii="Times New Roman" w:hAnsi="Times New Roman" w:cs="Times New Roman"/>
          <w:sz w:val="24"/>
          <w:szCs w:val="24"/>
        </w:rPr>
        <w:t>) and the National Council for Human Potential Development (NCHPD</w:t>
      </w:r>
      <w:r w:rsidR="00E354F1" w:rsidRPr="005D3E24">
        <w:rPr>
          <w:rFonts w:ascii="Times New Roman" w:hAnsi="Times New Roman" w:cs="Times New Roman"/>
          <w:sz w:val="24"/>
          <w:szCs w:val="24"/>
        </w:rPr>
        <w:t xml:space="preserve">, </w:t>
      </w:r>
      <w:r w:rsidR="00464222" w:rsidRPr="005D3E24">
        <w:rPr>
          <w:rFonts w:ascii="Times New Roman" w:hAnsi="Times New Roman" w:cs="Times New Roman"/>
          <w:sz w:val="24"/>
          <w:szCs w:val="24"/>
        </w:rPr>
        <w:t>2014</w:t>
      </w:r>
      <w:r w:rsidRPr="005D3E24">
        <w:rPr>
          <w:rFonts w:ascii="Times New Roman" w:hAnsi="Times New Roman" w:cs="Times New Roman"/>
          <w:sz w:val="24"/>
          <w:szCs w:val="24"/>
        </w:rPr>
        <w:t xml:space="preserve">). The latter is a central forum </w:t>
      </w:r>
      <w:r w:rsidR="00722A27" w:rsidRPr="005D3E24">
        <w:rPr>
          <w:rFonts w:ascii="Times New Roman" w:hAnsi="Times New Roman" w:cs="Times New Roman"/>
          <w:sz w:val="24"/>
          <w:szCs w:val="24"/>
        </w:rPr>
        <w:t xml:space="preserve">established </w:t>
      </w:r>
      <w:r w:rsidRPr="005D3E24">
        <w:rPr>
          <w:rFonts w:ascii="Times New Roman" w:hAnsi="Times New Roman" w:cs="Times New Roman"/>
          <w:sz w:val="24"/>
          <w:szCs w:val="24"/>
        </w:rPr>
        <w:t>to monitor and improve the implementation of reforms, revolving around the national qualification framework. A common feature of all these forums is their broad membership: their 18 (NCSHETD), 21 (C</w:t>
      </w:r>
      <w:r w:rsidR="005A1753" w:rsidRPr="005D3E24">
        <w:rPr>
          <w:rFonts w:ascii="Times New Roman" w:hAnsi="Times New Roman" w:cs="Times New Roman"/>
          <w:sz w:val="24"/>
          <w:szCs w:val="24"/>
        </w:rPr>
        <w:t xml:space="preserve">ouncil for </w:t>
      </w:r>
      <w:r w:rsidRPr="005D3E24">
        <w:rPr>
          <w:rFonts w:ascii="Times New Roman" w:hAnsi="Times New Roman" w:cs="Times New Roman"/>
          <w:sz w:val="24"/>
          <w:szCs w:val="24"/>
        </w:rPr>
        <w:t xml:space="preserve">VET), and 25 (NCHPD) members are usually drawn from state </w:t>
      </w:r>
      <w:r w:rsidRPr="005D3E24">
        <w:rPr>
          <w:rFonts w:ascii="Times New Roman" w:hAnsi="Times New Roman" w:cs="Times New Roman"/>
          <w:sz w:val="24"/>
          <w:szCs w:val="24"/>
        </w:rPr>
        <w:lastRenderedPageBreak/>
        <w:t>administration, business associations (including chambers), and trade unions. Academic professionals are also represented — as are, sometimes, other stakeholders such as NGOs or individual entrepreneurs. Another important feature of such national councils is their strictly advisory</w:t>
      </w:r>
      <w:r w:rsidR="00015B25">
        <w:rPr>
          <w:rFonts w:ascii="Times New Roman" w:hAnsi="Times New Roman" w:cs="Times New Roman"/>
          <w:sz w:val="24"/>
          <w:szCs w:val="24"/>
        </w:rPr>
        <w:t xml:space="preserve"> role</w:t>
      </w:r>
      <w:r w:rsidRPr="005D3E24">
        <w:rPr>
          <w:rFonts w:ascii="Times New Roman" w:hAnsi="Times New Roman" w:cs="Times New Roman"/>
          <w:sz w:val="24"/>
          <w:szCs w:val="24"/>
        </w:rPr>
        <w:t>, even though the members of the NCSHETD and NCHPD are elected by the Croatian Parliament</w:t>
      </w:r>
      <w:r w:rsidR="00413EA5" w:rsidRPr="005D3E24">
        <w:rPr>
          <w:rFonts w:ascii="Times New Roman" w:hAnsi="Times New Roman" w:cs="Times New Roman"/>
          <w:sz w:val="24"/>
          <w:szCs w:val="24"/>
        </w:rPr>
        <w:t xml:space="preserve"> (CVET members are appointed by the minister in charge of education)</w:t>
      </w:r>
      <w:r w:rsidRPr="005D3E24">
        <w:rPr>
          <w:rFonts w:ascii="Times New Roman" w:hAnsi="Times New Roman" w:cs="Times New Roman"/>
          <w:sz w:val="24"/>
          <w:szCs w:val="24"/>
        </w:rPr>
        <w:t>. These bodies sometimes face prolonged periods of inactivity</w:t>
      </w:r>
      <w:r w:rsidR="00B74021" w:rsidRPr="005D3E24">
        <w:rPr>
          <w:rFonts w:ascii="Times New Roman" w:hAnsi="Times New Roman" w:cs="Times New Roman"/>
          <w:sz w:val="24"/>
          <w:szCs w:val="24"/>
        </w:rPr>
        <w:t xml:space="preserve">, </w:t>
      </w:r>
      <w:r w:rsidRPr="005D3E24">
        <w:rPr>
          <w:rFonts w:ascii="Times New Roman" w:hAnsi="Times New Roman" w:cs="Times New Roman"/>
          <w:sz w:val="24"/>
          <w:szCs w:val="24"/>
        </w:rPr>
        <w:t xml:space="preserve">usually because new appointments have yet to be confirmed by the </w:t>
      </w:r>
      <w:r w:rsidR="00B74021" w:rsidRPr="005D3E24">
        <w:rPr>
          <w:rFonts w:ascii="Times New Roman" w:hAnsi="Times New Roman" w:cs="Times New Roman"/>
          <w:sz w:val="24"/>
          <w:szCs w:val="24"/>
        </w:rPr>
        <w:t>competent bodies</w:t>
      </w:r>
      <w:r w:rsidRPr="005D3E24">
        <w:rPr>
          <w:rFonts w:ascii="Times New Roman" w:hAnsi="Times New Roman" w:cs="Times New Roman"/>
          <w:sz w:val="24"/>
          <w:szCs w:val="24"/>
        </w:rPr>
        <w:t>.</w:t>
      </w:r>
      <w:r w:rsidR="00E354F1" w:rsidRPr="005D3E24">
        <w:rPr>
          <w:rFonts w:ascii="Times New Roman" w:hAnsi="Times New Roman" w:cs="Times New Roman"/>
          <w:sz w:val="24"/>
          <w:szCs w:val="24"/>
        </w:rPr>
        <w:t xml:space="preserve"> </w:t>
      </w:r>
      <w:r w:rsidR="00B74021" w:rsidRPr="005D3E24">
        <w:rPr>
          <w:rFonts w:ascii="Times New Roman" w:hAnsi="Times New Roman" w:cs="Times New Roman"/>
          <w:sz w:val="24"/>
          <w:szCs w:val="24"/>
        </w:rPr>
        <w:t>Unlike proactive examples such as Austria</w:t>
      </w:r>
      <w:r w:rsidR="00015B25">
        <w:rPr>
          <w:rFonts w:ascii="Times New Roman" w:hAnsi="Times New Roman" w:cs="Times New Roman"/>
          <w:sz w:val="24"/>
          <w:szCs w:val="24"/>
        </w:rPr>
        <w:t>’</w:t>
      </w:r>
      <w:r w:rsidR="00B74021" w:rsidRPr="005D3E24">
        <w:rPr>
          <w:rFonts w:ascii="Times New Roman" w:hAnsi="Times New Roman" w:cs="Times New Roman"/>
          <w:sz w:val="24"/>
          <w:szCs w:val="24"/>
        </w:rPr>
        <w:t>s Federal Council for Apprenticeships (</w:t>
      </w:r>
      <w:r w:rsidR="00B74021" w:rsidRPr="005D3E24">
        <w:rPr>
          <w:rFonts w:ascii="Times New Roman" w:hAnsi="Times New Roman" w:cs="Times New Roman"/>
          <w:i/>
          <w:iCs/>
          <w:sz w:val="24"/>
          <w:szCs w:val="24"/>
        </w:rPr>
        <w:t>Bundesberufsausbildungsbeirat, BABB</w:t>
      </w:r>
      <w:r w:rsidR="00B74021" w:rsidRPr="005D3E24">
        <w:rPr>
          <w:rFonts w:ascii="Times New Roman" w:hAnsi="Times New Roman" w:cs="Times New Roman"/>
          <w:sz w:val="24"/>
          <w:szCs w:val="24"/>
        </w:rPr>
        <w:t>), which all but autonomously put forward a proposal for a key bylaw governing the delivery of apprenticeships (BMA 2012</w:t>
      </w:r>
      <w:r w:rsidR="00015B25">
        <w:rPr>
          <w:rFonts w:ascii="Times New Roman" w:hAnsi="Times New Roman" w:cs="Times New Roman"/>
          <w:sz w:val="24"/>
          <w:szCs w:val="24"/>
        </w:rPr>
        <w:t>,</w:t>
      </w:r>
      <w:r w:rsidR="00B74021" w:rsidRPr="005D3E24">
        <w:rPr>
          <w:rFonts w:ascii="Times New Roman" w:hAnsi="Times New Roman" w:cs="Times New Roman"/>
          <w:sz w:val="24"/>
          <w:szCs w:val="24"/>
        </w:rPr>
        <w:t xml:space="preserve"> 21), t</w:t>
      </w:r>
      <w:r w:rsidR="00E354F1" w:rsidRPr="005D3E24">
        <w:rPr>
          <w:rFonts w:ascii="Times New Roman" w:hAnsi="Times New Roman" w:cs="Times New Roman"/>
          <w:sz w:val="24"/>
          <w:szCs w:val="24"/>
        </w:rPr>
        <w:t>he existing literature shows little evidence of those bodies significantly influencing policy</w:t>
      </w:r>
      <w:r w:rsidR="00B74021" w:rsidRPr="005D3E24">
        <w:rPr>
          <w:rFonts w:ascii="Times New Roman" w:hAnsi="Times New Roman" w:cs="Times New Roman"/>
          <w:sz w:val="24"/>
          <w:szCs w:val="24"/>
        </w:rPr>
        <w:t xml:space="preserve"> in Croatia.</w:t>
      </w:r>
      <w:r w:rsidRPr="005D3E24">
        <w:rPr>
          <w:rFonts w:ascii="Times New Roman" w:hAnsi="Times New Roman" w:cs="Times New Roman"/>
          <w:sz w:val="24"/>
          <w:szCs w:val="24"/>
        </w:rPr>
        <w:t xml:space="preserve"> This could be attributed primarily to lack of tradition and institutional capacity for participative policymaking, but also </w:t>
      </w:r>
      <w:r w:rsidR="000246F1" w:rsidRPr="005D3E24">
        <w:rPr>
          <w:rFonts w:ascii="Times New Roman" w:hAnsi="Times New Roman" w:cs="Times New Roman"/>
          <w:sz w:val="24"/>
          <w:szCs w:val="24"/>
        </w:rPr>
        <w:t xml:space="preserve">reflects the nature </w:t>
      </w:r>
      <w:r w:rsidRPr="005D3E24">
        <w:rPr>
          <w:rFonts w:ascii="Times New Roman" w:hAnsi="Times New Roman" w:cs="Times New Roman"/>
          <w:sz w:val="24"/>
          <w:szCs w:val="24"/>
        </w:rPr>
        <w:t>of social partnership in Croatia</w:t>
      </w:r>
      <w:r w:rsidR="00015B25">
        <w:rPr>
          <w:rFonts w:ascii="Times New Roman" w:hAnsi="Times New Roman" w:cs="Times New Roman"/>
          <w:sz w:val="24"/>
          <w:szCs w:val="24"/>
        </w:rPr>
        <w:t>,</w:t>
      </w:r>
      <w:r w:rsidRPr="005D3E24">
        <w:rPr>
          <w:rFonts w:ascii="Times New Roman" w:hAnsi="Times New Roman" w:cs="Times New Roman"/>
          <w:sz w:val="24"/>
          <w:szCs w:val="24"/>
        </w:rPr>
        <w:t xml:space="preserve"> which </w:t>
      </w:r>
      <w:r w:rsidR="000246F1" w:rsidRPr="005D3E24">
        <w:rPr>
          <w:rFonts w:ascii="Times New Roman" w:hAnsi="Times New Roman" w:cs="Times New Roman"/>
          <w:sz w:val="24"/>
          <w:szCs w:val="24"/>
        </w:rPr>
        <w:t xml:space="preserve">is </w:t>
      </w:r>
      <w:r w:rsidRPr="005D3E24">
        <w:rPr>
          <w:rFonts w:ascii="Times New Roman" w:hAnsi="Times New Roman" w:cs="Times New Roman"/>
          <w:sz w:val="24"/>
          <w:szCs w:val="24"/>
        </w:rPr>
        <w:t xml:space="preserve">elaborated in the following paragraphs. </w:t>
      </w:r>
    </w:p>
    <w:p w14:paraId="12F99E36" w14:textId="54F17ED6" w:rsidR="003D0269" w:rsidRPr="005D3E24" w:rsidRDefault="00464222" w:rsidP="005D3E24">
      <w:pPr>
        <w:spacing w:after="0" w:line="480" w:lineRule="auto"/>
        <w:ind w:firstLine="284"/>
        <w:jc w:val="both"/>
        <w:rPr>
          <w:rFonts w:ascii="Times New Roman" w:hAnsi="Times New Roman" w:cs="Times New Roman"/>
          <w:sz w:val="24"/>
          <w:szCs w:val="24"/>
        </w:rPr>
      </w:pPr>
      <w:r w:rsidRPr="005D3E24">
        <w:rPr>
          <w:rFonts w:ascii="Times New Roman" w:hAnsi="Times New Roman" w:cs="Times New Roman"/>
          <w:sz w:val="24"/>
          <w:szCs w:val="24"/>
        </w:rPr>
        <w:t xml:space="preserve">Second, with respect </w:t>
      </w:r>
      <w:r w:rsidR="00604D02" w:rsidRPr="005D3E24">
        <w:rPr>
          <w:rFonts w:ascii="Times New Roman" w:hAnsi="Times New Roman" w:cs="Times New Roman"/>
          <w:sz w:val="24"/>
          <w:szCs w:val="24"/>
        </w:rPr>
        <w:t xml:space="preserve">to tripartite social dialogue, the national-level Economic and Social Council (ESC) represents a key forum for coordination among social partners: the central state, the representative association of employers, and three trade union federations. </w:t>
      </w:r>
      <w:r w:rsidRPr="005D3E24">
        <w:rPr>
          <w:rFonts w:ascii="Times New Roman" w:hAnsi="Times New Roman" w:cs="Times New Roman"/>
          <w:sz w:val="24"/>
          <w:szCs w:val="24"/>
        </w:rPr>
        <w:t xml:space="preserve">One of </w:t>
      </w:r>
      <w:r w:rsidR="00517329" w:rsidRPr="005D3E24">
        <w:rPr>
          <w:rFonts w:ascii="Times New Roman" w:hAnsi="Times New Roman" w:cs="Times New Roman"/>
          <w:sz w:val="24"/>
          <w:szCs w:val="24"/>
        </w:rPr>
        <w:t xml:space="preserve">the </w:t>
      </w:r>
      <w:r w:rsidR="00604D02" w:rsidRPr="005D3E24">
        <w:rPr>
          <w:rFonts w:ascii="Times New Roman" w:hAnsi="Times New Roman" w:cs="Times New Roman"/>
          <w:sz w:val="24"/>
          <w:szCs w:val="24"/>
        </w:rPr>
        <w:t>ESC</w:t>
      </w:r>
      <w:r w:rsidRPr="005D3E24">
        <w:rPr>
          <w:rFonts w:ascii="Times New Roman" w:hAnsi="Times New Roman" w:cs="Times New Roman"/>
          <w:sz w:val="24"/>
          <w:szCs w:val="24"/>
        </w:rPr>
        <w:t xml:space="preserve"> working groups, </w:t>
      </w:r>
      <w:r w:rsidR="00604D02" w:rsidRPr="005D3E24">
        <w:rPr>
          <w:rFonts w:ascii="Times New Roman" w:hAnsi="Times New Roman" w:cs="Times New Roman"/>
          <w:sz w:val="24"/>
          <w:szCs w:val="24"/>
        </w:rPr>
        <w:t>the Commission for Employment, Education and Alignment with the Labour Market</w:t>
      </w:r>
      <w:r w:rsidRPr="005D3E24">
        <w:rPr>
          <w:rFonts w:ascii="Times New Roman" w:hAnsi="Times New Roman" w:cs="Times New Roman"/>
          <w:sz w:val="24"/>
          <w:szCs w:val="24"/>
        </w:rPr>
        <w:t xml:space="preserve">, </w:t>
      </w:r>
      <w:r w:rsidR="00604D02" w:rsidRPr="005D3E24">
        <w:rPr>
          <w:rFonts w:ascii="Times New Roman" w:hAnsi="Times New Roman" w:cs="Times New Roman"/>
          <w:sz w:val="24"/>
          <w:szCs w:val="24"/>
        </w:rPr>
        <w:t xml:space="preserve">regularly </w:t>
      </w:r>
      <w:r w:rsidRPr="005D3E24">
        <w:rPr>
          <w:rFonts w:ascii="Times New Roman" w:hAnsi="Times New Roman" w:cs="Times New Roman"/>
          <w:sz w:val="24"/>
          <w:szCs w:val="24"/>
        </w:rPr>
        <w:t xml:space="preserve">produces </w:t>
      </w:r>
      <w:r w:rsidR="00604D02" w:rsidRPr="005D3E24">
        <w:rPr>
          <w:rFonts w:ascii="Times New Roman" w:hAnsi="Times New Roman" w:cs="Times New Roman"/>
          <w:sz w:val="24"/>
          <w:szCs w:val="24"/>
        </w:rPr>
        <w:t xml:space="preserve">opinions and recommendations on legislative proposals and draft strategies relevant to the field of skill production. Yet the work of this commission, and of the ESC in general, is also </w:t>
      </w:r>
      <w:r w:rsidR="00FA1121" w:rsidRPr="005D3E24">
        <w:rPr>
          <w:rFonts w:ascii="Times New Roman" w:hAnsi="Times New Roman" w:cs="Times New Roman"/>
          <w:sz w:val="24"/>
          <w:szCs w:val="24"/>
        </w:rPr>
        <w:t>characteri</w:t>
      </w:r>
      <w:r w:rsidR="00DE7EDE">
        <w:rPr>
          <w:rFonts w:ascii="Times New Roman" w:hAnsi="Times New Roman" w:cs="Times New Roman"/>
          <w:sz w:val="24"/>
          <w:szCs w:val="24"/>
        </w:rPr>
        <w:t>z</w:t>
      </w:r>
      <w:r w:rsidR="00FA1121" w:rsidRPr="005D3E24">
        <w:rPr>
          <w:rFonts w:ascii="Times New Roman" w:hAnsi="Times New Roman" w:cs="Times New Roman"/>
          <w:sz w:val="24"/>
          <w:szCs w:val="24"/>
        </w:rPr>
        <w:t xml:space="preserve">ed by </w:t>
      </w:r>
      <w:r w:rsidR="00604D02" w:rsidRPr="005D3E24">
        <w:rPr>
          <w:rFonts w:ascii="Times New Roman" w:hAnsi="Times New Roman" w:cs="Times New Roman"/>
          <w:sz w:val="24"/>
          <w:szCs w:val="24"/>
        </w:rPr>
        <w:t xml:space="preserve">discontinuities. These dynamics are framed by Bagić </w:t>
      </w:r>
      <w:bookmarkStart w:id="78" w:name="__Fieldmark__1185_131419714"/>
      <w:r w:rsidR="00604D02" w:rsidRPr="005D3E24">
        <w:rPr>
          <w:rFonts w:ascii="Times New Roman" w:hAnsi="Times New Roman" w:cs="Times New Roman"/>
          <w:sz w:val="24"/>
          <w:szCs w:val="24"/>
        </w:rPr>
        <w:t>(</w:t>
      </w:r>
      <w:bookmarkStart w:id="79" w:name="__Fieldmark__1108_2097806078"/>
      <w:r w:rsidR="00604D02" w:rsidRPr="005D3E24">
        <w:rPr>
          <w:rFonts w:ascii="Times New Roman" w:hAnsi="Times New Roman" w:cs="Times New Roman"/>
          <w:sz w:val="24"/>
          <w:szCs w:val="24"/>
        </w:rPr>
        <w:t>2</w:t>
      </w:r>
      <w:bookmarkStart w:id="80" w:name="__Fieldmark__700_241477822"/>
      <w:r w:rsidR="00604D02" w:rsidRPr="005D3E24">
        <w:rPr>
          <w:rFonts w:ascii="Times New Roman" w:hAnsi="Times New Roman" w:cs="Times New Roman"/>
          <w:sz w:val="24"/>
          <w:szCs w:val="24"/>
        </w:rPr>
        <w:t>0</w:t>
      </w:r>
      <w:bookmarkStart w:id="81" w:name="__Fieldmark__5660_374039044"/>
      <w:r w:rsidR="00604D02" w:rsidRPr="005D3E24">
        <w:rPr>
          <w:rFonts w:ascii="Times New Roman" w:hAnsi="Times New Roman" w:cs="Times New Roman"/>
          <w:sz w:val="24"/>
          <w:szCs w:val="24"/>
        </w:rPr>
        <w:t>13)</w:t>
      </w:r>
      <w:bookmarkEnd w:id="78"/>
      <w:bookmarkEnd w:id="79"/>
      <w:bookmarkEnd w:id="80"/>
      <w:bookmarkEnd w:id="81"/>
      <w:r w:rsidR="00604D02" w:rsidRPr="005D3E24">
        <w:rPr>
          <w:rFonts w:ascii="Times New Roman" w:hAnsi="Times New Roman" w:cs="Times New Roman"/>
          <w:sz w:val="24"/>
          <w:szCs w:val="24"/>
        </w:rPr>
        <w:t xml:space="preserve"> as ‘an unproductive balance of power’ between social partners. He argues that the central state usually holds enough political power to pass policies — regardless of disagreements among the social partners</w:t>
      </w:r>
      <w:r w:rsidR="006E1351" w:rsidRPr="005D3E24">
        <w:rPr>
          <w:rFonts w:ascii="Times New Roman" w:hAnsi="Times New Roman" w:cs="Times New Roman"/>
          <w:sz w:val="24"/>
          <w:szCs w:val="24"/>
        </w:rPr>
        <w:t xml:space="preserve"> </w:t>
      </w:r>
      <w:r w:rsidR="00604D02" w:rsidRPr="005D3E24">
        <w:rPr>
          <w:rFonts w:ascii="Times New Roman" w:hAnsi="Times New Roman" w:cs="Times New Roman"/>
          <w:sz w:val="24"/>
          <w:szCs w:val="24"/>
        </w:rPr>
        <w:t xml:space="preserve">— but that it is sometimes blocked by the mobilisation of trade unions, via protests, referendum petitions, strikes and withdrawal from the ESC. The central state </w:t>
      </w:r>
      <w:r w:rsidR="00E255C9" w:rsidRPr="005D3E24">
        <w:rPr>
          <w:rFonts w:ascii="Times New Roman" w:hAnsi="Times New Roman" w:cs="Times New Roman"/>
          <w:sz w:val="24"/>
          <w:szCs w:val="24"/>
        </w:rPr>
        <w:t xml:space="preserve">also often </w:t>
      </w:r>
      <w:r w:rsidR="00604D02" w:rsidRPr="005D3E24">
        <w:rPr>
          <w:rFonts w:ascii="Times New Roman" w:hAnsi="Times New Roman" w:cs="Times New Roman"/>
          <w:sz w:val="24"/>
          <w:szCs w:val="24"/>
        </w:rPr>
        <w:t xml:space="preserve">requires </w:t>
      </w:r>
      <w:r w:rsidR="00604D02" w:rsidRPr="005D3E24">
        <w:rPr>
          <w:rFonts w:ascii="Times New Roman" w:hAnsi="Times New Roman" w:cs="Times New Roman"/>
          <w:sz w:val="24"/>
          <w:szCs w:val="24"/>
        </w:rPr>
        <w:lastRenderedPageBreak/>
        <w:t>some involvement from employers for policy to have any tangible impact; the national employers’ association has only a limited capacity to organise and, particularly, to sanction employers who break the rules. According to Bagić, such a balance is ‘unproductive’ because it is unlikely to facilitate compromises and joint stakeholder action, as opposed to confrontations and unilateralism from the central state.</w:t>
      </w:r>
    </w:p>
    <w:p w14:paraId="2880C9C6" w14:textId="583C5A9A" w:rsidR="00AC0740" w:rsidRPr="005D3E24" w:rsidRDefault="00AC0740" w:rsidP="005D3E24">
      <w:pPr>
        <w:spacing w:after="0" w:line="480" w:lineRule="auto"/>
        <w:ind w:firstLine="284"/>
        <w:jc w:val="both"/>
        <w:rPr>
          <w:rFonts w:ascii="Times New Roman" w:hAnsi="Times New Roman" w:cs="Times New Roman"/>
          <w:sz w:val="24"/>
          <w:szCs w:val="24"/>
        </w:rPr>
      </w:pPr>
      <w:r w:rsidRPr="005D3E24">
        <w:rPr>
          <w:rFonts w:ascii="Times New Roman" w:hAnsi="Times New Roman" w:cs="Times New Roman"/>
          <w:sz w:val="24"/>
          <w:szCs w:val="24"/>
        </w:rPr>
        <w:t xml:space="preserve">Third, the current economic structure itself does not seem to be conducive to bilateral and sectoral collective bargaining. Economic sectors usually consist of just a few major firms and many small ones, </w:t>
      </w:r>
      <w:r w:rsidR="006055C5" w:rsidRPr="005D3E24">
        <w:rPr>
          <w:rFonts w:ascii="Times New Roman" w:hAnsi="Times New Roman" w:cs="Times New Roman"/>
          <w:sz w:val="24"/>
          <w:szCs w:val="24"/>
        </w:rPr>
        <w:t>imped</w:t>
      </w:r>
      <w:r w:rsidR="00DE7EDE">
        <w:rPr>
          <w:rFonts w:ascii="Times New Roman" w:hAnsi="Times New Roman" w:cs="Times New Roman"/>
          <w:sz w:val="24"/>
          <w:szCs w:val="24"/>
        </w:rPr>
        <w:t>ing</w:t>
      </w:r>
      <w:r w:rsidR="006055C5" w:rsidRPr="005D3E24">
        <w:rPr>
          <w:rFonts w:ascii="Times New Roman" w:hAnsi="Times New Roman" w:cs="Times New Roman"/>
          <w:sz w:val="24"/>
          <w:szCs w:val="24"/>
        </w:rPr>
        <w:t xml:space="preserve"> </w:t>
      </w:r>
      <w:r w:rsidR="00DE1C99" w:rsidRPr="005D3E24">
        <w:rPr>
          <w:rFonts w:ascii="Times New Roman" w:hAnsi="Times New Roman" w:cs="Times New Roman"/>
          <w:sz w:val="24"/>
          <w:szCs w:val="24"/>
        </w:rPr>
        <w:t xml:space="preserve">the development of </w:t>
      </w:r>
      <w:r w:rsidRPr="005D3E24">
        <w:rPr>
          <w:rFonts w:ascii="Times New Roman" w:hAnsi="Times New Roman" w:cs="Times New Roman"/>
          <w:sz w:val="24"/>
          <w:szCs w:val="24"/>
        </w:rPr>
        <w:t xml:space="preserve">mutual interests and </w:t>
      </w:r>
      <w:r w:rsidR="006055C5" w:rsidRPr="005D3E24">
        <w:rPr>
          <w:rFonts w:ascii="Times New Roman" w:hAnsi="Times New Roman" w:cs="Times New Roman"/>
          <w:sz w:val="24"/>
          <w:szCs w:val="24"/>
        </w:rPr>
        <w:t>undermin</w:t>
      </w:r>
      <w:r w:rsidR="00DE7EDE">
        <w:rPr>
          <w:rFonts w:ascii="Times New Roman" w:hAnsi="Times New Roman" w:cs="Times New Roman"/>
          <w:sz w:val="24"/>
          <w:szCs w:val="24"/>
        </w:rPr>
        <w:t>ing</w:t>
      </w:r>
      <w:r w:rsidR="006055C5" w:rsidRPr="005D3E24">
        <w:rPr>
          <w:rFonts w:ascii="Times New Roman" w:hAnsi="Times New Roman" w:cs="Times New Roman"/>
          <w:sz w:val="24"/>
          <w:szCs w:val="24"/>
        </w:rPr>
        <w:t xml:space="preserve"> the organi</w:t>
      </w:r>
      <w:r w:rsidR="00DE7EDE">
        <w:rPr>
          <w:rFonts w:ascii="Times New Roman" w:hAnsi="Times New Roman" w:cs="Times New Roman"/>
          <w:sz w:val="24"/>
          <w:szCs w:val="24"/>
        </w:rPr>
        <w:t>z</w:t>
      </w:r>
      <w:r w:rsidR="006055C5" w:rsidRPr="005D3E24">
        <w:rPr>
          <w:rFonts w:ascii="Times New Roman" w:hAnsi="Times New Roman" w:cs="Times New Roman"/>
          <w:sz w:val="24"/>
          <w:szCs w:val="24"/>
        </w:rPr>
        <w:t xml:space="preserve">ation of </w:t>
      </w:r>
      <w:r w:rsidRPr="005D3E24">
        <w:rPr>
          <w:rFonts w:ascii="Times New Roman" w:hAnsi="Times New Roman" w:cs="Times New Roman"/>
          <w:sz w:val="24"/>
          <w:szCs w:val="24"/>
        </w:rPr>
        <w:t xml:space="preserve">employers at sectoral level (Bagić 2010). </w:t>
      </w:r>
    </w:p>
    <w:p w14:paraId="0D374926" w14:textId="4BE668AE" w:rsidR="003D0269" w:rsidRPr="005D3E24" w:rsidRDefault="00604D02" w:rsidP="005D3E24">
      <w:pPr>
        <w:spacing w:after="0" w:line="480" w:lineRule="auto"/>
        <w:ind w:firstLine="284"/>
        <w:jc w:val="both"/>
        <w:rPr>
          <w:rFonts w:ascii="Times New Roman" w:hAnsi="Times New Roman" w:cs="Times New Roman"/>
          <w:sz w:val="24"/>
          <w:szCs w:val="24"/>
        </w:rPr>
      </w:pPr>
      <w:r w:rsidRPr="005D3E24">
        <w:rPr>
          <w:rFonts w:ascii="Times New Roman" w:hAnsi="Times New Roman" w:cs="Times New Roman"/>
          <w:sz w:val="24"/>
          <w:szCs w:val="24"/>
        </w:rPr>
        <w:t xml:space="preserve">The situation is </w:t>
      </w:r>
      <w:r w:rsidR="00DE1C99" w:rsidRPr="005D3E24">
        <w:rPr>
          <w:rFonts w:ascii="Times New Roman" w:hAnsi="Times New Roman" w:cs="Times New Roman"/>
          <w:sz w:val="24"/>
          <w:szCs w:val="24"/>
        </w:rPr>
        <w:t xml:space="preserve">even more </w:t>
      </w:r>
      <w:r w:rsidRPr="005D3E24">
        <w:rPr>
          <w:rFonts w:ascii="Times New Roman" w:hAnsi="Times New Roman" w:cs="Times New Roman"/>
          <w:sz w:val="24"/>
          <w:szCs w:val="24"/>
        </w:rPr>
        <w:t>complicated in the field of VET</w:t>
      </w:r>
      <w:r w:rsidR="001E2F26">
        <w:rPr>
          <w:rFonts w:ascii="Times New Roman" w:hAnsi="Times New Roman" w:cs="Times New Roman"/>
          <w:sz w:val="24"/>
          <w:szCs w:val="24"/>
        </w:rPr>
        <w:t xml:space="preserve">, </w:t>
      </w:r>
      <w:r w:rsidRPr="005D3E24">
        <w:rPr>
          <w:rFonts w:ascii="Times New Roman" w:hAnsi="Times New Roman" w:cs="Times New Roman"/>
          <w:sz w:val="24"/>
          <w:szCs w:val="24"/>
        </w:rPr>
        <w:t xml:space="preserve">the workings of which </w:t>
      </w:r>
      <w:r w:rsidR="00B33528" w:rsidRPr="005D3E24">
        <w:rPr>
          <w:rFonts w:ascii="Times New Roman" w:hAnsi="Times New Roman" w:cs="Times New Roman"/>
          <w:sz w:val="24"/>
          <w:szCs w:val="24"/>
        </w:rPr>
        <w:t xml:space="preserve">strongly influence </w:t>
      </w:r>
      <w:r w:rsidRPr="005D3E24">
        <w:rPr>
          <w:rFonts w:ascii="Times New Roman" w:hAnsi="Times New Roman" w:cs="Times New Roman"/>
          <w:sz w:val="24"/>
          <w:szCs w:val="24"/>
        </w:rPr>
        <w:t xml:space="preserve">the nature of Croatia’s </w:t>
      </w:r>
      <w:r w:rsidR="00DE1C99" w:rsidRPr="005D3E24">
        <w:rPr>
          <w:rFonts w:ascii="Times New Roman" w:hAnsi="Times New Roman" w:cs="Times New Roman"/>
          <w:sz w:val="24"/>
          <w:szCs w:val="24"/>
        </w:rPr>
        <w:t xml:space="preserve">system of </w:t>
      </w:r>
      <w:r w:rsidRPr="005D3E24">
        <w:rPr>
          <w:rFonts w:ascii="Times New Roman" w:hAnsi="Times New Roman" w:cs="Times New Roman"/>
          <w:sz w:val="24"/>
          <w:szCs w:val="24"/>
        </w:rPr>
        <w:t>skill</w:t>
      </w:r>
      <w:r w:rsidR="00DE1C99" w:rsidRPr="005D3E24">
        <w:rPr>
          <w:rFonts w:ascii="Times New Roman" w:hAnsi="Times New Roman" w:cs="Times New Roman"/>
          <w:sz w:val="24"/>
          <w:szCs w:val="24"/>
        </w:rPr>
        <w:t xml:space="preserve"> formation</w:t>
      </w:r>
      <w:r w:rsidRPr="005D3E24">
        <w:rPr>
          <w:rFonts w:ascii="Times New Roman" w:hAnsi="Times New Roman" w:cs="Times New Roman"/>
          <w:sz w:val="24"/>
          <w:szCs w:val="24"/>
        </w:rPr>
        <w:t>. The national trade union federations and national employers’ association do not possess the capacity to directly influence policymaking. Trade unions that organi</w:t>
      </w:r>
      <w:r w:rsidR="00DE7EDE">
        <w:rPr>
          <w:rFonts w:ascii="Times New Roman" w:hAnsi="Times New Roman" w:cs="Times New Roman"/>
          <w:sz w:val="24"/>
          <w:szCs w:val="24"/>
        </w:rPr>
        <w:t>z</w:t>
      </w:r>
      <w:r w:rsidRPr="005D3E24">
        <w:rPr>
          <w:rFonts w:ascii="Times New Roman" w:hAnsi="Times New Roman" w:cs="Times New Roman"/>
          <w:sz w:val="24"/>
          <w:szCs w:val="24"/>
        </w:rPr>
        <w:t>e workers in the education sector are relevant and influential but seem to place more emphasis on issues crucial to the interests of their members (such as wages, teacher training, and teaching hours) rather than on the direction of education policy. Nevertheless, issues related to the functioning of the education systems and those related to trade union members</w:t>
      </w:r>
      <w:r w:rsidR="00DE7EDE">
        <w:rPr>
          <w:rFonts w:ascii="Times New Roman" w:hAnsi="Times New Roman" w:cs="Times New Roman"/>
          <w:sz w:val="24"/>
          <w:szCs w:val="24"/>
        </w:rPr>
        <w:t>’</w:t>
      </w:r>
      <w:r w:rsidRPr="005D3E24">
        <w:rPr>
          <w:rFonts w:ascii="Times New Roman" w:hAnsi="Times New Roman" w:cs="Times New Roman"/>
          <w:sz w:val="24"/>
          <w:szCs w:val="24"/>
        </w:rPr>
        <w:t xml:space="preserve"> interests can overlap — particularly </w:t>
      </w:r>
      <w:r w:rsidR="00B33528" w:rsidRPr="005D3E24">
        <w:rPr>
          <w:rFonts w:ascii="Times New Roman" w:hAnsi="Times New Roman" w:cs="Times New Roman"/>
          <w:sz w:val="24"/>
          <w:szCs w:val="24"/>
        </w:rPr>
        <w:t xml:space="preserve">in relation to </w:t>
      </w:r>
      <w:r w:rsidRPr="005D3E24">
        <w:rPr>
          <w:rFonts w:ascii="Times New Roman" w:hAnsi="Times New Roman" w:cs="Times New Roman"/>
          <w:sz w:val="24"/>
          <w:szCs w:val="24"/>
        </w:rPr>
        <w:t xml:space="preserve">discussions on the network of schools, as these can directly influence the sustainability of teaching jobs. There is some involvement of chamber bodies: the CCTC continuously assumes </w:t>
      </w:r>
      <w:r w:rsidR="00E609DA" w:rsidRPr="005D3E24">
        <w:rPr>
          <w:rFonts w:ascii="Times New Roman" w:hAnsi="Times New Roman" w:cs="Times New Roman"/>
          <w:sz w:val="24"/>
          <w:szCs w:val="24"/>
        </w:rPr>
        <w:t xml:space="preserve">a </w:t>
      </w:r>
      <w:r w:rsidRPr="005D3E24">
        <w:rPr>
          <w:rFonts w:ascii="Times New Roman" w:hAnsi="Times New Roman" w:cs="Times New Roman"/>
          <w:sz w:val="24"/>
          <w:szCs w:val="24"/>
        </w:rPr>
        <w:t xml:space="preserve">prominent role in VET development and delivery, while the Croatian Chamber of Economy (CCE) has recently discovered an interest in VET policy, particularly around expanding apprenticeships into other sectors of the economy. Yet the relationship between the chambers and the central state could be better described as a sort of ‘outsourcing’, rather than social partnership </w:t>
      </w:r>
      <w:bookmarkStart w:id="82" w:name="__Fieldmark__1260_131419714"/>
      <w:r w:rsidRPr="005D3E24">
        <w:rPr>
          <w:rFonts w:ascii="Times New Roman" w:hAnsi="Times New Roman" w:cs="Times New Roman"/>
          <w:sz w:val="24"/>
          <w:szCs w:val="24"/>
        </w:rPr>
        <w:t xml:space="preserve">(Buković </w:t>
      </w:r>
      <w:r w:rsidR="00E27BE1" w:rsidRPr="005D3E24">
        <w:rPr>
          <w:rFonts w:ascii="Times New Roman" w:hAnsi="Times New Roman" w:cs="Times New Roman"/>
          <w:sz w:val="24"/>
          <w:szCs w:val="24"/>
        </w:rPr>
        <w:t>202</w:t>
      </w:r>
      <w:r w:rsidR="00E27BE1">
        <w:rPr>
          <w:rFonts w:ascii="Times New Roman" w:hAnsi="Times New Roman" w:cs="Times New Roman"/>
          <w:sz w:val="24"/>
          <w:szCs w:val="24"/>
        </w:rPr>
        <w:t>2</w:t>
      </w:r>
      <w:r w:rsidRPr="005D3E24">
        <w:rPr>
          <w:rFonts w:ascii="Times New Roman" w:hAnsi="Times New Roman" w:cs="Times New Roman"/>
          <w:sz w:val="24"/>
          <w:szCs w:val="24"/>
        </w:rPr>
        <w:t>)</w:t>
      </w:r>
      <w:bookmarkStart w:id="83" w:name="__Fieldmark__1181_2097806078"/>
      <w:bookmarkStart w:id="84" w:name="__Fieldmark__5868_374039044"/>
      <w:bookmarkStart w:id="85" w:name="__Fieldmark__742_241477822"/>
      <w:bookmarkEnd w:id="82"/>
      <w:bookmarkEnd w:id="83"/>
      <w:bookmarkEnd w:id="84"/>
      <w:bookmarkEnd w:id="85"/>
      <w:r w:rsidRPr="005D3E24">
        <w:rPr>
          <w:rFonts w:ascii="Times New Roman" w:hAnsi="Times New Roman" w:cs="Times New Roman"/>
          <w:sz w:val="24"/>
          <w:szCs w:val="24"/>
        </w:rPr>
        <w:t xml:space="preserve">. It seems that the central state, and particularly the ministry in charge of education, is willing to relinquish some control of the skilled </w:t>
      </w:r>
      <w:r w:rsidRPr="005D3E24">
        <w:rPr>
          <w:rFonts w:ascii="Times New Roman" w:hAnsi="Times New Roman" w:cs="Times New Roman"/>
          <w:sz w:val="24"/>
          <w:szCs w:val="24"/>
        </w:rPr>
        <w:lastRenderedPageBreak/>
        <w:t>trades programmes to minimise its operational involvement in this segment of the education system — which is not usually considered to be particularly prominent, from the economic and political perspectives. However, contrary to the practice of corporatist skill production regimes,</w:t>
      </w:r>
      <w:r w:rsidR="003A3551" w:rsidRPr="005D3E24">
        <w:rPr>
          <w:rFonts w:ascii="Times New Roman" w:hAnsi="Times New Roman" w:cs="Times New Roman"/>
          <w:sz w:val="24"/>
          <w:szCs w:val="24"/>
        </w:rPr>
        <w:t xml:space="preserve"> the </w:t>
      </w:r>
      <w:r w:rsidRPr="005D3E24">
        <w:rPr>
          <w:rFonts w:ascii="Times New Roman" w:hAnsi="Times New Roman" w:cs="Times New Roman"/>
          <w:sz w:val="24"/>
          <w:szCs w:val="24"/>
        </w:rPr>
        <w:t>position of the CCCT remains highly precarious and subject to unilateral action from the central state aimed at curbing its role in the apprenticeship provision.</w:t>
      </w:r>
      <w:r w:rsidR="00AC0740" w:rsidRPr="005D3E24">
        <w:rPr>
          <w:rFonts w:ascii="Times New Roman" w:hAnsi="Times New Roman" w:cs="Times New Roman"/>
          <w:sz w:val="24"/>
          <w:szCs w:val="24"/>
        </w:rPr>
        <w:t xml:space="preserve"> </w:t>
      </w:r>
    </w:p>
    <w:p w14:paraId="1CFDEDE1" w14:textId="4059BCD1" w:rsidR="003D0269" w:rsidRPr="005D3E24" w:rsidRDefault="00604D02" w:rsidP="005D3E24">
      <w:pPr>
        <w:spacing w:after="0" w:line="480" w:lineRule="auto"/>
        <w:ind w:firstLine="284"/>
        <w:jc w:val="both"/>
        <w:rPr>
          <w:rFonts w:ascii="Times New Roman" w:hAnsi="Times New Roman" w:cs="Times New Roman"/>
          <w:sz w:val="24"/>
          <w:szCs w:val="24"/>
        </w:rPr>
      </w:pPr>
      <w:r w:rsidRPr="005D3E24">
        <w:rPr>
          <w:rFonts w:ascii="Times New Roman" w:hAnsi="Times New Roman" w:cs="Times New Roman"/>
          <w:sz w:val="24"/>
          <w:szCs w:val="24"/>
        </w:rPr>
        <w:t xml:space="preserve">These factors result in a near-absence of </w:t>
      </w:r>
      <w:r w:rsidR="006641C2" w:rsidRPr="005D3E24">
        <w:rPr>
          <w:rFonts w:ascii="Times New Roman" w:hAnsi="Times New Roman" w:cs="Times New Roman"/>
          <w:sz w:val="24"/>
          <w:szCs w:val="24"/>
        </w:rPr>
        <w:t xml:space="preserve">meaningful </w:t>
      </w:r>
      <w:r w:rsidRPr="005D3E24">
        <w:rPr>
          <w:rFonts w:ascii="Times New Roman" w:hAnsi="Times New Roman" w:cs="Times New Roman"/>
          <w:sz w:val="24"/>
          <w:szCs w:val="24"/>
        </w:rPr>
        <w:t xml:space="preserve">social dialogue </w:t>
      </w:r>
      <w:r w:rsidR="00863665" w:rsidRPr="005D3E24">
        <w:rPr>
          <w:rFonts w:ascii="Times New Roman" w:hAnsi="Times New Roman" w:cs="Times New Roman"/>
          <w:sz w:val="24"/>
          <w:szCs w:val="24"/>
        </w:rPr>
        <w:t xml:space="preserve">within governance arrangements for </w:t>
      </w:r>
      <w:r w:rsidRPr="005D3E24">
        <w:rPr>
          <w:rFonts w:ascii="Times New Roman" w:hAnsi="Times New Roman" w:cs="Times New Roman"/>
          <w:sz w:val="24"/>
          <w:szCs w:val="24"/>
        </w:rPr>
        <w:t xml:space="preserve">the </w:t>
      </w:r>
      <w:r w:rsidR="00863665" w:rsidRPr="005D3E24">
        <w:rPr>
          <w:rFonts w:ascii="Times New Roman" w:hAnsi="Times New Roman" w:cs="Times New Roman"/>
          <w:sz w:val="24"/>
          <w:szCs w:val="24"/>
        </w:rPr>
        <w:t xml:space="preserve">system of skill formation </w:t>
      </w:r>
      <w:r w:rsidRPr="005D3E24">
        <w:rPr>
          <w:rFonts w:ascii="Times New Roman" w:hAnsi="Times New Roman" w:cs="Times New Roman"/>
          <w:sz w:val="24"/>
          <w:szCs w:val="24"/>
        </w:rPr>
        <w:t>in Croatia, both at the bipartite and tripartite levels.</w:t>
      </w:r>
    </w:p>
    <w:p w14:paraId="549B979F" w14:textId="77777777" w:rsidR="003D0269" w:rsidRPr="005D3E24" w:rsidRDefault="003D0269" w:rsidP="005D3E24">
      <w:pPr>
        <w:spacing w:after="0" w:line="480" w:lineRule="auto"/>
        <w:jc w:val="both"/>
        <w:rPr>
          <w:rFonts w:ascii="Times New Roman" w:hAnsi="Times New Roman" w:cs="Times New Roman"/>
          <w:sz w:val="24"/>
          <w:szCs w:val="24"/>
        </w:rPr>
      </w:pPr>
    </w:p>
    <w:p w14:paraId="70148228" w14:textId="7D368B40" w:rsidR="003D0269" w:rsidRPr="005D3E24" w:rsidRDefault="00604D02" w:rsidP="005D3E24">
      <w:pPr>
        <w:spacing w:after="0" w:line="480" w:lineRule="auto"/>
        <w:jc w:val="both"/>
        <w:rPr>
          <w:rFonts w:ascii="Times New Roman" w:hAnsi="Times New Roman" w:cs="Times New Roman"/>
          <w:sz w:val="24"/>
          <w:szCs w:val="24"/>
        </w:rPr>
      </w:pPr>
      <w:r w:rsidRPr="005D3E24">
        <w:rPr>
          <w:rFonts w:ascii="Times New Roman" w:hAnsi="Times New Roman" w:cs="Times New Roman"/>
          <w:b/>
          <w:bCs/>
          <w:sz w:val="24"/>
          <w:szCs w:val="24"/>
        </w:rPr>
        <w:t>Policy transfer</w:t>
      </w:r>
      <w:r w:rsidR="008B621E" w:rsidRPr="005D3E24">
        <w:rPr>
          <w:rFonts w:ascii="Times New Roman" w:hAnsi="Times New Roman" w:cs="Times New Roman"/>
          <w:b/>
          <w:bCs/>
          <w:sz w:val="24"/>
          <w:szCs w:val="24"/>
        </w:rPr>
        <w:t xml:space="preserve">: </w:t>
      </w:r>
      <w:r w:rsidRPr="005D3E24">
        <w:rPr>
          <w:rFonts w:ascii="Times New Roman" w:hAnsi="Times New Roman" w:cs="Times New Roman"/>
          <w:b/>
          <w:bCs/>
          <w:sz w:val="24"/>
          <w:szCs w:val="24"/>
        </w:rPr>
        <w:t>Apprenticeship learning in VET</w:t>
      </w:r>
    </w:p>
    <w:p w14:paraId="5DD218BD" w14:textId="766C6A9E" w:rsidR="003D0269" w:rsidRPr="005D3E24" w:rsidRDefault="00604D02" w:rsidP="005D3E24">
      <w:pPr>
        <w:spacing w:after="0" w:line="480" w:lineRule="auto"/>
        <w:jc w:val="both"/>
        <w:rPr>
          <w:rFonts w:ascii="Times New Roman" w:hAnsi="Times New Roman" w:cs="Times New Roman"/>
          <w:sz w:val="24"/>
          <w:szCs w:val="24"/>
        </w:rPr>
      </w:pPr>
      <w:r w:rsidRPr="005D3E24">
        <w:rPr>
          <w:rFonts w:ascii="Times New Roman" w:hAnsi="Times New Roman" w:cs="Times New Roman"/>
          <w:sz w:val="24"/>
          <w:szCs w:val="24"/>
        </w:rPr>
        <w:t xml:space="preserve">This case was selected primarily because the introduction of apprenticeship learning gives the entire Croatian </w:t>
      </w:r>
      <w:r w:rsidR="006641C2" w:rsidRPr="005D3E24">
        <w:rPr>
          <w:rFonts w:ascii="Times New Roman" w:hAnsi="Times New Roman" w:cs="Times New Roman"/>
          <w:sz w:val="24"/>
          <w:szCs w:val="24"/>
        </w:rPr>
        <w:t xml:space="preserve">system of skill formation </w:t>
      </w:r>
      <w:r w:rsidRPr="005D3E24">
        <w:rPr>
          <w:rFonts w:ascii="Times New Roman" w:hAnsi="Times New Roman" w:cs="Times New Roman"/>
          <w:sz w:val="24"/>
          <w:szCs w:val="24"/>
        </w:rPr>
        <w:t xml:space="preserve">a distinctively hybrid character. It is also worth looking at in more detail because the governance and implementation of apprenticeship learning </w:t>
      </w:r>
      <w:r w:rsidR="00AC0740" w:rsidRPr="005D3E24">
        <w:rPr>
          <w:rFonts w:ascii="Times New Roman" w:hAnsi="Times New Roman" w:cs="Times New Roman"/>
          <w:sz w:val="24"/>
          <w:szCs w:val="24"/>
        </w:rPr>
        <w:t xml:space="preserve">established </w:t>
      </w:r>
      <w:r w:rsidRPr="005D3E24">
        <w:rPr>
          <w:rFonts w:ascii="Times New Roman" w:hAnsi="Times New Roman" w:cs="Times New Roman"/>
          <w:sz w:val="24"/>
          <w:szCs w:val="24"/>
        </w:rPr>
        <w:t>in Croatia functions quite differently</w:t>
      </w:r>
      <w:r w:rsidR="001E2F26">
        <w:rPr>
          <w:rFonts w:ascii="Times New Roman" w:hAnsi="Times New Roman" w:cs="Times New Roman"/>
          <w:sz w:val="24"/>
          <w:szCs w:val="24"/>
        </w:rPr>
        <w:t xml:space="preserve"> </w:t>
      </w:r>
      <w:r w:rsidRPr="005D3E24">
        <w:rPr>
          <w:rFonts w:ascii="Times New Roman" w:hAnsi="Times New Roman" w:cs="Times New Roman"/>
          <w:sz w:val="24"/>
          <w:szCs w:val="24"/>
        </w:rPr>
        <w:t xml:space="preserve">to the institutional models of developed industrial democracies. Apprenticeships, as a form of intensive work-based instruction, were introduced in Croatia through legislative changes in 1993 and 1996. The former introduced the possibility of delivering skilled trades programmes through apprenticeships but left out many elements vital to its practical implementation. The latter represented an attempt to address these omissions. This initiative is an example of early Europeanisation, as the apprenticeship system of the Federal State of Bavaria was used as a model and source of policy transfer. It was also an example of policy entrepreneurship by the CCTC which was the primary instigator of this scheme but also its primary beneficiary. </w:t>
      </w:r>
    </w:p>
    <w:p w14:paraId="7689BA9A" w14:textId="614AAB62" w:rsidR="00333FF3" w:rsidRDefault="00604D02" w:rsidP="00DE7EDE">
      <w:pPr>
        <w:spacing w:after="0" w:line="480" w:lineRule="auto"/>
        <w:ind w:firstLine="284"/>
        <w:jc w:val="both"/>
        <w:rPr>
          <w:rFonts w:ascii="Times New Roman" w:hAnsi="Times New Roman" w:cs="Times New Roman"/>
          <w:sz w:val="24"/>
          <w:szCs w:val="24"/>
        </w:rPr>
      </w:pPr>
      <w:r w:rsidRPr="005D3E24">
        <w:rPr>
          <w:rFonts w:ascii="Times New Roman" w:hAnsi="Times New Roman" w:cs="Times New Roman"/>
          <w:sz w:val="24"/>
          <w:szCs w:val="24"/>
        </w:rPr>
        <w:t xml:space="preserve">This initiative also created a </w:t>
      </w:r>
      <w:r w:rsidR="00E27BE1">
        <w:rPr>
          <w:rFonts w:ascii="Times New Roman" w:hAnsi="Times New Roman" w:cs="Times New Roman"/>
          <w:sz w:val="24"/>
          <w:szCs w:val="24"/>
        </w:rPr>
        <w:t>parallelism</w:t>
      </w:r>
      <w:r w:rsidR="008B621E" w:rsidRPr="005D3E24">
        <w:rPr>
          <w:rFonts w:ascii="Times New Roman" w:hAnsi="Times New Roman" w:cs="Times New Roman"/>
          <w:sz w:val="24"/>
          <w:szCs w:val="24"/>
        </w:rPr>
        <w:t xml:space="preserve"> </w:t>
      </w:r>
      <w:r w:rsidRPr="005D3E24">
        <w:rPr>
          <w:rFonts w:ascii="Times New Roman" w:hAnsi="Times New Roman" w:cs="Times New Roman"/>
          <w:sz w:val="24"/>
          <w:szCs w:val="24"/>
        </w:rPr>
        <w:t xml:space="preserve">within the VET system, with apprenticeship-based and school-based programmes for the same craft vocations running in parallel. Apprenticeships initially </w:t>
      </w:r>
      <w:r w:rsidR="00AC0740" w:rsidRPr="005D3E24">
        <w:rPr>
          <w:rFonts w:ascii="Times New Roman" w:hAnsi="Times New Roman" w:cs="Times New Roman"/>
          <w:sz w:val="24"/>
          <w:szCs w:val="24"/>
        </w:rPr>
        <w:t>failed</w:t>
      </w:r>
      <w:r w:rsidRPr="005D3E24">
        <w:rPr>
          <w:rFonts w:ascii="Times New Roman" w:hAnsi="Times New Roman" w:cs="Times New Roman"/>
          <w:sz w:val="24"/>
          <w:szCs w:val="24"/>
        </w:rPr>
        <w:t xml:space="preserve"> to expand in other sectors (e.g. VET training for industry)</w:t>
      </w:r>
      <w:r w:rsidR="00AC0740" w:rsidRPr="005D3E24">
        <w:rPr>
          <w:rFonts w:ascii="Times New Roman" w:hAnsi="Times New Roman" w:cs="Times New Roman"/>
          <w:sz w:val="24"/>
          <w:szCs w:val="24"/>
        </w:rPr>
        <w:t xml:space="preserve"> or</w:t>
      </w:r>
      <w:r w:rsidRPr="005D3E24">
        <w:rPr>
          <w:rFonts w:ascii="Times New Roman" w:hAnsi="Times New Roman" w:cs="Times New Roman"/>
          <w:sz w:val="24"/>
          <w:szCs w:val="24"/>
        </w:rPr>
        <w:t xml:space="preserve"> solidify their position </w:t>
      </w:r>
      <w:r w:rsidRPr="005D3E24">
        <w:rPr>
          <w:rFonts w:ascii="Times New Roman" w:hAnsi="Times New Roman" w:cs="Times New Roman"/>
          <w:i/>
          <w:iCs/>
          <w:sz w:val="24"/>
          <w:szCs w:val="24"/>
        </w:rPr>
        <w:t xml:space="preserve">vis-à-vis </w:t>
      </w:r>
      <w:r w:rsidR="008B621E" w:rsidRPr="005D3E24">
        <w:rPr>
          <w:rFonts w:ascii="Times New Roman" w:hAnsi="Times New Roman" w:cs="Times New Roman"/>
          <w:iCs/>
          <w:sz w:val="24"/>
          <w:szCs w:val="24"/>
        </w:rPr>
        <w:lastRenderedPageBreak/>
        <w:t xml:space="preserve">the </w:t>
      </w:r>
      <w:r w:rsidRPr="005D3E24">
        <w:rPr>
          <w:rFonts w:ascii="Times New Roman" w:hAnsi="Times New Roman" w:cs="Times New Roman"/>
          <w:sz w:val="24"/>
          <w:szCs w:val="24"/>
        </w:rPr>
        <w:t>school</w:t>
      </w:r>
      <w:r w:rsidR="00AC0740" w:rsidRPr="005D3E24">
        <w:rPr>
          <w:rFonts w:ascii="Times New Roman" w:hAnsi="Times New Roman" w:cs="Times New Roman"/>
          <w:sz w:val="24"/>
          <w:szCs w:val="24"/>
        </w:rPr>
        <w:t>-based</w:t>
      </w:r>
      <w:r w:rsidRPr="005D3E24">
        <w:rPr>
          <w:rFonts w:ascii="Times New Roman" w:hAnsi="Times New Roman" w:cs="Times New Roman"/>
          <w:sz w:val="24"/>
          <w:szCs w:val="24"/>
        </w:rPr>
        <w:t xml:space="preserve"> variant</w:t>
      </w:r>
      <w:r w:rsidR="00AC0740" w:rsidRPr="005D3E24">
        <w:rPr>
          <w:rFonts w:ascii="Times New Roman" w:hAnsi="Times New Roman" w:cs="Times New Roman"/>
          <w:sz w:val="24"/>
          <w:szCs w:val="24"/>
        </w:rPr>
        <w:t xml:space="preserve"> of education for skilled trades</w:t>
      </w:r>
      <w:r w:rsidRPr="005D3E24">
        <w:rPr>
          <w:rFonts w:ascii="Times New Roman" w:hAnsi="Times New Roman" w:cs="Times New Roman"/>
          <w:sz w:val="24"/>
          <w:szCs w:val="24"/>
        </w:rPr>
        <w:t xml:space="preserve"> (Figure 1, dotted area). Therefore, in 2003, the dual model was changed into the Joint model of education (in Croatian: </w:t>
      </w:r>
      <w:r w:rsidRPr="005D3E24">
        <w:rPr>
          <w:rFonts w:ascii="Times New Roman" w:hAnsi="Times New Roman" w:cs="Times New Roman"/>
          <w:i/>
          <w:iCs/>
          <w:sz w:val="24"/>
          <w:szCs w:val="24"/>
        </w:rPr>
        <w:t>jedinstveni model obrazovanja</w:t>
      </w:r>
      <w:r w:rsidRPr="005D3E24">
        <w:rPr>
          <w:rFonts w:ascii="Times New Roman" w:hAnsi="Times New Roman" w:cs="Times New Roman"/>
          <w:sz w:val="24"/>
          <w:szCs w:val="24"/>
        </w:rPr>
        <w:t xml:space="preserve">; JMO). This change was introduced through a series of changes at the curricular level, without larger legislative and institutional reforms. The JMO model was less ambitious </w:t>
      </w:r>
      <w:r w:rsidR="008B621E" w:rsidRPr="005D3E24">
        <w:rPr>
          <w:rFonts w:ascii="Times New Roman" w:hAnsi="Times New Roman" w:cs="Times New Roman"/>
          <w:sz w:val="24"/>
          <w:szCs w:val="24"/>
        </w:rPr>
        <w:t xml:space="preserve">in terms of </w:t>
      </w:r>
      <w:r w:rsidRPr="005D3E24">
        <w:rPr>
          <w:rFonts w:ascii="Times New Roman" w:hAnsi="Times New Roman" w:cs="Times New Roman"/>
          <w:sz w:val="24"/>
          <w:szCs w:val="24"/>
        </w:rPr>
        <w:t xml:space="preserve">workplace training but resulted in apprenticeships becoming more prevalent </w:t>
      </w:r>
      <w:r w:rsidR="00566CBB" w:rsidRPr="005D3E24">
        <w:rPr>
          <w:rFonts w:ascii="Times New Roman" w:hAnsi="Times New Roman" w:cs="Times New Roman"/>
          <w:sz w:val="24"/>
          <w:szCs w:val="24"/>
        </w:rPr>
        <w:t xml:space="preserve">between </w:t>
      </w:r>
      <w:r w:rsidRPr="005D3E24">
        <w:rPr>
          <w:rFonts w:ascii="Times New Roman" w:hAnsi="Times New Roman" w:cs="Times New Roman"/>
          <w:sz w:val="24"/>
          <w:szCs w:val="24"/>
        </w:rPr>
        <w:t>2004</w:t>
      </w:r>
      <w:r w:rsidR="00566CBB" w:rsidRPr="005D3E24">
        <w:rPr>
          <w:rFonts w:ascii="Times New Roman" w:hAnsi="Times New Roman" w:cs="Times New Roman"/>
          <w:sz w:val="24"/>
          <w:szCs w:val="24"/>
        </w:rPr>
        <w:t xml:space="preserve"> and </w:t>
      </w:r>
      <w:r w:rsidRPr="005D3E24">
        <w:rPr>
          <w:rFonts w:ascii="Times New Roman" w:hAnsi="Times New Roman" w:cs="Times New Roman"/>
          <w:sz w:val="24"/>
          <w:szCs w:val="24"/>
        </w:rPr>
        <w:t>2012.</w:t>
      </w:r>
    </w:p>
    <w:p w14:paraId="4497452C" w14:textId="089DB615" w:rsidR="003D0269" w:rsidRPr="005D3E24" w:rsidRDefault="00786782" w:rsidP="005D3E24">
      <w:pPr>
        <w:spacing w:after="0" w:line="480" w:lineRule="auto"/>
        <w:ind w:firstLine="284"/>
        <w:jc w:val="both"/>
        <w:rPr>
          <w:rFonts w:ascii="Times New Roman" w:hAnsi="Times New Roman" w:cs="Times New Roman"/>
          <w:sz w:val="24"/>
          <w:szCs w:val="24"/>
        </w:rPr>
      </w:pPr>
      <w:r w:rsidRPr="005D3E24">
        <w:rPr>
          <w:rFonts w:ascii="Times New Roman" w:hAnsi="Times New Roman" w:cs="Times New Roman"/>
          <w:sz w:val="24"/>
          <w:szCs w:val="24"/>
          <w:lang w:eastAsia="el-GR"/>
        </w:rPr>
        <w:t>Throughout the JMO</w:t>
      </w:r>
      <w:r w:rsidR="00604D02" w:rsidRPr="005D3E24">
        <w:rPr>
          <w:rFonts w:ascii="Times New Roman" w:hAnsi="Times New Roman" w:cs="Times New Roman"/>
          <w:sz w:val="24"/>
          <w:szCs w:val="24"/>
          <w:lang w:eastAsia="el-GR"/>
        </w:rPr>
        <w:t xml:space="preserve"> programmes,</w:t>
      </w:r>
      <w:r w:rsidR="00B42910" w:rsidRPr="005D3E24">
        <w:rPr>
          <w:rFonts w:ascii="Times New Roman" w:hAnsi="Times New Roman" w:cs="Times New Roman"/>
          <w:sz w:val="24"/>
          <w:szCs w:val="24"/>
          <w:lang w:eastAsia="el-GR"/>
        </w:rPr>
        <w:t xml:space="preserve"> </w:t>
      </w:r>
      <w:r w:rsidR="00E27BE1" w:rsidRPr="00E27BE1">
        <w:rPr>
          <w:rFonts w:ascii="Times New Roman" w:hAnsi="Times New Roman" w:cs="Times New Roman"/>
          <w:sz w:val="24"/>
          <w:szCs w:val="24"/>
          <w:lang w:eastAsia="el-GR"/>
        </w:rPr>
        <w:t>there is balance in terms of instruction time allocated towards three main components</w:t>
      </w:r>
      <w:r w:rsidR="00333FF3">
        <w:rPr>
          <w:rFonts w:ascii="Times New Roman" w:hAnsi="Times New Roman" w:cs="Times New Roman"/>
          <w:sz w:val="24"/>
          <w:szCs w:val="24"/>
          <w:lang w:eastAsia="el-GR"/>
        </w:rPr>
        <w:t xml:space="preserve"> </w:t>
      </w:r>
      <w:r w:rsidR="00604D02" w:rsidRPr="005D3E24">
        <w:rPr>
          <w:rFonts w:ascii="Times New Roman" w:hAnsi="Times New Roman" w:cs="Times New Roman"/>
          <w:sz w:val="24"/>
          <w:szCs w:val="24"/>
          <w:lang w:eastAsia="el-GR"/>
        </w:rPr>
        <w:t>(general education, professional theory, and the practical component)</w:t>
      </w:r>
      <w:r w:rsidR="00B42910" w:rsidRPr="005D3E24">
        <w:rPr>
          <w:rFonts w:ascii="Times New Roman" w:hAnsi="Times New Roman" w:cs="Times New Roman"/>
          <w:sz w:val="24"/>
          <w:szCs w:val="24"/>
          <w:lang w:eastAsia="el-GR"/>
        </w:rPr>
        <w:t xml:space="preserve"> is similar</w:t>
      </w:r>
      <w:r w:rsidR="00604D02" w:rsidRPr="005D3E24">
        <w:rPr>
          <w:rFonts w:ascii="Times New Roman" w:hAnsi="Times New Roman" w:cs="Times New Roman"/>
          <w:sz w:val="24"/>
          <w:szCs w:val="24"/>
          <w:lang w:eastAsia="el-GR"/>
        </w:rPr>
        <w:t>. In a typical example, the still-active 2003 curriculum for the occupation of pedicurist</w:t>
      </w:r>
      <w:r w:rsidRPr="005D3E24">
        <w:rPr>
          <w:rFonts w:ascii="Times New Roman" w:hAnsi="Times New Roman" w:cs="Times New Roman"/>
          <w:sz w:val="24"/>
          <w:szCs w:val="24"/>
          <w:lang w:eastAsia="el-GR"/>
        </w:rPr>
        <w:t xml:space="preserve">, </w:t>
      </w:r>
      <w:r w:rsidR="00604D02" w:rsidRPr="005D3E24">
        <w:rPr>
          <w:rFonts w:ascii="Times New Roman" w:hAnsi="Times New Roman" w:cs="Times New Roman"/>
          <w:sz w:val="24"/>
          <w:szCs w:val="24"/>
          <w:lang w:eastAsia="el-GR"/>
        </w:rPr>
        <w:t>77</w:t>
      </w:r>
      <w:r w:rsidR="00903362" w:rsidRPr="005D3E24">
        <w:rPr>
          <w:rFonts w:ascii="Times New Roman" w:hAnsi="Times New Roman" w:cs="Times New Roman"/>
          <w:sz w:val="24"/>
          <w:szCs w:val="24"/>
          <w:lang w:eastAsia="el-GR"/>
        </w:rPr>
        <w:t xml:space="preserve"> per cent</w:t>
      </w:r>
      <w:r w:rsidR="00604D02" w:rsidRPr="005D3E24">
        <w:rPr>
          <w:rFonts w:ascii="Times New Roman" w:hAnsi="Times New Roman" w:cs="Times New Roman"/>
          <w:sz w:val="24"/>
          <w:szCs w:val="24"/>
          <w:lang w:eastAsia="el-GR"/>
        </w:rPr>
        <w:t xml:space="preserve"> of the total instruction time </w:t>
      </w:r>
      <w:r w:rsidRPr="005D3E24">
        <w:rPr>
          <w:rFonts w:ascii="Times New Roman" w:hAnsi="Times New Roman" w:cs="Times New Roman"/>
          <w:sz w:val="24"/>
          <w:szCs w:val="24"/>
          <w:lang w:eastAsia="el-GR"/>
        </w:rPr>
        <w:t xml:space="preserve">is allocated </w:t>
      </w:r>
      <w:r w:rsidR="00604D02" w:rsidRPr="005D3E24">
        <w:rPr>
          <w:rFonts w:ascii="Times New Roman" w:hAnsi="Times New Roman" w:cs="Times New Roman"/>
          <w:sz w:val="24"/>
          <w:szCs w:val="24"/>
          <w:lang w:eastAsia="el-GR"/>
        </w:rPr>
        <w:t>to vocational content, combining ‘professional theory’ (17</w:t>
      </w:r>
      <w:r w:rsidR="00903362" w:rsidRPr="005D3E24">
        <w:rPr>
          <w:rFonts w:ascii="Times New Roman" w:hAnsi="Times New Roman" w:cs="Times New Roman"/>
          <w:sz w:val="24"/>
          <w:szCs w:val="24"/>
          <w:lang w:eastAsia="el-GR"/>
        </w:rPr>
        <w:t xml:space="preserve"> per cent</w:t>
      </w:r>
      <w:r w:rsidR="00604D02" w:rsidRPr="005D3E24">
        <w:rPr>
          <w:rFonts w:ascii="Times New Roman" w:hAnsi="Times New Roman" w:cs="Times New Roman"/>
          <w:sz w:val="24"/>
          <w:szCs w:val="24"/>
          <w:lang w:eastAsia="el-GR"/>
        </w:rPr>
        <w:t>) and the practical component (60</w:t>
      </w:r>
      <w:r w:rsidR="00903362" w:rsidRPr="005D3E24">
        <w:rPr>
          <w:rFonts w:ascii="Times New Roman" w:hAnsi="Times New Roman" w:cs="Times New Roman"/>
          <w:sz w:val="24"/>
          <w:szCs w:val="24"/>
          <w:lang w:eastAsia="el-GR"/>
        </w:rPr>
        <w:t xml:space="preserve"> per cent</w:t>
      </w:r>
      <w:r w:rsidR="00604D02" w:rsidRPr="005D3E24">
        <w:rPr>
          <w:rFonts w:ascii="Times New Roman" w:hAnsi="Times New Roman" w:cs="Times New Roman"/>
          <w:sz w:val="24"/>
          <w:szCs w:val="24"/>
          <w:lang w:eastAsia="el-GR"/>
        </w:rPr>
        <w:t>). The remaining 23</w:t>
      </w:r>
      <w:r w:rsidR="00903362" w:rsidRPr="005D3E24">
        <w:rPr>
          <w:rFonts w:ascii="Times New Roman" w:hAnsi="Times New Roman" w:cs="Times New Roman"/>
          <w:sz w:val="24"/>
          <w:szCs w:val="24"/>
          <w:lang w:eastAsia="el-GR"/>
        </w:rPr>
        <w:t xml:space="preserve"> per cent</w:t>
      </w:r>
      <w:r w:rsidR="00604D02" w:rsidRPr="005D3E24">
        <w:rPr>
          <w:rFonts w:ascii="Times New Roman" w:hAnsi="Times New Roman" w:cs="Times New Roman"/>
          <w:sz w:val="24"/>
          <w:szCs w:val="24"/>
          <w:lang w:eastAsia="el-GR"/>
        </w:rPr>
        <w:t xml:space="preserve"> is allocated to general education content. The education plan sets the ceiling for practical training delivered in schools, as well as for the minimum amount of workplace training. Apprentices should spend a minimum of 36</w:t>
      </w:r>
      <w:r w:rsidR="00903362" w:rsidRPr="005D3E24">
        <w:rPr>
          <w:rFonts w:ascii="Times New Roman" w:hAnsi="Times New Roman" w:cs="Times New Roman"/>
          <w:sz w:val="24"/>
          <w:szCs w:val="24"/>
          <w:lang w:eastAsia="el-GR"/>
        </w:rPr>
        <w:t xml:space="preserve"> per cent</w:t>
      </w:r>
      <w:r w:rsidR="00604D02" w:rsidRPr="005D3E24">
        <w:rPr>
          <w:rFonts w:ascii="Times New Roman" w:hAnsi="Times New Roman" w:cs="Times New Roman"/>
          <w:sz w:val="24"/>
          <w:szCs w:val="24"/>
          <w:lang w:eastAsia="el-GR"/>
        </w:rPr>
        <w:t xml:space="preserve"> of total instruction time with licensed businesses in their first year, increasing gradually to 48</w:t>
      </w:r>
      <w:r w:rsidR="00903362" w:rsidRPr="005D3E24">
        <w:rPr>
          <w:rFonts w:ascii="Times New Roman" w:hAnsi="Times New Roman" w:cs="Times New Roman"/>
          <w:sz w:val="24"/>
          <w:szCs w:val="24"/>
          <w:lang w:eastAsia="el-GR"/>
        </w:rPr>
        <w:t xml:space="preserve"> per cent</w:t>
      </w:r>
      <w:r w:rsidR="00604D02" w:rsidRPr="005D3E24">
        <w:rPr>
          <w:rFonts w:ascii="Times New Roman" w:hAnsi="Times New Roman" w:cs="Times New Roman"/>
          <w:sz w:val="24"/>
          <w:szCs w:val="24"/>
          <w:lang w:eastAsia="el-GR"/>
        </w:rPr>
        <w:t xml:space="preserve"> in the third/final year. The actual intensity of workplace learning is relatively low, in the context of similar programmes in other countries. In Austria, for instance, apprentices spend around 80</w:t>
      </w:r>
      <w:r w:rsidR="00903362" w:rsidRPr="005D3E24">
        <w:rPr>
          <w:rFonts w:ascii="Times New Roman" w:hAnsi="Times New Roman" w:cs="Times New Roman"/>
          <w:sz w:val="24"/>
          <w:szCs w:val="24"/>
          <w:lang w:eastAsia="el-GR"/>
        </w:rPr>
        <w:t xml:space="preserve"> per cent</w:t>
      </w:r>
      <w:r w:rsidR="00604D02" w:rsidRPr="005D3E24">
        <w:rPr>
          <w:rFonts w:ascii="Times New Roman" w:hAnsi="Times New Roman" w:cs="Times New Roman"/>
          <w:sz w:val="24"/>
          <w:szCs w:val="24"/>
          <w:lang w:eastAsia="el-GR"/>
        </w:rPr>
        <w:t xml:space="preserve"> of their instruction time in workplace/company training </w:t>
      </w:r>
      <w:bookmarkStart w:id="86" w:name="__Fieldmark__1373_131419714"/>
      <w:r w:rsidR="00604D02" w:rsidRPr="005D3E24">
        <w:rPr>
          <w:rFonts w:ascii="Times New Roman" w:hAnsi="Times New Roman" w:cs="Times New Roman"/>
          <w:sz w:val="24"/>
          <w:szCs w:val="24"/>
          <w:lang w:eastAsia="el-GR"/>
        </w:rPr>
        <w:t>(BMA 2012</w:t>
      </w:r>
      <w:r w:rsidR="00C5265F">
        <w:rPr>
          <w:rFonts w:ascii="Times New Roman" w:hAnsi="Times New Roman" w:cs="Times New Roman"/>
          <w:sz w:val="24"/>
          <w:szCs w:val="24"/>
        </w:rPr>
        <w:t>,</w:t>
      </w:r>
      <w:r w:rsidR="00604D02" w:rsidRPr="005D3E24">
        <w:rPr>
          <w:rFonts w:ascii="Times New Roman" w:hAnsi="Times New Roman" w:cs="Times New Roman"/>
          <w:sz w:val="24"/>
          <w:szCs w:val="24"/>
        </w:rPr>
        <w:t xml:space="preserve"> 5)</w:t>
      </w:r>
      <w:bookmarkStart w:id="87" w:name="__Fieldmark__806_241477822"/>
      <w:bookmarkStart w:id="88" w:name="__Fieldmark__1280_2097806078"/>
      <w:bookmarkStart w:id="89" w:name="__Fieldmark__6136_374039044"/>
      <w:bookmarkEnd w:id="86"/>
      <w:bookmarkEnd w:id="87"/>
      <w:bookmarkEnd w:id="88"/>
      <w:bookmarkEnd w:id="89"/>
      <w:r w:rsidRPr="005D3E24">
        <w:rPr>
          <w:rFonts w:ascii="Times New Roman" w:hAnsi="Times New Roman" w:cs="Times New Roman"/>
          <w:sz w:val="24"/>
          <w:szCs w:val="24"/>
          <w:lang w:eastAsia="el-GR"/>
        </w:rPr>
        <w:t>,</w:t>
      </w:r>
      <w:r w:rsidR="00604D02" w:rsidRPr="005D3E24">
        <w:rPr>
          <w:rFonts w:ascii="Times New Roman" w:hAnsi="Times New Roman" w:cs="Times New Roman"/>
          <w:sz w:val="24"/>
          <w:szCs w:val="24"/>
          <w:lang w:eastAsia="el-GR"/>
        </w:rPr>
        <w:t xml:space="preserve"> where</w:t>
      </w:r>
      <w:r w:rsidRPr="005D3E24">
        <w:rPr>
          <w:rFonts w:ascii="Times New Roman" w:hAnsi="Times New Roman" w:cs="Times New Roman"/>
          <w:sz w:val="24"/>
          <w:szCs w:val="24"/>
          <w:lang w:eastAsia="el-GR"/>
        </w:rPr>
        <w:t>as among their Croatian counterparts</w:t>
      </w:r>
      <w:r w:rsidR="00604D02" w:rsidRPr="005D3E24">
        <w:rPr>
          <w:rFonts w:ascii="Times New Roman" w:hAnsi="Times New Roman" w:cs="Times New Roman"/>
          <w:sz w:val="24"/>
          <w:szCs w:val="24"/>
          <w:lang w:eastAsia="el-GR"/>
        </w:rPr>
        <w:t xml:space="preserve"> the minimum rarely exceeds 50</w:t>
      </w:r>
      <w:r w:rsidR="00903362" w:rsidRPr="005D3E24">
        <w:rPr>
          <w:rFonts w:ascii="Times New Roman" w:hAnsi="Times New Roman" w:cs="Times New Roman"/>
          <w:sz w:val="24"/>
          <w:szCs w:val="24"/>
          <w:lang w:eastAsia="el-GR"/>
        </w:rPr>
        <w:t xml:space="preserve"> per cent</w:t>
      </w:r>
      <w:r w:rsidR="00604D02" w:rsidRPr="005D3E24">
        <w:rPr>
          <w:rFonts w:ascii="Times New Roman" w:hAnsi="Times New Roman" w:cs="Times New Roman"/>
          <w:sz w:val="24"/>
          <w:szCs w:val="24"/>
          <w:lang w:eastAsia="el-GR"/>
        </w:rPr>
        <w:t>, even in their final years of study.</w:t>
      </w:r>
    </w:p>
    <w:p w14:paraId="5501099F" w14:textId="03643A7F" w:rsidR="003D0269" w:rsidRPr="005D3E24" w:rsidRDefault="00604D02" w:rsidP="005D3E24">
      <w:pPr>
        <w:spacing w:after="0" w:line="480" w:lineRule="auto"/>
        <w:ind w:firstLine="284"/>
        <w:jc w:val="both"/>
        <w:rPr>
          <w:rFonts w:ascii="Times New Roman" w:hAnsi="Times New Roman" w:cs="Times New Roman"/>
          <w:sz w:val="24"/>
          <w:szCs w:val="24"/>
        </w:rPr>
      </w:pPr>
      <w:r w:rsidRPr="005D3E24">
        <w:rPr>
          <w:rFonts w:ascii="Times New Roman" w:hAnsi="Times New Roman" w:cs="Times New Roman"/>
          <w:sz w:val="24"/>
          <w:szCs w:val="24"/>
          <w:lang w:eastAsia="el-GR"/>
        </w:rPr>
        <w:t xml:space="preserve">The second key feature of apprenticeships within the JMO is remuneration. Because apprentices do not have the status of employee but </w:t>
      </w:r>
      <w:r w:rsidR="006A594E" w:rsidRPr="005D3E24">
        <w:rPr>
          <w:rFonts w:ascii="Times New Roman" w:hAnsi="Times New Roman" w:cs="Times New Roman"/>
          <w:sz w:val="24"/>
          <w:szCs w:val="24"/>
          <w:lang w:eastAsia="el-GR"/>
        </w:rPr>
        <w:t xml:space="preserve">are regarded as </w:t>
      </w:r>
      <w:r w:rsidRPr="005D3E24">
        <w:rPr>
          <w:rFonts w:ascii="Times New Roman" w:hAnsi="Times New Roman" w:cs="Times New Roman"/>
          <w:sz w:val="24"/>
          <w:szCs w:val="24"/>
          <w:lang w:eastAsia="el-GR"/>
        </w:rPr>
        <w:t>students and apprentices in their trade, only some provisions of labour legislation apply. Compensation is also set at a minimal 10</w:t>
      </w:r>
      <w:r w:rsidR="00903362" w:rsidRPr="005D3E24">
        <w:rPr>
          <w:rFonts w:ascii="Times New Roman" w:hAnsi="Times New Roman" w:cs="Times New Roman"/>
          <w:sz w:val="24"/>
          <w:szCs w:val="24"/>
          <w:lang w:eastAsia="el-GR"/>
        </w:rPr>
        <w:t xml:space="preserve"> per cent</w:t>
      </w:r>
      <w:r w:rsidRPr="005D3E24">
        <w:rPr>
          <w:rFonts w:ascii="Times New Roman" w:hAnsi="Times New Roman" w:cs="Times New Roman"/>
          <w:sz w:val="24"/>
          <w:szCs w:val="24"/>
          <w:lang w:eastAsia="el-GR"/>
        </w:rPr>
        <w:t xml:space="preserve"> of the average net wage in the Republic of Croatia for first-year students, 20</w:t>
      </w:r>
      <w:r w:rsidR="00903362" w:rsidRPr="005D3E24">
        <w:rPr>
          <w:rFonts w:ascii="Times New Roman" w:hAnsi="Times New Roman" w:cs="Times New Roman"/>
          <w:sz w:val="24"/>
          <w:szCs w:val="24"/>
          <w:lang w:eastAsia="el-GR"/>
        </w:rPr>
        <w:t xml:space="preserve"> per cent</w:t>
      </w:r>
      <w:r w:rsidRPr="005D3E24">
        <w:rPr>
          <w:rFonts w:ascii="Times New Roman" w:hAnsi="Times New Roman" w:cs="Times New Roman"/>
          <w:sz w:val="24"/>
          <w:szCs w:val="24"/>
          <w:lang w:eastAsia="el-GR"/>
        </w:rPr>
        <w:t xml:space="preserve"> for second-year students, and 25</w:t>
      </w:r>
      <w:r w:rsidR="00903362" w:rsidRPr="005D3E24">
        <w:rPr>
          <w:rFonts w:ascii="Times New Roman" w:hAnsi="Times New Roman" w:cs="Times New Roman"/>
          <w:sz w:val="24"/>
          <w:szCs w:val="24"/>
          <w:lang w:eastAsia="el-GR"/>
        </w:rPr>
        <w:t xml:space="preserve"> per cent</w:t>
      </w:r>
      <w:r w:rsidRPr="005D3E24">
        <w:rPr>
          <w:rFonts w:ascii="Times New Roman" w:hAnsi="Times New Roman" w:cs="Times New Roman"/>
          <w:sz w:val="24"/>
          <w:szCs w:val="24"/>
          <w:lang w:eastAsia="el-GR"/>
        </w:rPr>
        <w:t xml:space="preserve"> for third-year students (in 2019, 87.3, 174.6 and 218.3 EUR, respectively)</w:t>
      </w:r>
      <w:r w:rsidR="0091539B" w:rsidRPr="005D3E24">
        <w:rPr>
          <w:rFonts w:ascii="Times New Roman" w:hAnsi="Times New Roman" w:cs="Times New Roman"/>
          <w:sz w:val="24"/>
          <w:szCs w:val="24"/>
          <w:lang w:eastAsia="el-GR"/>
        </w:rPr>
        <w:t xml:space="preserve">, </w:t>
      </w:r>
      <w:r w:rsidR="0091539B" w:rsidRPr="005D3E24">
        <w:rPr>
          <w:rFonts w:ascii="Times New Roman" w:hAnsi="Times New Roman" w:cs="Times New Roman"/>
          <w:sz w:val="24"/>
          <w:szCs w:val="24"/>
          <w:lang w:eastAsia="el-GR"/>
        </w:rPr>
        <w:lastRenderedPageBreak/>
        <w:t xml:space="preserve">although employers have the discretion to </w:t>
      </w:r>
      <w:r w:rsidRPr="005D3E24">
        <w:rPr>
          <w:rFonts w:ascii="Times New Roman" w:hAnsi="Times New Roman" w:cs="Times New Roman"/>
          <w:sz w:val="24"/>
          <w:szCs w:val="24"/>
          <w:lang w:eastAsia="el-GR"/>
        </w:rPr>
        <w:t>compensate apprentices more generously</w:t>
      </w:r>
      <w:r w:rsidR="0091539B" w:rsidRPr="005D3E24">
        <w:rPr>
          <w:rFonts w:ascii="Times New Roman" w:hAnsi="Times New Roman" w:cs="Times New Roman"/>
          <w:sz w:val="24"/>
          <w:szCs w:val="24"/>
          <w:lang w:eastAsia="el-GR"/>
        </w:rPr>
        <w:t xml:space="preserve">. </w:t>
      </w:r>
      <w:r w:rsidRPr="005D3E24">
        <w:rPr>
          <w:rFonts w:ascii="Times New Roman" w:hAnsi="Times New Roman" w:cs="Times New Roman"/>
          <w:sz w:val="24"/>
          <w:szCs w:val="24"/>
          <w:lang w:eastAsia="el-GR"/>
        </w:rPr>
        <w:t>These sums are paid in a net amount, with</w:t>
      </w:r>
      <w:r w:rsidR="00786782" w:rsidRPr="005D3E24">
        <w:rPr>
          <w:rFonts w:ascii="Times New Roman" w:hAnsi="Times New Roman" w:cs="Times New Roman"/>
          <w:sz w:val="24"/>
          <w:szCs w:val="24"/>
          <w:lang w:eastAsia="el-GR"/>
        </w:rPr>
        <w:t>out contributions</w:t>
      </w:r>
      <w:r w:rsidRPr="005D3E24">
        <w:rPr>
          <w:rFonts w:ascii="Times New Roman" w:hAnsi="Times New Roman" w:cs="Times New Roman"/>
          <w:sz w:val="24"/>
          <w:szCs w:val="24"/>
          <w:lang w:eastAsia="el-GR"/>
        </w:rPr>
        <w:t xml:space="preserve"> for social insurance. A</w:t>
      </w:r>
      <w:r w:rsidR="00786782" w:rsidRPr="005D3E24">
        <w:rPr>
          <w:rFonts w:ascii="Times New Roman" w:hAnsi="Times New Roman" w:cs="Times New Roman"/>
          <w:sz w:val="24"/>
          <w:szCs w:val="24"/>
          <w:lang w:eastAsia="el-GR"/>
        </w:rPr>
        <w:t xml:space="preserve"> recent </w:t>
      </w:r>
      <w:r w:rsidRPr="005D3E24">
        <w:rPr>
          <w:rFonts w:ascii="Times New Roman" w:hAnsi="Times New Roman" w:cs="Times New Roman"/>
          <w:sz w:val="24"/>
          <w:szCs w:val="24"/>
          <w:lang w:eastAsia="el-GR"/>
        </w:rPr>
        <w:t xml:space="preserve">Council of Europe </w:t>
      </w:r>
      <w:bookmarkStart w:id="90" w:name="__Fieldmark__1408_131419714"/>
      <w:r w:rsidRPr="005D3E24">
        <w:rPr>
          <w:rFonts w:ascii="Times New Roman" w:hAnsi="Times New Roman" w:cs="Times New Roman"/>
          <w:sz w:val="24"/>
          <w:szCs w:val="24"/>
          <w:lang w:eastAsia="el-GR"/>
        </w:rPr>
        <w:t>(2017</w:t>
      </w:r>
      <w:r w:rsidR="00333FF3">
        <w:rPr>
          <w:rFonts w:ascii="Times New Roman" w:hAnsi="Times New Roman" w:cs="Times New Roman"/>
          <w:sz w:val="24"/>
          <w:szCs w:val="24"/>
        </w:rPr>
        <w:t>,</w:t>
      </w:r>
      <w:r w:rsidRPr="005D3E24">
        <w:rPr>
          <w:rFonts w:ascii="Times New Roman" w:hAnsi="Times New Roman" w:cs="Times New Roman"/>
          <w:sz w:val="24"/>
          <w:szCs w:val="24"/>
        </w:rPr>
        <w:t xml:space="preserve"> 5)</w:t>
      </w:r>
      <w:bookmarkStart w:id="91" w:name="__Fieldmark__6211_374039044"/>
      <w:bookmarkStart w:id="92" w:name="__Fieldmark__818_241477822"/>
      <w:bookmarkStart w:id="93" w:name="__Fieldmark__1295_2097806078"/>
      <w:bookmarkEnd w:id="90"/>
      <w:bookmarkEnd w:id="91"/>
      <w:bookmarkEnd w:id="92"/>
      <w:bookmarkEnd w:id="93"/>
      <w:r w:rsidRPr="005D3E24">
        <w:rPr>
          <w:rFonts w:ascii="Times New Roman" w:hAnsi="Times New Roman" w:cs="Times New Roman"/>
          <w:sz w:val="24"/>
          <w:szCs w:val="24"/>
          <w:lang w:eastAsia="el-GR"/>
        </w:rPr>
        <w:t xml:space="preserve"> </w:t>
      </w:r>
      <w:r w:rsidR="00786782" w:rsidRPr="005D3E24">
        <w:rPr>
          <w:rFonts w:ascii="Times New Roman" w:hAnsi="Times New Roman" w:cs="Times New Roman"/>
          <w:sz w:val="24"/>
          <w:szCs w:val="24"/>
          <w:lang w:eastAsia="el-GR"/>
        </w:rPr>
        <w:t xml:space="preserve">report </w:t>
      </w:r>
      <w:r w:rsidRPr="005D3E24">
        <w:rPr>
          <w:rFonts w:ascii="Times New Roman" w:hAnsi="Times New Roman" w:cs="Times New Roman"/>
          <w:sz w:val="24"/>
          <w:szCs w:val="24"/>
          <w:lang w:eastAsia="el-GR"/>
        </w:rPr>
        <w:t xml:space="preserve">has established that Croatia is in breach of the European Social Charter on this issue, exposing the country to a collective complaint procedure. </w:t>
      </w:r>
      <w:r w:rsidR="00333FF3">
        <w:rPr>
          <w:rFonts w:ascii="Times New Roman" w:hAnsi="Times New Roman" w:cs="Times New Roman"/>
          <w:sz w:val="24"/>
          <w:szCs w:val="24"/>
          <w:lang w:eastAsia="el-GR"/>
        </w:rPr>
        <w:t>Moreover</w:t>
      </w:r>
      <w:r w:rsidRPr="005D3E24">
        <w:rPr>
          <w:rFonts w:ascii="Times New Roman" w:hAnsi="Times New Roman" w:cs="Times New Roman"/>
          <w:sz w:val="24"/>
          <w:szCs w:val="24"/>
          <w:lang w:eastAsia="el-GR"/>
        </w:rPr>
        <w:t xml:space="preserve">, research indicates that even this (relatively) low level of financial commitment is fully upheld by only a minority of employers </w:t>
      </w:r>
      <w:bookmarkStart w:id="94" w:name="__Fieldmark__1428_131419714"/>
      <w:r w:rsidRPr="005D3E24">
        <w:rPr>
          <w:rFonts w:ascii="Times New Roman" w:hAnsi="Times New Roman" w:cs="Times New Roman"/>
          <w:sz w:val="24"/>
          <w:szCs w:val="24"/>
          <w:lang w:eastAsia="el-GR"/>
        </w:rPr>
        <w:t>(C</w:t>
      </w:r>
      <w:r w:rsidR="00333FF3">
        <w:rPr>
          <w:rFonts w:ascii="Times New Roman" w:hAnsi="Times New Roman" w:cs="Times New Roman"/>
          <w:sz w:val="24"/>
          <w:szCs w:val="24"/>
          <w:lang w:eastAsia="el-GR"/>
        </w:rPr>
        <w:t>edefop</w:t>
      </w:r>
      <w:r w:rsidRPr="005D3E24">
        <w:rPr>
          <w:rFonts w:ascii="Times New Roman" w:hAnsi="Times New Roman" w:cs="Times New Roman"/>
          <w:sz w:val="24"/>
          <w:szCs w:val="24"/>
          <w:lang w:eastAsia="el-GR"/>
        </w:rPr>
        <w:t xml:space="preserve"> 2019</w:t>
      </w:r>
      <w:r w:rsidR="00333FF3">
        <w:rPr>
          <w:rFonts w:ascii="Times New Roman" w:hAnsi="Times New Roman" w:cs="Times New Roman"/>
          <w:sz w:val="24"/>
          <w:szCs w:val="24"/>
          <w:lang w:eastAsia="el-GR"/>
        </w:rPr>
        <w:t>,</w:t>
      </w:r>
      <w:r w:rsidRPr="005D3E24">
        <w:rPr>
          <w:rFonts w:ascii="Times New Roman" w:hAnsi="Times New Roman" w:cs="Times New Roman"/>
          <w:sz w:val="24"/>
          <w:szCs w:val="24"/>
        </w:rPr>
        <w:t xml:space="preserve"> 17; Herceg 2010</w:t>
      </w:r>
      <w:r w:rsidR="00333FF3">
        <w:rPr>
          <w:rFonts w:ascii="Times New Roman" w:hAnsi="Times New Roman" w:cs="Times New Roman"/>
          <w:sz w:val="24"/>
          <w:szCs w:val="24"/>
        </w:rPr>
        <w:t>,</w:t>
      </w:r>
      <w:r w:rsidRPr="005D3E24">
        <w:rPr>
          <w:rFonts w:ascii="Times New Roman" w:hAnsi="Times New Roman" w:cs="Times New Roman"/>
          <w:sz w:val="24"/>
          <w:szCs w:val="24"/>
        </w:rPr>
        <w:t xml:space="preserve"> 26)</w:t>
      </w:r>
      <w:bookmarkStart w:id="95" w:name="__Fieldmark__6237_374039044"/>
      <w:bookmarkStart w:id="96" w:name="__Fieldmark__827_241477822"/>
      <w:bookmarkStart w:id="97" w:name="__Fieldmark__1308_2097806078"/>
      <w:bookmarkEnd w:id="94"/>
      <w:bookmarkEnd w:id="95"/>
      <w:bookmarkEnd w:id="96"/>
      <w:bookmarkEnd w:id="97"/>
      <w:r w:rsidRPr="005D3E24">
        <w:rPr>
          <w:rFonts w:ascii="Times New Roman" w:hAnsi="Times New Roman" w:cs="Times New Roman"/>
          <w:sz w:val="24"/>
          <w:szCs w:val="24"/>
          <w:lang w:eastAsia="el-GR"/>
        </w:rPr>
        <w:t xml:space="preserve">. </w:t>
      </w:r>
      <w:r w:rsidR="00786782" w:rsidRPr="005D3E24">
        <w:rPr>
          <w:rFonts w:ascii="Times New Roman" w:hAnsi="Times New Roman" w:cs="Times New Roman"/>
          <w:sz w:val="24"/>
          <w:szCs w:val="24"/>
          <w:lang w:eastAsia="el-GR"/>
        </w:rPr>
        <w:t>However, t</w:t>
      </w:r>
      <w:r w:rsidRPr="005D3E24">
        <w:rPr>
          <w:rFonts w:ascii="Times New Roman" w:hAnsi="Times New Roman" w:cs="Times New Roman"/>
          <w:sz w:val="24"/>
          <w:szCs w:val="24"/>
          <w:lang w:eastAsia="el-GR"/>
        </w:rPr>
        <w:t>here is</w:t>
      </w:r>
      <w:r w:rsidR="00C43C0B" w:rsidRPr="005D3E24">
        <w:rPr>
          <w:rFonts w:ascii="Times New Roman" w:hAnsi="Times New Roman" w:cs="Times New Roman"/>
          <w:sz w:val="24"/>
          <w:szCs w:val="24"/>
          <w:lang w:eastAsia="el-GR"/>
        </w:rPr>
        <w:t xml:space="preserve"> increasing</w:t>
      </w:r>
      <w:r w:rsidRPr="005D3E24">
        <w:rPr>
          <w:rFonts w:ascii="Times New Roman" w:hAnsi="Times New Roman" w:cs="Times New Roman"/>
          <w:sz w:val="24"/>
          <w:szCs w:val="24"/>
          <w:lang w:eastAsia="el-GR"/>
        </w:rPr>
        <w:t xml:space="preserve"> financial support for apprenticeship programmes</w:t>
      </w:r>
      <w:r w:rsidR="00C43C0B" w:rsidRPr="005D3E24">
        <w:rPr>
          <w:rFonts w:ascii="Times New Roman" w:hAnsi="Times New Roman" w:cs="Times New Roman"/>
          <w:sz w:val="24"/>
          <w:szCs w:val="24"/>
          <w:lang w:eastAsia="el-GR"/>
        </w:rPr>
        <w:t xml:space="preserve"> from public sources</w:t>
      </w:r>
      <w:r w:rsidRPr="005D3E24">
        <w:rPr>
          <w:rFonts w:ascii="Times New Roman" w:hAnsi="Times New Roman" w:cs="Times New Roman"/>
          <w:sz w:val="24"/>
          <w:szCs w:val="24"/>
          <w:lang w:eastAsia="el-GR"/>
        </w:rPr>
        <w:t xml:space="preserve">. For </w:t>
      </w:r>
      <w:r w:rsidR="00C43C0B" w:rsidRPr="005D3E24">
        <w:rPr>
          <w:rFonts w:ascii="Times New Roman" w:hAnsi="Times New Roman" w:cs="Times New Roman"/>
          <w:sz w:val="24"/>
          <w:szCs w:val="24"/>
          <w:lang w:eastAsia="el-GR"/>
        </w:rPr>
        <w:t>example</w:t>
      </w:r>
      <w:r w:rsidRPr="005D3E24">
        <w:rPr>
          <w:rFonts w:ascii="Times New Roman" w:hAnsi="Times New Roman" w:cs="Times New Roman"/>
          <w:sz w:val="24"/>
          <w:szCs w:val="24"/>
          <w:lang w:eastAsia="el-GR"/>
        </w:rPr>
        <w:t xml:space="preserve">, more affluent local governments often provide stipends for students enrolling in occupations classified by the Croatian Employment Service as being in high demand. </w:t>
      </w:r>
      <w:r w:rsidR="00C43C0B" w:rsidRPr="005D3E24">
        <w:rPr>
          <w:rFonts w:ascii="Times New Roman" w:hAnsi="Times New Roman" w:cs="Times New Roman"/>
          <w:sz w:val="24"/>
          <w:szCs w:val="24"/>
          <w:lang w:eastAsia="el-GR"/>
        </w:rPr>
        <w:t xml:space="preserve">More </w:t>
      </w:r>
      <w:r w:rsidRPr="005D3E24">
        <w:rPr>
          <w:rFonts w:ascii="Times New Roman" w:hAnsi="Times New Roman" w:cs="Times New Roman"/>
          <w:sz w:val="24"/>
          <w:szCs w:val="24"/>
          <w:lang w:eastAsia="el-GR"/>
        </w:rPr>
        <w:t xml:space="preserve">recently, </w:t>
      </w:r>
      <w:r w:rsidR="00C43C0B" w:rsidRPr="005D3E24">
        <w:rPr>
          <w:rFonts w:ascii="Times New Roman" w:hAnsi="Times New Roman" w:cs="Times New Roman"/>
          <w:sz w:val="24"/>
          <w:szCs w:val="24"/>
          <w:lang w:eastAsia="el-GR"/>
        </w:rPr>
        <w:t xml:space="preserve">the central state has begun to offer </w:t>
      </w:r>
      <w:r w:rsidRPr="005D3E24">
        <w:rPr>
          <w:rFonts w:ascii="Times New Roman" w:hAnsi="Times New Roman" w:cs="Times New Roman"/>
          <w:sz w:val="24"/>
          <w:szCs w:val="24"/>
          <w:lang w:eastAsia="el-GR"/>
        </w:rPr>
        <w:t>grants disbursed via the ministry in charge of entrepreneurship, mostly funded through the European Social Fund (ESF). This includes student stipends and compensation of employer apprenticeship expenses for VET programmes that train students in skilled trades that are in high demand.</w:t>
      </w:r>
      <w:r w:rsidR="00413EA5" w:rsidRPr="005D3E24">
        <w:rPr>
          <w:rFonts w:ascii="Times New Roman" w:hAnsi="Times New Roman" w:cs="Times New Roman"/>
          <w:sz w:val="24"/>
          <w:szCs w:val="24"/>
          <w:lang w:eastAsia="el-GR"/>
        </w:rPr>
        <w:t xml:space="preserve"> </w:t>
      </w:r>
      <w:r w:rsidR="00413EA5" w:rsidRPr="005D3E24">
        <w:rPr>
          <w:rFonts w:ascii="Times New Roman" w:hAnsi="Times New Roman" w:cs="Times New Roman"/>
          <w:sz w:val="24"/>
          <w:szCs w:val="24"/>
        </w:rPr>
        <w:t xml:space="preserve">Such schemes began about 2010, with </w:t>
      </w:r>
      <w:r w:rsidR="00333FF3">
        <w:rPr>
          <w:rFonts w:ascii="Times New Roman" w:hAnsi="Times New Roman" w:cs="Times New Roman"/>
          <w:sz w:val="24"/>
          <w:szCs w:val="24"/>
        </w:rPr>
        <w:t xml:space="preserve">HRK </w:t>
      </w:r>
      <w:r w:rsidR="00413EA5" w:rsidRPr="005D3E24">
        <w:rPr>
          <w:rFonts w:ascii="Times New Roman" w:hAnsi="Times New Roman" w:cs="Times New Roman"/>
          <w:sz w:val="24"/>
          <w:szCs w:val="24"/>
        </w:rPr>
        <w:t>2-5 mil</w:t>
      </w:r>
      <w:r w:rsidR="00333FF3">
        <w:rPr>
          <w:rFonts w:ascii="Times New Roman" w:hAnsi="Times New Roman" w:cs="Times New Roman"/>
          <w:sz w:val="24"/>
          <w:szCs w:val="24"/>
        </w:rPr>
        <w:t>lion</w:t>
      </w:r>
      <w:r w:rsidR="00413EA5" w:rsidRPr="005D3E24">
        <w:rPr>
          <w:rFonts w:ascii="Times New Roman" w:hAnsi="Times New Roman" w:cs="Times New Roman"/>
          <w:sz w:val="24"/>
          <w:szCs w:val="24"/>
        </w:rPr>
        <w:t xml:space="preserve"> disbursed annually, </w:t>
      </w:r>
      <w:r w:rsidR="00C43C0B" w:rsidRPr="005D3E24">
        <w:rPr>
          <w:rFonts w:ascii="Times New Roman" w:hAnsi="Times New Roman" w:cs="Times New Roman"/>
          <w:sz w:val="24"/>
          <w:szCs w:val="24"/>
        </w:rPr>
        <w:t xml:space="preserve">escalated between 2015 and 2018 </w:t>
      </w:r>
      <w:r w:rsidR="00413EA5" w:rsidRPr="005D3E24">
        <w:rPr>
          <w:rFonts w:ascii="Times New Roman" w:hAnsi="Times New Roman" w:cs="Times New Roman"/>
          <w:sz w:val="24"/>
          <w:szCs w:val="24"/>
        </w:rPr>
        <w:t xml:space="preserve">with annual disbursements of about </w:t>
      </w:r>
      <w:r w:rsidR="00333FF3">
        <w:rPr>
          <w:rFonts w:ascii="Times New Roman" w:hAnsi="Times New Roman" w:cs="Times New Roman"/>
          <w:sz w:val="24"/>
          <w:szCs w:val="24"/>
        </w:rPr>
        <w:t>€</w:t>
      </w:r>
      <w:r w:rsidR="00413EA5" w:rsidRPr="005D3E24">
        <w:rPr>
          <w:rFonts w:ascii="Times New Roman" w:hAnsi="Times New Roman" w:cs="Times New Roman"/>
          <w:sz w:val="24"/>
          <w:szCs w:val="24"/>
        </w:rPr>
        <w:t>1.6-3.6 mil</w:t>
      </w:r>
      <w:r w:rsidR="00333FF3">
        <w:rPr>
          <w:rFonts w:ascii="Times New Roman" w:hAnsi="Times New Roman" w:cs="Times New Roman"/>
          <w:sz w:val="24"/>
          <w:szCs w:val="24"/>
        </w:rPr>
        <w:t>lion</w:t>
      </w:r>
      <w:r w:rsidR="00413EA5" w:rsidRPr="005D3E24">
        <w:rPr>
          <w:rFonts w:ascii="Times New Roman" w:hAnsi="Times New Roman" w:cs="Times New Roman"/>
          <w:sz w:val="24"/>
          <w:szCs w:val="24"/>
        </w:rPr>
        <w:t xml:space="preserve">, and boomed in 2019, with </w:t>
      </w:r>
      <w:r w:rsidR="00333FF3">
        <w:rPr>
          <w:rFonts w:ascii="Times New Roman" w:hAnsi="Times New Roman" w:cs="Times New Roman"/>
          <w:sz w:val="24"/>
          <w:szCs w:val="24"/>
        </w:rPr>
        <w:t>€</w:t>
      </w:r>
      <w:r w:rsidR="00413EA5" w:rsidRPr="005D3E24">
        <w:rPr>
          <w:rFonts w:ascii="Times New Roman" w:hAnsi="Times New Roman" w:cs="Times New Roman"/>
          <w:sz w:val="24"/>
          <w:szCs w:val="24"/>
        </w:rPr>
        <w:t>10.5 mil</w:t>
      </w:r>
      <w:r w:rsidR="00333FF3">
        <w:rPr>
          <w:rFonts w:ascii="Times New Roman" w:hAnsi="Times New Roman" w:cs="Times New Roman"/>
          <w:sz w:val="24"/>
          <w:szCs w:val="24"/>
        </w:rPr>
        <w:t>lion</w:t>
      </w:r>
      <w:r w:rsidR="00413EA5" w:rsidRPr="005D3E24">
        <w:rPr>
          <w:rFonts w:ascii="Times New Roman" w:hAnsi="Times New Roman" w:cs="Times New Roman"/>
          <w:sz w:val="24"/>
          <w:szCs w:val="24"/>
        </w:rPr>
        <w:t xml:space="preserve">, about </w:t>
      </w:r>
      <w:r w:rsidR="00333FF3">
        <w:rPr>
          <w:rFonts w:ascii="Times New Roman" w:hAnsi="Times New Roman" w:cs="Times New Roman"/>
          <w:sz w:val="24"/>
          <w:szCs w:val="24"/>
        </w:rPr>
        <w:t>€</w:t>
      </w:r>
      <w:r w:rsidR="00413EA5" w:rsidRPr="005D3E24">
        <w:rPr>
          <w:rFonts w:ascii="Times New Roman" w:hAnsi="Times New Roman" w:cs="Times New Roman"/>
          <w:sz w:val="24"/>
          <w:szCs w:val="24"/>
        </w:rPr>
        <w:t>200 monthly allocated to 4</w:t>
      </w:r>
      <w:r w:rsidR="00333FF3">
        <w:rPr>
          <w:rFonts w:ascii="Times New Roman" w:hAnsi="Times New Roman" w:cs="Times New Roman"/>
          <w:sz w:val="24"/>
          <w:szCs w:val="24"/>
        </w:rPr>
        <w:t>,</w:t>
      </w:r>
      <w:r w:rsidR="00413EA5" w:rsidRPr="005D3E24">
        <w:rPr>
          <w:rFonts w:ascii="Times New Roman" w:hAnsi="Times New Roman" w:cs="Times New Roman"/>
          <w:sz w:val="24"/>
          <w:szCs w:val="24"/>
        </w:rPr>
        <w:t xml:space="preserve">165 pupils in skilled trades programmes </w:t>
      </w:r>
      <w:bookmarkStart w:id="98" w:name="__Fieldmark__1470_131419714"/>
      <w:bookmarkStart w:id="99" w:name="__Fieldmark__844_241477822"/>
      <w:bookmarkStart w:id="100" w:name="__Fieldmark__1329_2097806078"/>
      <w:bookmarkStart w:id="101" w:name="__Fieldmark__6325_374039044"/>
      <w:bookmarkEnd w:id="98"/>
      <w:bookmarkEnd w:id="99"/>
      <w:bookmarkEnd w:id="100"/>
      <w:bookmarkEnd w:id="101"/>
      <w:r w:rsidR="00413EA5" w:rsidRPr="005D3E24">
        <w:rPr>
          <w:rFonts w:ascii="Times New Roman" w:hAnsi="Times New Roman" w:cs="Times New Roman"/>
          <w:sz w:val="24"/>
          <w:szCs w:val="24"/>
        </w:rPr>
        <w:t>(Ministarstvo gospodarstva, poduzetništva i obrta 2020).</w:t>
      </w:r>
      <w:r w:rsidRPr="005D3E24">
        <w:rPr>
          <w:rFonts w:ascii="Times New Roman" w:hAnsi="Times New Roman" w:cs="Times New Roman"/>
          <w:sz w:val="24"/>
          <w:szCs w:val="24"/>
          <w:lang w:eastAsia="el-GR"/>
        </w:rPr>
        <w:t xml:space="preserve"> Following the CCE initiative, </w:t>
      </w:r>
      <w:r w:rsidR="00267C54" w:rsidRPr="005D3E24">
        <w:rPr>
          <w:rFonts w:ascii="Times New Roman" w:hAnsi="Times New Roman" w:cs="Times New Roman"/>
          <w:sz w:val="24"/>
          <w:szCs w:val="24"/>
          <w:lang w:eastAsia="el-GR"/>
        </w:rPr>
        <w:t>in 2018</w:t>
      </w:r>
      <w:r w:rsidR="00293DA1" w:rsidRPr="005D3E24">
        <w:rPr>
          <w:rFonts w:ascii="Times New Roman" w:hAnsi="Times New Roman" w:cs="Times New Roman"/>
          <w:sz w:val="24"/>
          <w:szCs w:val="24"/>
          <w:lang w:eastAsia="el-GR"/>
        </w:rPr>
        <w:t>,</w:t>
      </w:r>
      <w:r w:rsidR="00267C54" w:rsidRPr="005D3E24">
        <w:rPr>
          <w:rFonts w:ascii="Times New Roman" w:hAnsi="Times New Roman" w:cs="Times New Roman"/>
          <w:sz w:val="24"/>
          <w:szCs w:val="24"/>
          <w:lang w:eastAsia="el-GR"/>
        </w:rPr>
        <w:t xml:space="preserve"> </w:t>
      </w:r>
      <w:r w:rsidRPr="005D3E24">
        <w:rPr>
          <w:rFonts w:ascii="Times New Roman" w:hAnsi="Times New Roman" w:cs="Times New Roman"/>
          <w:sz w:val="24"/>
          <w:szCs w:val="24"/>
          <w:lang w:eastAsia="el-GR"/>
        </w:rPr>
        <w:t xml:space="preserve">another </w:t>
      </w:r>
      <w:r w:rsidR="00267C54" w:rsidRPr="005D3E24">
        <w:rPr>
          <w:rFonts w:ascii="Times New Roman" w:hAnsi="Times New Roman" w:cs="Times New Roman"/>
          <w:sz w:val="24"/>
          <w:szCs w:val="24"/>
          <w:lang w:eastAsia="el-GR"/>
        </w:rPr>
        <w:t xml:space="preserve">element </w:t>
      </w:r>
      <w:r w:rsidRPr="005D3E24">
        <w:rPr>
          <w:rFonts w:ascii="Times New Roman" w:hAnsi="Times New Roman" w:cs="Times New Roman"/>
          <w:sz w:val="24"/>
          <w:szCs w:val="24"/>
          <w:lang w:eastAsia="el-GR"/>
        </w:rPr>
        <w:t xml:space="preserve">was introduced </w:t>
      </w:r>
      <w:r w:rsidR="00267C54" w:rsidRPr="005D3E24">
        <w:rPr>
          <w:rFonts w:ascii="Times New Roman" w:hAnsi="Times New Roman" w:cs="Times New Roman"/>
          <w:sz w:val="24"/>
          <w:szCs w:val="24"/>
          <w:lang w:eastAsia="el-GR"/>
        </w:rPr>
        <w:t xml:space="preserve">to </w:t>
      </w:r>
      <w:r w:rsidRPr="005D3E24">
        <w:rPr>
          <w:rFonts w:ascii="Times New Roman" w:hAnsi="Times New Roman" w:cs="Times New Roman"/>
          <w:sz w:val="24"/>
          <w:szCs w:val="24"/>
          <w:lang w:eastAsia="el-GR"/>
        </w:rPr>
        <w:t xml:space="preserve">the 3-year VET track: experimental ‘dual education’ programmes. Overall instruction time has been reduced in the new dual model, compared to the JMO, at 3,845 versus 4,334 </w:t>
      </w:r>
      <w:r w:rsidR="00293DA1" w:rsidRPr="005D3E24">
        <w:rPr>
          <w:rFonts w:ascii="Times New Roman" w:hAnsi="Times New Roman" w:cs="Times New Roman"/>
          <w:sz w:val="24"/>
          <w:szCs w:val="24"/>
          <w:lang w:eastAsia="el-GR"/>
        </w:rPr>
        <w:t xml:space="preserve">class contact </w:t>
      </w:r>
      <w:r w:rsidRPr="005D3E24">
        <w:rPr>
          <w:rFonts w:ascii="Times New Roman" w:hAnsi="Times New Roman" w:cs="Times New Roman"/>
          <w:sz w:val="24"/>
          <w:szCs w:val="24"/>
          <w:lang w:eastAsia="el-GR"/>
        </w:rPr>
        <w:t xml:space="preserve">hours on the basis of a full-time three-year programme. Dual programmes are less focused on general educational content, compared to the JMO (784 versus 848 hours), </w:t>
      </w:r>
      <w:r w:rsidR="00293DA1" w:rsidRPr="005D3E24">
        <w:rPr>
          <w:rFonts w:ascii="Times New Roman" w:hAnsi="Times New Roman" w:cs="Times New Roman"/>
          <w:sz w:val="24"/>
          <w:szCs w:val="24"/>
          <w:lang w:eastAsia="el-GR"/>
        </w:rPr>
        <w:t>with more emphasis being placed</w:t>
      </w:r>
      <w:r w:rsidR="00267C54" w:rsidRPr="005D3E24">
        <w:rPr>
          <w:rFonts w:ascii="Times New Roman" w:hAnsi="Times New Roman" w:cs="Times New Roman"/>
          <w:sz w:val="24"/>
          <w:szCs w:val="24"/>
          <w:lang w:eastAsia="el-GR"/>
        </w:rPr>
        <w:t xml:space="preserve"> </w:t>
      </w:r>
      <w:r w:rsidRPr="005D3E24">
        <w:rPr>
          <w:rFonts w:ascii="Times New Roman" w:hAnsi="Times New Roman" w:cs="Times New Roman"/>
          <w:sz w:val="24"/>
          <w:szCs w:val="24"/>
          <w:lang w:eastAsia="el-GR"/>
        </w:rPr>
        <w:t xml:space="preserve">on vocational theory (921 versus 886 hours). Dual programmes contain more </w:t>
      </w:r>
      <w:bookmarkStart w:id="102" w:name="__DdeLink__2025_2097806078"/>
      <w:r w:rsidRPr="005D3E24">
        <w:rPr>
          <w:rFonts w:ascii="Times New Roman" w:hAnsi="Times New Roman" w:cs="Times New Roman"/>
          <w:sz w:val="24"/>
          <w:szCs w:val="24"/>
          <w:lang w:eastAsia="el-GR"/>
        </w:rPr>
        <w:t>practical instruction at school</w:t>
      </w:r>
      <w:bookmarkEnd w:id="102"/>
      <w:r w:rsidRPr="005D3E24">
        <w:rPr>
          <w:rFonts w:ascii="Times New Roman" w:hAnsi="Times New Roman" w:cs="Times New Roman"/>
          <w:sz w:val="24"/>
          <w:szCs w:val="24"/>
          <w:lang w:eastAsia="el-GR"/>
        </w:rPr>
        <w:t xml:space="preserve">s (513 versus 475 hours), but less workplace training (1,627 versus 2,125 hours) (HOK 2019). </w:t>
      </w:r>
      <w:r w:rsidR="00413EA5" w:rsidRPr="005D3E24">
        <w:rPr>
          <w:rFonts w:ascii="Times New Roman" w:hAnsi="Times New Roman" w:cs="Times New Roman"/>
          <w:sz w:val="24"/>
          <w:szCs w:val="24"/>
          <w:lang w:eastAsia="el-GR"/>
        </w:rPr>
        <w:t>Contrary to the</w:t>
      </w:r>
      <w:r w:rsidR="00413EA5" w:rsidRPr="005D3E24">
        <w:rPr>
          <w:rFonts w:ascii="Times New Roman" w:hAnsi="Times New Roman" w:cs="Times New Roman"/>
          <w:sz w:val="24"/>
          <w:szCs w:val="24"/>
        </w:rPr>
        <w:t xml:space="preserve"> abovementioned legal provisions on remuneration, t</w:t>
      </w:r>
      <w:r w:rsidRPr="005D3E24">
        <w:rPr>
          <w:rFonts w:ascii="Times New Roman" w:hAnsi="Times New Roman" w:cs="Times New Roman"/>
          <w:sz w:val="24"/>
          <w:szCs w:val="24"/>
          <w:lang w:eastAsia="el-GR"/>
        </w:rPr>
        <w:t xml:space="preserve">he dual model allows for </w:t>
      </w:r>
      <w:r w:rsidR="004B09BE" w:rsidRPr="005D3E24">
        <w:rPr>
          <w:rFonts w:ascii="Times New Roman" w:hAnsi="Times New Roman" w:cs="Times New Roman"/>
          <w:sz w:val="24"/>
          <w:szCs w:val="24"/>
          <w:lang w:eastAsia="el-GR"/>
        </w:rPr>
        <w:t xml:space="preserve">remuneration to be </w:t>
      </w:r>
      <w:r w:rsidRPr="005D3E24">
        <w:rPr>
          <w:rFonts w:ascii="Times New Roman" w:hAnsi="Times New Roman" w:cs="Times New Roman"/>
          <w:sz w:val="24"/>
          <w:szCs w:val="24"/>
          <w:lang w:eastAsia="el-GR"/>
        </w:rPr>
        <w:t xml:space="preserve">determined at company level. The </w:t>
      </w:r>
      <w:r w:rsidR="004B09BE" w:rsidRPr="005D3E24">
        <w:rPr>
          <w:rFonts w:ascii="Times New Roman" w:hAnsi="Times New Roman" w:cs="Times New Roman"/>
          <w:sz w:val="24"/>
          <w:szCs w:val="24"/>
          <w:lang w:eastAsia="el-GR"/>
        </w:rPr>
        <w:t xml:space="preserve">pilot </w:t>
      </w:r>
      <w:r w:rsidRPr="005D3E24">
        <w:rPr>
          <w:rFonts w:ascii="Times New Roman" w:hAnsi="Times New Roman" w:cs="Times New Roman"/>
          <w:sz w:val="24"/>
          <w:szCs w:val="24"/>
          <w:lang w:eastAsia="el-GR"/>
        </w:rPr>
        <w:lastRenderedPageBreak/>
        <w:t xml:space="preserve">started with four programmes, 10 schools, and 147 pupils. In two years, by 2020/1, </w:t>
      </w:r>
      <w:r w:rsidR="004B09BE" w:rsidRPr="005D3E24">
        <w:rPr>
          <w:rFonts w:ascii="Times New Roman" w:hAnsi="Times New Roman" w:cs="Times New Roman"/>
          <w:sz w:val="24"/>
          <w:szCs w:val="24"/>
          <w:lang w:eastAsia="el-GR"/>
        </w:rPr>
        <w:t xml:space="preserve">the dual model </w:t>
      </w:r>
      <w:r w:rsidRPr="005D3E24">
        <w:rPr>
          <w:rFonts w:ascii="Times New Roman" w:hAnsi="Times New Roman" w:cs="Times New Roman"/>
          <w:sz w:val="24"/>
          <w:szCs w:val="24"/>
          <w:lang w:eastAsia="el-GR"/>
        </w:rPr>
        <w:t>expanded modestly to nine programmes, 25 schools, and 451 pupils (cf. JMO crafts: 39 programmes, 100 schools, 4,120 pupils). All but one of the</w:t>
      </w:r>
      <w:r w:rsidR="00267C54" w:rsidRPr="005D3E24">
        <w:rPr>
          <w:rFonts w:ascii="Times New Roman" w:hAnsi="Times New Roman" w:cs="Times New Roman"/>
          <w:sz w:val="24"/>
          <w:szCs w:val="24"/>
          <w:lang w:eastAsia="el-GR"/>
        </w:rPr>
        <w:t xml:space="preserve"> newly</w:t>
      </w:r>
      <w:r w:rsidRPr="005D3E24">
        <w:rPr>
          <w:rFonts w:ascii="Times New Roman" w:hAnsi="Times New Roman" w:cs="Times New Roman"/>
          <w:sz w:val="24"/>
          <w:szCs w:val="24"/>
          <w:lang w:eastAsia="el-GR"/>
        </w:rPr>
        <w:t xml:space="preserve"> introduced </w:t>
      </w:r>
      <w:r w:rsidR="00D7666E" w:rsidRPr="005D3E24">
        <w:rPr>
          <w:rFonts w:ascii="Times New Roman" w:hAnsi="Times New Roman" w:cs="Times New Roman"/>
          <w:sz w:val="24"/>
          <w:szCs w:val="24"/>
          <w:lang w:eastAsia="el-GR"/>
        </w:rPr>
        <w:t xml:space="preserve">dual </w:t>
      </w:r>
      <w:r w:rsidRPr="005D3E24">
        <w:rPr>
          <w:rFonts w:ascii="Times New Roman" w:hAnsi="Times New Roman" w:cs="Times New Roman"/>
          <w:sz w:val="24"/>
          <w:szCs w:val="24"/>
          <w:lang w:eastAsia="el-GR"/>
        </w:rPr>
        <w:t>programmes were al</w:t>
      </w:r>
      <w:r w:rsidR="00D7666E" w:rsidRPr="005D3E24">
        <w:rPr>
          <w:rFonts w:ascii="Times New Roman" w:hAnsi="Times New Roman" w:cs="Times New Roman"/>
          <w:sz w:val="24"/>
          <w:szCs w:val="24"/>
          <w:lang w:eastAsia="el-GR"/>
        </w:rPr>
        <w:t>ready</w:t>
      </w:r>
      <w:r w:rsidRPr="005D3E24">
        <w:rPr>
          <w:rFonts w:ascii="Times New Roman" w:hAnsi="Times New Roman" w:cs="Times New Roman"/>
          <w:sz w:val="24"/>
          <w:szCs w:val="24"/>
          <w:lang w:eastAsia="el-GR"/>
        </w:rPr>
        <w:t xml:space="preserve"> delivered as JMO programmes</w:t>
      </w:r>
      <w:r w:rsidR="00D7666E" w:rsidRPr="005D3E24">
        <w:rPr>
          <w:rFonts w:ascii="Times New Roman" w:hAnsi="Times New Roman" w:cs="Times New Roman"/>
          <w:sz w:val="24"/>
          <w:szCs w:val="24"/>
          <w:lang w:eastAsia="el-GR"/>
        </w:rPr>
        <w:t xml:space="preserve"> with apprenticeships</w:t>
      </w:r>
      <w:r w:rsidRPr="005D3E24">
        <w:rPr>
          <w:rFonts w:ascii="Times New Roman" w:hAnsi="Times New Roman" w:cs="Times New Roman"/>
          <w:sz w:val="24"/>
          <w:szCs w:val="24"/>
          <w:lang w:eastAsia="el-GR"/>
        </w:rPr>
        <w:t xml:space="preserve">.  </w:t>
      </w:r>
    </w:p>
    <w:p w14:paraId="23DAF201" w14:textId="285DB2F3" w:rsidR="003D0269" w:rsidRPr="005D3E24" w:rsidRDefault="00604D02" w:rsidP="005D3E24">
      <w:pPr>
        <w:spacing w:after="0" w:line="480" w:lineRule="auto"/>
        <w:ind w:firstLine="284"/>
        <w:jc w:val="both"/>
        <w:rPr>
          <w:rFonts w:ascii="Times New Roman" w:hAnsi="Times New Roman" w:cs="Times New Roman"/>
          <w:sz w:val="24"/>
          <w:szCs w:val="24"/>
        </w:rPr>
      </w:pPr>
      <w:r w:rsidRPr="005D3E24">
        <w:rPr>
          <w:rFonts w:ascii="Times New Roman" w:hAnsi="Times New Roman" w:cs="Times New Roman"/>
          <w:sz w:val="24"/>
          <w:szCs w:val="24"/>
        </w:rPr>
        <w:t>The number of pupils entering work-based training arrangements (Figure 1, dotted area) has been subject to</w:t>
      </w:r>
      <w:r w:rsidR="00703532" w:rsidRPr="005D3E24">
        <w:rPr>
          <w:rFonts w:ascii="Times New Roman" w:hAnsi="Times New Roman" w:cs="Times New Roman"/>
          <w:sz w:val="24"/>
          <w:szCs w:val="24"/>
        </w:rPr>
        <w:t xml:space="preserve"> great variation </w:t>
      </w:r>
      <w:r w:rsidRPr="005D3E24">
        <w:rPr>
          <w:rFonts w:ascii="Times New Roman" w:hAnsi="Times New Roman" w:cs="Times New Roman"/>
          <w:sz w:val="24"/>
          <w:szCs w:val="24"/>
        </w:rPr>
        <w:t xml:space="preserve">— accounting for about </w:t>
      </w:r>
      <w:r w:rsidR="00C5265F">
        <w:rPr>
          <w:rFonts w:ascii="Times New Roman" w:hAnsi="Times New Roman" w:cs="Times New Roman"/>
          <w:sz w:val="24"/>
          <w:szCs w:val="24"/>
        </w:rPr>
        <w:t>3-5,000</w:t>
      </w:r>
      <w:r w:rsidRPr="005D3E24">
        <w:rPr>
          <w:rFonts w:ascii="Times New Roman" w:hAnsi="Times New Roman" w:cs="Times New Roman"/>
          <w:sz w:val="24"/>
          <w:szCs w:val="24"/>
        </w:rPr>
        <w:t xml:space="preserve"> placements (up to 10</w:t>
      </w:r>
      <w:r w:rsidR="00903362" w:rsidRPr="005D3E24">
        <w:rPr>
          <w:rFonts w:ascii="Times New Roman" w:hAnsi="Times New Roman" w:cs="Times New Roman"/>
          <w:sz w:val="24"/>
          <w:szCs w:val="24"/>
        </w:rPr>
        <w:t xml:space="preserve"> per cent</w:t>
      </w:r>
      <w:r w:rsidRPr="005D3E24">
        <w:rPr>
          <w:rFonts w:ascii="Times New Roman" w:hAnsi="Times New Roman" w:cs="Times New Roman"/>
          <w:sz w:val="24"/>
          <w:szCs w:val="24"/>
        </w:rPr>
        <w:t xml:space="preserve"> of the total cohort) in 1998–2002, then increasing to about 10–12 thousand in 2004–10 (about a fifth of the cohort). </w:t>
      </w:r>
      <w:r w:rsidR="00C0627B" w:rsidRPr="005D3E24">
        <w:rPr>
          <w:rFonts w:ascii="Times New Roman" w:hAnsi="Times New Roman" w:cs="Times New Roman"/>
          <w:sz w:val="24"/>
          <w:szCs w:val="24"/>
        </w:rPr>
        <w:t xml:space="preserve">Apprenticeships </w:t>
      </w:r>
      <w:r w:rsidRPr="005D3E24">
        <w:rPr>
          <w:rFonts w:ascii="Times New Roman" w:hAnsi="Times New Roman" w:cs="Times New Roman"/>
          <w:sz w:val="24"/>
          <w:szCs w:val="24"/>
        </w:rPr>
        <w:t>declined sharply</w:t>
      </w:r>
      <w:r w:rsidR="00C0627B" w:rsidRPr="005D3E24">
        <w:rPr>
          <w:rFonts w:ascii="Times New Roman" w:hAnsi="Times New Roman" w:cs="Times New Roman"/>
          <w:sz w:val="24"/>
          <w:szCs w:val="24"/>
        </w:rPr>
        <w:t xml:space="preserve"> from 2012</w:t>
      </w:r>
      <w:r w:rsidR="004B09BE" w:rsidRPr="005D3E24">
        <w:rPr>
          <w:rFonts w:ascii="Times New Roman" w:hAnsi="Times New Roman" w:cs="Times New Roman"/>
          <w:sz w:val="24"/>
          <w:szCs w:val="24"/>
        </w:rPr>
        <w:t xml:space="preserve"> </w:t>
      </w:r>
      <w:r w:rsidR="00C0627B" w:rsidRPr="005D3E24">
        <w:rPr>
          <w:rFonts w:ascii="Times New Roman" w:hAnsi="Times New Roman" w:cs="Times New Roman"/>
          <w:sz w:val="24"/>
          <w:szCs w:val="24"/>
        </w:rPr>
        <w:t xml:space="preserve">and were </w:t>
      </w:r>
      <w:r w:rsidR="004B09BE" w:rsidRPr="005D3E24">
        <w:rPr>
          <w:rFonts w:ascii="Times New Roman" w:hAnsi="Times New Roman" w:cs="Times New Roman"/>
          <w:sz w:val="24"/>
          <w:szCs w:val="24"/>
        </w:rPr>
        <w:t xml:space="preserve">down to </w:t>
      </w:r>
      <w:r w:rsidRPr="005D3E24">
        <w:rPr>
          <w:rFonts w:ascii="Times New Roman" w:hAnsi="Times New Roman" w:cs="Times New Roman"/>
          <w:sz w:val="24"/>
          <w:szCs w:val="24"/>
        </w:rPr>
        <w:t xml:space="preserve">under </w:t>
      </w:r>
      <w:r w:rsidR="00C5265F">
        <w:rPr>
          <w:rFonts w:ascii="Times New Roman" w:hAnsi="Times New Roman" w:cs="Times New Roman"/>
          <w:sz w:val="24"/>
          <w:szCs w:val="24"/>
        </w:rPr>
        <w:t>3,000</w:t>
      </w:r>
      <w:r w:rsidRPr="005D3E24">
        <w:rPr>
          <w:rFonts w:ascii="Times New Roman" w:hAnsi="Times New Roman" w:cs="Times New Roman"/>
          <w:sz w:val="24"/>
          <w:szCs w:val="24"/>
        </w:rPr>
        <w:t xml:space="preserve"> in 2015. </w:t>
      </w:r>
      <w:r w:rsidR="00C0627B" w:rsidRPr="005D3E24">
        <w:rPr>
          <w:rFonts w:ascii="Times New Roman" w:hAnsi="Times New Roman" w:cs="Times New Roman"/>
          <w:sz w:val="24"/>
          <w:szCs w:val="24"/>
        </w:rPr>
        <w:t>Since then</w:t>
      </w:r>
      <w:r w:rsidR="00C5265F">
        <w:rPr>
          <w:rFonts w:ascii="Times New Roman" w:hAnsi="Times New Roman" w:cs="Times New Roman"/>
          <w:sz w:val="24"/>
          <w:szCs w:val="24"/>
        </w:rPr>
        <w:t>,</w:t>
      </w:r>
      <w:r w:rsidR="00C0627B" w:rsidRPr="005D3E24">
        <w:rPr>
          <w:rFonts w:ascii="Times New Roman" w:hAnsi="Times New Roman" w:cs="Times New Roman"/>
          <w:sz w:val="24"/>
          <w:szCs w:val="24"/>
        </w:rPr>
        <w:t xml:space="preserve"> t</w:t>
      </w:r>
      <w:r w:rsidRPr="005D3E24">
        <w:rPr>
          <w:rFonts w:ascii="Times New Roman" w:hAnsi="Times New Roman" w:cs="Times New Roman"/>
          <w:sz w:val="24"/>
          <w:szCs w:val="24"/>
        </w:rPr>
        <w:t xml:space="preserve">here </w:t>
      </w:r>
      <w:r w:rsidR="00C0627B" w:rsidRPr="005D3E24">
        <w:rPr>
          <w:rFonts w:ascii="Times New Roman" w:hAnsi="Times New Roman" w:cs="Times New Roman"/>
          <w:sz w:val="24"/>
          <w:szCs w:val="24"/>
        </w:rPr>
        <w:t xml:space="preserve">has been </w:t>
      </w:r>
      <w:r w:rsidRPr="005D3E24">
        <w:rPr>
          <w:rFonts w:ascii="Times New Roman" w:hAnsi="Times New Roman" w:cs="Times New Roman"/>
          <w:sz w:val="24"/>
          <w:szCs w:val="24"/>
        </w:rPr>
        <w:t xml:space="preserve">a slight recovery rising to 4,571 in 2020. All apprenticeship arrangements are </w:t>
      </w:r>
      <w:r w:rsidR="00293DA1" w:rsidRPr="005D3E24">
        <w:rPr>
          <w:rFonts w:ascii="Times New Roman" w:hAnsi="Times New Roman" w:cs="Times New Roman"/>
          <w:sz w:val="24"/>
          <w:szCs w:val="24"/>
        </w:rPr>
        <w:t xml:space="preserve">affected </w:t>
      </w:r>
      <w:r w:rsidRPr="005D3E24">
        <w:rPr>
          <w:rFonts w:ascii="Times New Roman" w:hAnsi="Times New Roman" w:cs="Times New Roman"/>
          <w:sz w:val="24"/>
          <w:szCs w:val="24"/>
        </w:rPr>
        <w:t xml:space="preserve">within the rapidly contracting 3-year VET track, which currently stands at about </w:t>
      </w:r>
      <w:r w:rsidR="003D424E" w:rsidRPr="005D3E24">
        <w:rPr>
          <w:rFonts w:ascii="Times New Roman" w:hAnsi="Times New Roman" w:cs="Times New Roman"/>
          <w:sz w:val="24"/>
          <w:szCs w:val="24"/>
        </w:rPr>
        <w:t>nine</w:t>
      </w:r>
      <w:r w:rsidRPr="005D3E24">
        <w:rPr>
          <w:rFonts w:ascii="Times New Roman" w:hAnsi="Times New Roman" w:cs="Times New Roman"/>
          <w:sz w:val="24"/>
          <w:szCs w:val="24"/>
        </w:rPr>
        <w:t xml:space="preserve"> thousand entrants. Apprenticeships now comprise about half of all placements in this track, while </w:t>
      </w:r>
      <w:r w:rsidR="004B09BE" w:rsidRPr="005D3E24">
        <w:rPr>
          <w:rFonts w:ascii="Times New Roman" w:hAnsi="Times New Roman" w:cs="Times New Roman"/>
          <w:sz w:val="24"/>
          <w:szCs w:val="24"/>
        </w:rPr>
        <w:t xml:space="preserve">all </w:t>
      </w:r>
      <w:r w:rsidRPr="005D3E24">
        <w:rPr>
          <w:rFonts w:ascii="Times New Roman" w:hAnsi="Times New Roman" w:cs="Times New Roman"/>
          <w:sz w:val="24"/>
          <w:szCs w:val="24"/>
        </w:rPr>
        <w:t>other pupils attend school-based VET programmes, as do all 4-year technical VET pupils.</w:t>
      </w:r>
    </w:p>
    <w:p w14:paraId="2182D0A7" w14:textId="77777777" w:rsidR="003D0269" w:rsidRPr="005D3E24" w:rsidRDefault="00604D02" w:rsidP="005D3E24">
      <w:pPr>
        <w:spacing w:after="0" w:line="480" w:lineRule="auto"/>
        <w:ind w:firstLine="284"/>
        <w:jc w:val="both"/>
        <w:rPr>
          <w:rFonts w:ascii="Times New Roman" w:hAnsi="Times New Roman" w:cs="Times New Roman"/>
          <w:sz w:val="24"/>
          <w:szCs w:val="24"/>
          <w:lang w:eastAsia="el-GR"/>
        </w:rPr>
      </w:pPr>
      <w:r w:rsidRPr="005D3E24">
        <w:rPr>
          <w:rFonts w:ascii="Times New Roman" w:hAnsi="Times New Roman" w:cs="Times New Roman"/>
          <w:sz w:val="24"/>
          <w:szCs w:val="24"/>
          <w:lang w:eastAsia="el-GR"/>
        </w:rPr>
        <w:t xml:space="preserve">The key features of the apprenticeship model and its implementation in Croatia can be summarised thus: </w:t>
      </w:r>
    </w:p>
    <w:p w14:paraId="328B6AAA" w14:textId="7F592006" w:rsidR="003D0269" w:rsidRPr="005D3E24" w:rsidRDefault="008D2DBE" w:rsidP="005D3E24">
      <w:pPr>
        <w:pStyle w:val="ListParagraph"/>
        <w:numPr>
          <w:ilvl w:val="0"/>
          <w:numId w:val="1"/>
        </w:numPr>
        <w:spacing w:after="0" w:line="480" w:lineRule="auto"/>
        <w:contextualSpacing w:val="0"/>
        <w:rPr>
          <w:rFonts w:ascii="Times New Roman" w:hAnsi="Times New Roman" w:cs="Times New Roman"/>
          <w:color w:val="000000" w:themeColor="text1"/>
          <w:sz w:val="24"/>
          <w:szCs w:val="24"/>
          <w:lang w:eastAsia="el-GR"/>
        </w:rPr>
      </w:pPr>
      <w:r>
        <w:rPr>
          <w:rFonts w:ascii="Times New Roman" w:hAnsi="Times New Roman" w:cs="Times New Roman"/>
          <w:sz w:val="24"/>
          <w:szCs w:val="24"/>
          <w:lang w:eastAsia="el-GR"/>
        </w:rPr>
        <w:t>i</w:t>
      </w:r>
      <w:r w:rsidR="00C0627B" w:rsidRPr="005D3E24">
        <w:rPr>
          <w:rFonts w:ascii="Times New Roman" w:hAnsi="Times New Roman" w:cs="Times New Roman"/>
          <w:sz w:val="24"/>
          <w:szCs w:val="24"/>
          <w:lang w:eastAsia="el-GR"/>
        </w:rPr>
        <w:t xml:space="preserve">t is </w:t>
      </w:r>
      <w:r w:rsidR="00604D02" w:rsidRPr="005D3E24">
        <w:rPr>
          <w:rFonts w:ascii="Times New Roman" w:hAnsi="Times New Roman" w:cs="Times New Roman"/>
          <w:sz w:val="24"/>
          <w:szCs w:val="24"/>
          <w:lang w:eastAsia="el-GR"/>
        </w:rPr>
        <w:t xml:space="preserve">limited to a relatively narrow sector of economy (trades and </w:t>
      </w:r>
      <w:r w:rsidR="00604D02" w:rsidRPr="005D3E24">
        <w:rPr>
          <w:rFonts w:ascii="Times New Roman" w:hAnsi="Times New Roman" w:cs="Times New Roman"/>
          <w:color w:val="000000" w:themeColor="text1"/>
          <w:sz w:val="24"/>
          <w:szCs w:val="24"/>
          <w:lang w:eastAsia="el-GR"/>
        </w:rPr>
        <w:t>crafts);</w:t>
      </w:r>
    </w:p>
    <w:p w14:paraId="2987C6FD" w14:textId="283F76DA" w:rsidR="003D0269" w:rsidRPr="005D3E24" w:rsidRDefault="00C0627B" w:rsidP="005D3E24">
      <w:pPr>
        <w:pStyle w:val="ListParagraph"/>
        <w:numPr>
          <w:ilvl w:val="0"/>
          <w:numId w:val="1"/>
        </w:numPr>
        <w:spacing w:after="0" w:line="480" w:lineRule="auto"/>
        <w:contextualSpacing w:val="0"/>
        <w:rPr>
          <w:rFonts w:ascii="Times New Roman" w:hAnsi="Times New Roman" w:cs="Times New Roman"/>
          <w:sz w:val="24"/>
          <w:szCs w:val="24"/>
        </w:rPr>
      </w:pPr>
      <w:r w:rsidRPr="005D3E24">
        <w:rPr>
          <w:rFonts w:ascii="Times New Roman" w:hAnsi="Times New Roman" w:cs="Times New Roman"/>
          <w:sz w:val="24"/>
          <w:szCs w:val="24"/>
          <w:lang w:eastAsia="el-GR"/>
        </w:rPr>
        <w:t xml:space="preserve"> it was negatively impacted by </w:t>
      </w:r>
      <w:r w:rsidR="00604D02" w:rsidRPr="005D3E24">
        <w:rPr>
          <w:rFonts w:ascii="Times New Roman" w:hAnsi="Times New Roman" w:cs="Times New Roman"/>
          <w:sz w:val="24"/>
          <w:szCs w:val="24"/>
          <w:lang w:eastAsia="el-GR"/>
        </w:rPr>
        <w:t>demographic decline;</w:t>
      </w:r>
    </w:p>
    <w:p w14:paraId="58E99979" w14:textId="1DCAC977" w:rsidR="003D0269" w:rsidRPr="005D3E24" w:rsidRDefault="00C0627B" w:rsidP="005D3E24">
      <w:pPr>
        <w:pStyle w:val="ListParagraph"/>
        <w:numPr>
          <w:ilvl w:val="0"/>
          <w:numId w:val="1"/>
        </w:numPr>
        <w:spacing w:after="0" w:line="480" w:lineRule="auto"/>
        <w:contextualSpacing w:val="0"/>
        <w:rPr>
          <w:rFonts w:ascii="Times New Roman" w:hAnsi="Times New Roman" w:cs="Times New Roman"/>
          <w:sz w:val="24"/>
          <w:szCs w:val="24"/>
        </w:rPr>
      </w:pPr>
      <w:r w:rsidRPr="005D3E24">
        <w:rPr>
          <w:rFonts w:ascii="Times New Roman" w:hAnsi="Times New Roman" w:cs="Times New Roman"/>
          <w:sz w:val="24"/>
          <w:szCs w:val="24"/>
          <w:lang w:eastAsia="el-GR"/>
        </w:rPr>
        <w:t xml:space="preserve">there is a </w:t>
      </w:r>
      <w:r w:rsidR="00604D02" w:rsidRPr="005D3E24">
        <w:rPr>
          <w:rFonts w:ascii="Times New Roman" w:hAnsi="Times New Roman" w:cs="Times New Roman"/>
          <w:sz w:val="24"/>
          <w:szCs w:val="24"/>
          <w:lang w:eastAsia="el-GR"/>
        </w:rPr>
        <w:t>prominent role of the CCTC in delivery and administration, but with a status that is vulnerable to abrupt political intervention by the central state;</w:t>
      </w:r>
    </w:p>
    <w:p w14:paraId="14B18E54" w14:textId="079F9D85" w:rsidR="003D0269" w:rsidRPr="005D3E24" w:rsidRDefault="00C0627B" w:rsidP="005D3E24">
      <w:pPr>
        <w:pStyle w:val="ListParagraph"/>
        <w:numPr>
          <w:ilvl w:val="0"/>
          <w:numId w:val="1"/>
        </w:numPr>
        <w:spacing w:after="0" w:line="480" w:lineRule="auto"/>
        <w:contextualSpacing w:val="0"/>
        <w:rPr>
          <w:rFonts w:ascii="Times New Roman" w:hAnsi="Times New Roman" w:cs="Times New Roman"/>
          <w:sz w:val="24"/>
          <w:szCs w:val="24"/>
          <w:lang w:eastAsia="el-GR"/>
        </w:rPr>
      </w:pPr>
      <w:r w:rsidRPr="005D3E24">
        <w:rPr>
          <w:rFonts w:ascii="Times New Roman" w:hAnsi="Times New Roman" w:cs="Times New Roman"/>
          <w:sz w:val="24"/>
          <w:szCs w:val="24"/>
          <w:lang w:eastAsia="el-GR"/>
        </w:rPr>
        <w:t xml:space="preserve">there is a </w:t>
      </w:r>
      <w:r w:rsidR="00604D02" w:rsidRPr="005D3E24">
        <w:rPr>
          <w:rFonts w:ascii="Times New Roman" w:hAnsi="Times New Roman" w:cs="Times New Roman"/>
          <w:sz w:val="24"/>
          <w:szCs w:val="24"/>
          <w:lang w:eastAsia="el-GR"/>
        </w:rPr>
        <w:t>relatively low intensity of workplace learning, compared to similar programmes in developed industrial democracies;</w:t>
      </w:r>
    </w:p>
    <w:p w14:paraId="7AADD80C" w14:textId="116AAF24" w:rsidR="003D0269" w:rsidRPr="005D3E24" w:rsidRDefault="00C0627B" w:rsidP="005D3E24">
      <w:pPr>
        <w:pStyle w:val="ListParagraph"/>
        <w:numPr>
          <w:ilvl w:val="0"/>
          <w:numId w:val="1"/>
        </w:numPr>
        <w:spacing w:after="0" w:line="480" w:lineRule="auto"/>
        <w:contextualSpacing w:val="0"/>
        <w:rPr>
          <w:rFonts w:ascii="Times New Roman" w:hAnsi="Times New Roman" w:cs="Times New Roman"/>
          <w:sz w:val="24"/>
          <w:szCs w:val="24"/>
          <w:lang w:eastAsia="el-GR"/>
        </w:rPr>
      </w:pPr>
      <w:r w:rsidRPr="005D3E24">
        <w:rPr>
          <w:rFonts w:ascii="Times New Roman" w:hAnsi="Times New Roman" w:cs="Times New Roman"/>
          <w:sz w:val="24"/>
          <w:szCs w:val="24"/>
          <w:lang w:eastAsia="el-GR"/>
        </w:rPr>
        <w:lastRenderedPageBreak/>
        <w:t xml:space="preserve">there is </w:t>
      </w:r>
      <w:r w:rsidR="00604D02" w:rsidRPr="005D3E24">
        <w:rPr>
          <w:rFonts w:ascii="Times New Roman" w:hAnsi="Times New Roman" w:cs="Times New Roman"/>
          <w:sz w:val="24"/>
          <w:szCs w:val="24"/>
          <w:lang w:eastAsia="el-GR"/>
        </w:rPr>
        <w:t>weaknesses in monitoring and rule enforcement, as evidenced by the case of sub-standard financial compensation for apprentices, with the bulk of employers apparently unwilling to pay even such low amounts;</w:t>
      </w:r>
    </w:p>
    <w:p w14:paraId="7A4632A7" w14:textId="73B9F83B" w:rsidR="003D0269" w:rsidRPr="005D3E24" w:rsidRDefault="00C0627B" w:rsidP="005D3E24">
      <w:pPr>
        <w:pStyle w:val="ListParagraph"/>
        <w:numPr>
          <w:ilvl w:val="0"/>
          <w:numId w:val="1"/>
        </w:numPr>
        <w:spacing w:after="0" w:line="480" w:lineRule="auto"/>
        <w:contextualSpacing w:val="0"/>
        <w:rPr>
          <w:rFonts w:ascii="Times New Roman" w:hAnsi="Times New Roman" w:cs="Times New Roman"/>
          <w:sz w:val="24"/>
          <w:szCs w:val="24"/>
          <w:lang w:eastAsia="el-GR"/>
        </w:rPr>
      </w:pPr>
      <w:r w:rsidRPr="005D3E24">
        <w:rPr>
          <w:rFonts w:ascii="Times New Roman" w:hAnsi="Times New Roman" w:cs="Times New Roman"/>
          <w:sz w:val="24"/>
          <w:szCs w:val="24"/>
          <w:lang w:eastAsia="el-GR"/>
        </w:rPr>
        <w:t>it can be characteri</w:t>
      </w:r>
      <w:r w:rsidR="00C5265F">
        <w:rPr>
          <w:rFonts w:ascii="Times New Roman" w:hAnsi="Times New Roman" w:cs="Times New Roman"/>
          <w:sz w:val="24"/>
          <w:szCs w:val="24"/>
          <w:lang w:eastAsia="el-GR"/>
        </w:rPr>
        <w:t>z</w:t>
      </w:r>
      <w:r w:rsidRPr="005D3E24">
        <w:rPr>
          <w:rFonts w:ascii="Times New Roman" w:hAnsi="Times New Roman" w:cs="Times New Roman"/>
          <w:sz w:val="24"/>
          <w:szCs w:val="24"/>
          <w:lang w:eastAsia="el-GR"/>
        </w:rPr>
        <w:t xml:space="preserve">ed as an </w:t>
      </w:r>
      <w:r w:rsidR="00604D02" w:rsidRPr="005D3E24">
        <w:rPr>
          <w:rFonts w:ascii="Times New Roman" w:hAnsi="Times New Roman" w:cs="Times New Roman"/>
          <w:sz w:val="24"/>
          <w:szCs w:val="24"/>
          <w:lang w:eastAsia="el-GR"/>
        </w:rPr>
        <w:t xml:space="preserve">educational dead-end, with links towards HE largely disrupted and limited opportunities in the field of continuing VET. </w:t>
      </w:r>
    </w:p>
    <w:p w14:paraId="721218E4" w14:textId="34C9EB4E" w:rsidR="003D0269" w:rsidRPr="005D3E24" w:rsidRDefault="00E27BE1" w:rsidP="005D3E24">
      <w:pPr>
        <w:spacing w:after="0" w:line="480" w:lineRule="auto"/>
        <w:ind w:firstLine="284"/>
        <w:jc w:val="both"/>
        <w:rPr>
          <w:rFonts w:ascii="Times New Roman" w:hAnsi="Times New Roman" w:cs="Times New Roman"/>
          <w:sz w:val="24"/>
          <w:szCs w:val="24"/>
        </w:rPr>
      </w:pPr>
      <w:r w:rsidRPr="00E27BE1">
        <w:rPr>
          <w:rFonts w:ascii="Times New Roman" w:hAnsi="Times New Roman" w:cs="Times New Roman"/>
          <w:sz w:val="24"/>
          <w:szCs w:val="24"/>
          <w:lang w:eastAsia="el-GR"/>
        </w:rPr>
        <w:t>Deeper understanding of these outcomes, particularly in terms of their causality, is necessary and requires additional empirical research.</w:t>
      </w:r>
      <w:r w:rsidR="002613EB" w:rsidRPr="005D3E24">
        <w:rPr>
          <w:rFonts w:ascii="Times New Roman" w:hAnsi="Times New Roman" w:cs="Times New Roman"/>
          <w:sz w:val="24"/>
          <w:szCs w:val="24"/>
          <w:lang w:eastAsia="el-GR"/>
        </w:rPr>
        <w:t>. Below,</w:t>
      </w:r>
      <w:r w:rsidR="00604D02" w:rsidRPr="005D3E24">
        <w:rPr>
          <w:rFonts w:ascii="Times New Roman" w:hAnsi="Times New Roman" w:cs="Times New Roman"/>
          <w:sz w:val="24"/>
          <w:szCs w:val="24"/>
          <w:lang w:eastAsia="el-GR"/>
        </w:rPr>
        <w:t xml:space="preserve"> we outline several explanatory </w:t>
      </w:r>
      <w:r w:rsidR="00CE0BC4">
        <w:rPr>
          <w:rFonts w:ascii="Times New Roman" w:hAnsi="Times New Roman" w:cs="Times New Roman"/>
          <w:sz w:val="24"/>
          <w:szCs w:val="24"/>
          <w:lang w:eastAsia="el-GR"/>
        </w:rPr>
        <w:t>track</w:t>
      </w:r>
      <w:r w:rsidR="00604D02" w:rsidRPr="005D3E24">
        <w:rPr>
          <w:rFonts w:ascii="Times New Roman" w:hAnsi="Times New Roman" w:cs="Times New Roman"/>
          <w:sz w:val="24"/>
          <w:szCs w:val="24"/>
          <w:lang w:eastAsia="el-GR"/>
        </w:rPr>
        <w:t xml:space="preserve">s that could </w:t>
      </w:r>
      <w:r w:rsidR="00F221C5" w:rsidRPr="005D3E24">
        <w:rPr>
          <w:rFonts w:ascii="Times New Roman" w:hAnsi="Times New Roman" w:cs="Times New Roman"/>
          <w:sz w:val="24"/>
          <w:szCs w:val="24"/>
          <w:lang w:eastAsia="el-GR"/>
        </w:rPr>
        <w:t xml:space="preserve">provide the foundation for </w:t>
      </w:r>
      <w:r w:rsidR="00604D02" w:rsidRPr="005D3E24">
        <w:rPr>
          <w:rFonts w:ascii="Times New Roman" w:hAnsi="Times New Roman" w:cs="Times New Roman"/>
          <w:sz w:val="24"/>
          <w:szCs w:val="24"/>
          <w:lang w:eastAsia="el-GR"/>
        </w:rPr>
        <w:t>such research.</w:t>
      </w:r>
    </w:p>
    <w:p w14:paraId="3B51D625" w14:textId="246B7CD6" w:rsidR="003D0269" w:rsidRPr="005D3E24" w:rsidRDefault="00604D02" w:rsidP="005D3E24">
      <w:pPr>
        <w:spacing w:after="0" w:line="480" w:lineRule="auto"/>
        <w:ind w:firstLine="284"/>
        <w:jc w:val="both"/>
        <w:rPr>
          <w:rFonts w:ascii="Times New Roman" w:hAnsi="Times New Roman" w:cs="Times New Roman"/>
          <w:sz w:val="24"/>
          <w:szCs w:val="24"/>
        </w:rPr>
      </w:pPr>
      <w:r w:rsidRPr="005D3E24">
        <w:rPr>
          <w:rFonts w:ascii="Times New Roman" w:hAnsi="Times New Roman" w:cs="Times New Roman"/>
          <w:sz w:val="24"/>
          <w:szCs w:val="24"/>
          <w:lang w:eastAsia="el-GR"/>
        </w:rPr>
        <w:t>The first explanation relates to the central state</w:t>
      </w:r>
      <w:r w:rsidR="0066114F" w:rsidRPr="005D3E24">
        <w:rPr>
          <w:rFonts w:ascii="Times New Roman" w:hAnsi="Times New Roman" w:cs="Times New Roman"/>
          <w:sz w:val="24"/>
          <w:szCs w:val="24"/>
          <w:lang w:eastAsia="el-GR"/>
        </w:rPr>
        <w:t>,</w:t>
      </w:r>
      <w:r w:rsidRPr="005D3E24">
        <w:rPr>
          <w:rFonts w:ascii="Times New Roman" w:hAnsi="Times New Roman" w:cs="Times New Roman"/>
          <w:sz w:val="24"/>
          <w:szCs w:val="24"/>
          <w:lang w:eastAsia="el-GR"/>
        </w:rPr>
        <w:t xml:space="preserve"> which avoids expanding apprenticeship into other fields of education/economy</w:t>
      </w:r>
      <w:r w:rsidR="008D2DBE">
        <w:rPr>
          <w:rFonts w:ascii="Times New Roman" w:hAnsi="Times New Roman" w:cs="Times New Roman"/>
          <w:sz w:val="24"/>
          <w:szCs w:val="24"/>
          <w:lang w:eastAsia="el-GR"/>
        </w:rPr>
        <w:t xml:space="preserve"> because it is potentially </w:t>
      </w:r>
      <w:r w:rsidRPr="005D3E24">
        <w:rPr>
          <w:rFonts w:ascii="Times New Roman" w:hAnsi="Times New Roman" w:cs="Times New Roman"/>
          <w:sz w:val="24"/>
          <w:szCs w:val="24"/>
          <w:lang w:eastAsia="el-GR"/>
        </w:rPr>
        <w:t xml:space="preserve">a very demanding and politically risky reform. This interpretation would see maintaining the current </w:t>
      </w:r>
      <w:r w:rsidRPr="005D3E24">
        <w:rPr>
          <w:rFonts w:ascii="Times New Roman" w:hAnsi="Times New Roman" w:cs="Times New Roman"/>
          <w:i/>
          <w:iCs/>
          <w:sz w:val="24"/>
          <w:szCs w:val="24"/>
          <w:lang w:eastAsia="el-GR"/>
        </w:rPr>
        <w:t xml:space="preserve">status quo </w:t>
      </w:r>
      <w:r w:rsidRPr="005D3E24">
        <w:rPr>
          <w:rFonts w:ascii="Times New Roman" w:hAnsi="Times New Roman" w:cs="Times New Roman"/>
          <w:sz w:val="24"/>
          <w:szCs w:val="24"/>
          <w:lang w:eastAsia="el-GR"/>
        </w:rPr>
        <w:t xml:space="preserve">as a way of satisfying the basic needs of the most prominent apprenticeship advocate in Croatia (namely, the CTCC), while delegating some accountability for unfavourable outcomes to it. In this context, it will be interesting to observe whether the recent resurgence of interest within the CCE could lead to a more coherent push from employers’ side. However, </w:t>
      </w:r>
      <w:r w:rsidR="003569B2" w:rsidRPr="005D3E24">
        <w:rPr>
          <w:rFonts w:ascii="Times New Roman" w:hAnsi="Times New Roman" w:cs="Times New Roman"/>
          <w:sz w:val="24"/>
          <w:szCs w:val="24"/>
          <w:lang w:eastAsia="el-GR"/>
        </w:rPr>
        <w:t xml:space="preserve">initial evidence </w:t>
      </w:r>
      <w:r w:rsidR="0066114F" w:rsidRPr="005D3E24">
        <w:rPr>
          <w:rFonts w:ascii="Times New Roman" w:hAnsi="Times New Roman" w:cs="Times New Roman"/>
          <w:sz w:val="24"/>
          <w:szCs w:val="24"/>
          <w:lang w:eastAsia="el-GR"/>
        </w:rPr>
        <w:t>(C</w:t>
      </w:r>
      <w:r w:rsidR="008D2DBE">
        <w:rPr>
          <w:rFonts w:ascii="Times New Roman" w:hAnsi="Times New Roman" w:cs="Times New Roman"/>
          <w:sz w:val="24"/>
          <w:szCs w:val="24"/>
          <w:lang w:eastAsia="el-GR"/>
        </w:rPr>
        <w:t>edefop</w:t>
      </w:r>
      <w:r w:rsidR="0066114F" w:rsidRPr="005D3E24">
        <w:rPr>
          <w:rFonts w:ascii="Times New Roman" w:hAnsi="Times New Roman" w:cs="Times New Roman"/>
          <w:sz w:val="24"/>
          <w:szCs w:val="24"/>
          <w:lang w:eastAsia="el-GR"/>
        </w:rPr>
        <w:t xml:space="preserve"> 2019</w:t>
      </w:r>
      <w:r w:rsidR="008D2DBE">
        <w:rPr>
          <w:rFonts w:ascii="Times New Roman" w:hAnsi="Times New Roman" w:cs="Times New Roman"/>
          <w:sz w:val="24"/>
          <w:szCs w:val="24"/>
          <w:lang w:eastAsia="el-GR"/>
        </w:rPr>
        <w:t>,</w:t>
      </w:r>
      <w:r w:rsidR="0066114F" w:rsidRPr="005D3E24">
        <w:rPr>
          <w:rFonts w:ascii="Times New Roman" w:hAnsi="Times New Roman" w:cs="Times New Roman"/>
          <w:sz w:val="24"/>
          <w:szCs w:val="24"/>
        </w:rPr>
        <w:t xml:space="preserve"> 81) </w:t>
      </w:r>
      <w:r w:rsidRPr="005D3E24">
        <w:rPr>
          <w:rFonts w:ascii="Times New Roman" w:hAnsi="Times New Roman" w:cs="Times New Roman"/>
          <w:sz w:val="24"/>
          <w:szCs w:val="24"/>
          <w:lang w:eastAsia="el-GR"/>
        </w:rPr>
        <w:t>indicate</w:t>
      </w:r>
      <w:r w:rsidR="003569B2" w:rsidRPr="005D3E24">
        <w:rPr>
          <w:rFonts w:ascii="Times New Roman" w:hAnsi="Times New Roman" w:cs="Times New Roman"/>
          <w:sz w:val="24"/>
          <w:szCs w:val="24"/>
          <w:lang w:eastAsia="el-GR"/>
        </w:rPr>
        <w:t>s</w:t>
      </w:r>
      <w:r w:rsidRPr="005D3E24">
        <w:rPr>
          <w:rFonts w:ascii="Times New Roman" w:hAnsi="Times New Roman" w:cs="Times New Roman"/>
          <w:sz w:val="24"/>
          <w:szCs w:val="24"/>
          <w:lang w:eastAsia="el-GR"/>
        </w:rPr>
        <w:t xml:space="preserve"> that the two chambers have thus far not coordinated their positions — with the CCE being interested in establishing its own apprenticeship system, under the ‘dual education’ trademark, and the CTCC being primarily interested in protecting the JMO.</w:t>
      </w:r>
    </w:p>
    <w:p w14:paraId="4D9111E6" w14:textId="00D65CE2" w:rsidR="003D0269" w:rsidRPr="005D3E24" w:rsidRDefault="00604D02" w:rsidP="005D3E24">
      <w:pPr>
        <w:spacing w:after="0" w:line="480" w:lineRule="auto"/>
        <w:ind w:firstLine="284"/>
        <w:jc w:val="both"/>
        <w:rPr>
          <w:rFonts w:ascii="Times New Roman" w:hAnsi="Times New Roman" w:cs="Times New Roman"/>
          <w:sz w:val="24"/>
          <w:szCs w:val="24"/>
        </w:rPr>
      </w:pPr>
      <w:r w:rsidRPr="005D3E24">
        <w:rPr>
          <w:rFonts w:ascii="Times New Roman" w:hAnsi="Times New Roman" w:cs="Times New Roman"/>
          <w:sz w:val="24"/>
          <w:szCs w:val="24"/>
          <w:lang w:eastAsia="el-GR"/>
        </w:rPr>
        <w:t xml:space="preserve">The second set of factors relates to the transformation of the economic structure — characterised by industrial decline (Table 1) and the prolonged recession (2009–2014). This decimated </w:t>
      </w:r>
      <w:r w:rsidR="001651FF" w:rsidRPr="005D3E24">
        <w:rPr>
          <w:rFonts w:ascii="Times New Roman" w:hAnsi="Times New Roman" w:cs="Times New Roman"/>
          <w:sz w:val="24"/>
          <w:szCs w:val="24"/>
          <w:lang w:eastAsia="el-GR"/>
        </w:rPr>
        <w:t xml:space="preserve">the </w:t>
      </w:r>
      <w:r w:rsidR="0066114F" w:rsidRPr="005D3E24">
        <w:rPr>
          <w:rFonts w:ascii="Times New Roman" w:hAnsi="Times New Roman" w:cs="Times New Roman"/>
          <w:sz w:val="24"/>
          <w:szCs w:val="24"/>
          <w:lang w:eastAsia="el-GR"/>
        </w:rPr>
        <w:t>number of sole proprietors</w:t>
      </w:r>
      <w:r w:rsidRPr="005D3E24">
        <w:rPr>
          <w:rFonts w:ascii="Times New Roman" w:hAnsi="Times New Roman" w:cs="Times New Roman"/>
          <w:sz w:val="24"/>
          <w:szCs w:val="24"/>
          <w:lang w:eastAsia="el-GR"/>
        </w:rPr>
        <w:t xml:space="preserve"> and radically limited many firms’ capacity to retain such a demanding and relatively expensive learning scheme as apprenticeships </w:t>
      </w:r>
      <w:bookmarkStart w:id="103" w:name="__Fieldmark__1574_131419714"/>
      <w:r w:rsidRPr="005D3E24">
        <w:rPr>
          <w:rFonts w:ascii="Times New Roman" w:hAnsi="Times New Roman" w:cs="Times New Roman"/>
          <w:sz w:val="24"/>
          <w:szCs w:val="24"/>
          <w:lang w:eastAsia="el-GR"/>
        </w:rPr>
        <w:t>(Matković et al. 2013)</w:t>
      </w:r>
      <w:bookmarkStart w:id="104" w:name="__Fieldmark__6684_374039044"/>
      <w:bookmarkStart w:id="105" w:name="__Fieldmark__917_241477822"/>
      <w:bookmarkStart w:id="106" w:name="__Fieldmark__1409_2097806078"/>
      <w:bookmarkEnd w:id="103"/>
      <w:bookmarkEnd w:id="104"/>
      <w:bookmarkEnd w:id="105"/>
      <w:bookmarkEnd w:id="106"/>
      <w:r w:rsidRPr="005D3E24">
        <w:rPr>
          <w:rFonts w:ascii="Times New Roman" w:hAnsi="Times New Roman" w:cs="Times New Roman"/>
          <w:sz w:val="24"/>
          <w:szCs w:val="24"/>
          <w:lang w:eastAsia="el-GR"/>
        </w:rPr>
        <w:t xml:space="preserve">. Persistently high unemployment also weakened trade unions in the private sector — while the relatively low mobility of the workforce (prior to Croatia’s accession to the EU) allowed firms to build their </w:t>
      </w:r>
      <w:r w:rsidRPr="005D3E24">
        <w:rPr>
          <w:rFonts w:ascii="Times New Roman" w:hAnsi="Times New Roman" w:cs="Times New Roman"/>
          <w:sz w:val="24"/>
          <w:szCs w:val="24"/>
          <w:lang w:eastAsia="el-GR"/>
        </w:rPr>
        <w:lastRenderedPageBreak/>
        <w:t xml:space="preserve">competitiveness based on the price of labour, rather than on investing in knowledge and innovation </w:t>
      </w:r>
      <w:bookmarkStart w:id="107" w:name="__Fieldmark__1592_131419714"/>
      <w:r w:rsidRPr="005D3E24">
        <w:rPr>
          <w:rFonts w:ascii="Times New Roman" w:hAnsi="Times New Roman" w:cs="Times New Roman"/>
          <w:sz w:val="24"/>
          <w:szCs w:val="24"/>
          <w:lang w:eastAsia="el-GR"/>
        </w:rPr>
        <w:t>(Mršić 2018)</w:t>
      </w:r>
      <w:bookmarkStart w:id="108" w:name="__Fieldmark__6715_374039044"/>
      <w:bookmarkStart w:id="109" w:name="__Fieldmark__924_241477822"/>
      <w:bookmarkStart w:id="110" w:name="__Fieldmark__1420_2097806078"/>
      <w:bookmarkEnd w:id="107"/>
      <w:bookmarkEnd w:id="108"/>
      <w:bookmarkEnd w:id="109"/>
      <w:bookmarkEnd w:id="110"/>
      <w:r w:rsidRPr="005D3E24">
        <w:rPr>
          <w:rFonts w:ascii="Times New Roman" w:hAnsi="Times New Roman" w:cs="Times New Roman"/>
          <w:sz w:val="24"/>
          <w:szCs w:val="24"/>
          <w:lang w:eastAsia="el-GR"/>
        </w:rPr>
        <w:t>. It may thus not be surprising that both the central state</w:t>
      </w:r>
      <w:r w:rsidR="008D2DBE">
        <w:rPr>
          <w:rFonts w:ascii="Times New Roman" w:hAnsi="Times New Roman" w:cs="Times New Roman"/>
          <w:sz w:val="24"/>
          <w:szCs w:val="24"/>
          <w:lang w:eastAsia="el-GR"/>
        </w:rPr>
        <w:t>’</w:t>
      </w:r>
      <w:r w:rsidRPr="005D3E24">
        <w:rPr>
          <w:rFonts w:ascii="Times New Roman" w:hAnsi="Times New Roman" w:cs="Times New Roman"/>
          <w:sz w:val="24"/>
          <w:szCs w:val="24"/>
          <w:lang w:eastAsia="el-GR"/>
        </w:rPr>
        <w:t>s and the CCE</w:t>
      </w:r>
      <w:r w:rsidR="008D2DBE">
        <w:rPr>
          <w:rFonts w:ascii="Times New Roman" w:hAnsi="Times New Roman" w:cs="Times New Roman"/>
          <w:sz w:val="24"/>
          <w:szCs w:val="24"/>
          <w:lang w:eastAsia="el-GR"/>
        </w:rPr>
        <w:t>’</w:t>
      </w:r>
      <w:r w:rsidRPr="005D3E24">
        <w:rPr>
          <w:rFonts w:ascii="Times New Roman" w:hAnsi="Times New Roman" w:cs="Times New Roman"/>
          <w:sz w:val="24"/>
          <w:szCs w:val="24"/>
          <w:lang w:eastAsia="el-GR"/>
        </w:rPr>
        <w:t xml:space="preserve">s renewed interest in apprenticeships emerged </w:t>
      </w:r>
      <w:r w:rsidR="00C75949" w:rsidRPr="005D3E24">
        <w:rPr>
          <w:rFonts w:ascii="Times New Roman" w:hAnsi="Times New Roman" w:cs="Times New Roman"/>
          <w:sz w:val="24"/>
          <w:szCs w:val="24"/>
          <w:lang w:eastAsia="el-GR"/>
        </w:rPr>
        <w:t xml:space="preserve">only </w:t>
      </w:r>
      <w:r w:rsidRPr="005D3E24">
        <w:rPr>
          <w:rFonts w:ascii="Times New Roman" w:hAnsi="Times New Roman" w:cs="Times New Roman"/>
          <w:sz w:val="24"/>
          <w:szCs w:val="24"/>
          <w:lang w:eastAsia="el-GR"/>
        </w:rPr>
        <w:t xml:space="preserve">after </w:t>
      </w:r>
      <w:r w:rsidR="003569B2" w:rsidRPr="005D3E24">
        <w:rPr>
          <w:rFonts w:ascii="Times New Roman" w:hAnsi="Times New Roman" w:cs="Times New Roman"/>
          <w:sz w:val="24"/>
          <w:szCs w:val="24"/>
          <w:lang w:eastAsia="el-GR"/>
        </w:rPr>
        <w:t xml:space="preserve">the </w:t>
      </w:r>
      <w:r w:rsidR="00C75949" w:rsidRPr="005D3E24">
        <w:rPr>
          <w:rFonts w:ascii="Times New Roman" w:hAnsi="Times New Roman" w:cs="Times New Roman"/>
          <w:sz w:val="24"/>
          <w:szCs w:val="24"/>
          <w:lang w:eastAsia="el-GR"/>
        </w:rPr>
        <w:t>E</w:t>
      </w:r>
      <w:r w:rsidR="008D2DBE">
        <w:rPr>
          <w:rFonts w:ascii="Times New Roman" w:hAnsi="Times New Roman" w:cs="Times New Roman"/>
          <w:sz w:val="24"/>
          <w:szCs w:val="24"/>
          <w:lang w:eastAsia="el-GR"/>
        </w:rPr>
        <w:t>U</w:t>
      </w:r>
      <w:r w:rsidR="00C75949" w:rsidRPr="005D3E24">
        <w:rPr>
          <w:rFonts w:ascii="Times New Roman" w:hAnsi="Times New Roman" w:cs="Times New Roman"/>
          <w:sz w:val="24"/>
          <w:szCs w:val="24"/>
          <w:lang w:eastAsia="el-GR"/>
        </w:rPr>
        <w:t xml:space="preserve"> </w:t>
      </w:r>
      <w:r w:rsidR="003569B2" w:rsidRPr="005D3E24">
        <w:rPr>
          <w:rFonts w:ascii="Times New Roman" w:hAnsi="Times New Roman" w:cs="Times New Roman"/>
          <w:sz w:val="24"/>
          <w:szCs w:val="24"/>
          <w:lang w:eastAsia="el-GR"/>
        </w:rPr>
        <w:t xml:space="preserve">labour market </w:t>
      </w:r>
      <w:r w:rsidR="008D2DBE">
        <w:rPr>
          <w:rFonts w:ascii="Times New Roman" w:hAnsi="Times New Roman" w:cs="Times New Roman"/>
          <w:sz w:val="24"/>
          <w:szCs w:val="24"/>
          <w:lang w:eastAsia="el-GR"/>
        </w:rPr>
        <w:t xml:space="preserve">was </w:t>
      </w:r>
      <w:r w:rsidR="00C75949" w:rsidRPr="005D3E24">
        <w:rPr>
          <w:rFonts w:ascii="Times New Roman" w:hAnsi="Times New Roman" w:cs="Times New Roman"/>
          <w:sz w:val="24"/>
          <w:szCs w:val="24"/>
          <w:lang w:eastAsia="el-GR"/>
        </w:rPr>
        <w:t>open</w:t>
      </w:r>
      <w:r w:rsidR="008D2DBE">
        <w:rPr>
          <w:rFonts w:ascii="Times New Roman" w:hAnsi="Times New Roman" w:cs="Times New Roman"/>
          <w:sz w:val="24"/>
          <w:szCs w:val="24"/>
          <w:lang w:eastAsia="el-GR"/>
        </w:rPr>
        <w:t xml:space="preserve"> to</w:t>
      </w:r>
      <w:r w:rsidR="00C75949" w:rsidRPr="005D3E24">
        <w:rPr>
          <w:rFonts w:ascii="Times New Roman" w:hAnsi="Times New Roman" w:cs="Times New Roman"/>
          <w:sz w:val="24"/>
          <w:szCs w:val="24"/>
          <w:lang w:eastAsia="el-GR"/>
        </w:rPr>
        <w:t xml:space="preserve"> </w:t>
      </w:r>
      <w:r w:rsidRPr="005D3E24">
        <w:rPr>
          <w:rFonts w:ascii="Times New Roman" w:hAnsi="Times New Roman" w:cs="Times New Roman"/>
          <w:sz w:val="24"/>
          <w:szCs w:val="24"/>
          <w:lang w:eastAsia="el-GR"/>
        </w:rPr>
        <w:t xml:space="preserve">Croatian workers seeking employment. This resulted in significant workforce migration and, consequently, in </w:t>
      </w:r>
      <w:r w:rsidR="00C75949" w:rsidRPr="005D3E24">
        <w:rPr>
          <w:rFonts w:ascii="Times New Roman" w:hAnsi="Times New Roman" w:cs="Times New Roman"/>
          <w:sz w:val="24"/>
          <w:szCs w:val="24"/>
          <w:lang w:eastAsia="el-GR"/>
        </w:rPr>
        <w:t xml:space="preserve">shortages </w:t>
      </w:r>
      <w:r w:rsidRPr="005D3E24">
        <w:rPr>
          <w:rFonts w:ascii="Times New Roman" w:hAnsi="Times New Roman" w:cs="Times New Roman"/>
          <w:sz w:val="24"/>
          <w:szCs w:val="24"/>
          <w:lang w:eastAsia="el-GR"/>
        </w:rPr>
        <w:t>in some key economic sectors with widespread apprenticeship training, like tourism and construction. It remains to be seen whether these developments will incentivi</w:t>
      </w:r>
      <w:r w:rsidR="008D2DBE">
        <w:rPr>
          <w:rFonts w:ascii="Times New Roman" w:hAnsi="Times New Roman" w:cs="Times New Roman"/>
          <w:sz w:val="24"/>
          <w:szCs w:val="24"/>
          <w:lang w:eastAsia="el-GR"/>
        </w:rPr>
        <w:t>z</w:t>
      </w:r>
      <w:r w:rsidRPr="005D3E24">
        <w:rPr>
          <w:rFonts w:ascii="Times New Roman" w:hAnsi="Times New Roman" w:cs="Times New Roman"/>
          <w:sz w:val="24"/>
          <w:szCs w:val="24"/>
          <w:lang w:eastAsia="el-GR"/>
        </w:rPr>
        <w:t xml:space="preserve">e key actors to adopt a more favourable view of apprenticeship in Croatia. </w:t>
      </w:r>
    </w:p>
    <w:p w14:paraId="516870D5" w14:textId="38E1A681" w:rsidR="003D0269" w:rsidRPr="005D3E24" w:rsidRDefault="00604D02" w:rsidP="005D3E24">
      <w:pPr>
        <w:spacing w:after="0" w:line="480" w:lineRule="auto"/>
        <w:ind w:firstLine="284"/>
        <w:jc w:val="both"/>
        <w:rPr>
          <w:rFonts w:ascii="Times New Roman" w:hAnsi="Times New Roman" w:cs="Times New Roman"/>
          <w:sz w:val="24"/>
          <w:szCs w:val="24"/>
        </w:rPr>
      </w:pPr>
      <w:r w:rsidRPr="005D3E24">
        <w:rPr>
          <w:rFonts w:ascii="Times New Roman" w:hAnsi="Times New Roman" w:cs="Times New Roman"/>
          <w:sz w:val="24"/>
          <w:szCs w:val="24"/>
          <w:lang w:eastAsia="el-GR"/>
        </w:rPr>
        <w:t>Europeani</w:t>
      </w:r>
      <w:r w:rsidR="008D2DBE">
        <w:rPr>
          <w:rFonts w:ascii="Times New Roman" w:hAnsi="Times New Roman" w:cs="Times New Roman"/>
          <w:sz w:val="24"/>
          <w:szCs w:val="24"/>
          <w:lang w:eastAsia="el-GR"/>
        </w:rPr>
        <w:t>z</w:t>
      </w:r>
      <w:r w:rsidRPr="005D3E24">
        <w:rPr>
          <w:rFonts w:ascii="Times New Roman" w:hAnsi="Times New Roman" w:cs="Times New Roman"/>
          <w:sz w:val="24"/>
          <w:szCs w:val="24"/>
          <w:lang w:eastAsia="el-GR"/>
        </w:rPr>
        <w:t xml:space="preserve">ation can influence policy through other important channels, apart from the common market. The apprenticeship model is, in Croatia, associated with the tradition of German-speaking states that often served as institutional models. It is thus not surprising that apprenticeship was (re)introduced in Croatia based on the German/Bavarian model. These ties persist. For instance, many German-speaking companies doing business in Croatia provide direct funding for VET reforms, as does the Swiss-Croatian Cooperation Programme. Austrian institutions are also involved as partners in the 2016 Cap4App capacity building project, </w:t>
      </w:r>
      <w:r w:rsidR="00C75949" w:rsidRPr="005D3E24">
        <w:rPr>
          <w:rFonts w:ascii="Times New Roman" w:hAnsi="Times New Roman" w:cs="Times New Roman"/>
          <w:sz w:val="24"/>
          <w:szCs w:val="24"/>
        </w:rPr>
        <w:t>supporting</w:t>
      </w:r>
      <w:r w:rsidRPr="005D3E24">
        <w:rPr>
          <w:rFonts w:ascii="Times New Roman" w:hAnsi="Times New Roman" w:cs="Times New Roman"/>
          <w:sz w:val="24"/>
          <w:szCs w:val="24"/>
          <w:lang w:eastAsia="el-GR"/>
        </w:rPr>
        <w:t xml:space="preserve"> the most recent introduction of the dual system. Yet other elements of Europeanisation may have adverse effects on the development of apprenticeship in Croatia. Some authors </w:t>
      </w:r>
      <w:bookmarkStart w:id="111" w:name="__Fieldmark__1630_131419714"/>
      <w:r w:rsidRPr="005D3E24">
        <w:rPr>
          <w:rFonts w:ascii="Times New Roman" w:hAnsi="Times New Roman" w:cs="Times New Roman"/>
          <w:sz w:val="24"/>
          <w:szCs w:val="24"/>
          <w:lang w:eastAsia="el-GR"/>
        </w:rPr>
        <w:t>(Powell &amp; Trampusch 2012</w:t>
      </w:r>
      <w:r w:rsidR="00C07A26">
        <w:rPr>
          <w:rFonts w:ascii="Times New Roman" w:hAnsi="Times New Roman" w:cs="Times New Roman"/>
          <w:sz w:val="24"/>
          <w:szCs w:val="24"/>
        </w:rPr>
        <w:t>,</w:t>
      </w:r>
      <w:r w:rsidRPr="005D3E24">
        <w:rPr>
          <w:rFonts w:ascii="Times New Roman" w:hAnsi="Times New Roman" w:cs="Times New Roman"/>
          <w:sz w:val="24"/>
          <w:szCs w:val="24"/>
        </w:rPr>
        <w:t xml:space="preserve"> 285-286)</w:t>
      </w:r>
      <w:bookmarkStart w:id="112" w:name="__Fieldmark__1451_2097806078"/>
      <w:bookmarkStart w:id="113" w:name="__Fieldmark__6848_374039044"/>
      <w:bookmarkStart w:id="114" w:name="__Fieldmark__951_241477822"/>
      <w:bookmarkEnd w:id="111"/>
      <w:bookmarkEnd w:id="112"/>
      <w:bookmarkEnd w:id="113"/>
      <w:bookmarkEnd w:id="114"/>
      <w:r w:rsidRPr="005D3E24">
        <w:rPr>
          <w:rFonts w:ascii="Times New Roman" w:hAnsi="Times New Roman" w:cs="Times New Roman"/>
          <w:sz w:val="24"/>
          <w:szCs w:val="24"/>
          <w:lang w:eastAsia="el-GR"/>
        </w:rPr>
        <w:t xml:space="preserve"> emphasize tensions between</w:t>
      </w:r>
      <w:r w:rsidR="00C75949" w:rsidRPr="005D3E24">
        <w:rPr>
          <w:rFonts w:ascii="Times New Roman" w:hAnsi="Times New Roman" w:cs="Times New Roman"/>
          <w:sz w:val="24"/>
          <w:szCs w:val="24"/>
          <w:lang w:eastAsia="el-GR"/>
        </w:rPr>
        <w:t xml:space="preserve"> national</w:t>
      </w:r>
      <w:r w:rsidRPr="005D3E24">
        <w:rPr>
          <w:rFonts w:ascii="Times New Roman" w:hAnsi="Times New Roman" w:cs="Times New Roman"/>
          <w:sz w:val="24"/>
          <w:szCs w:val="24"/>
          <w:lang w:eastAsia="el-GR"/>
        </w:rPr>
        <w:t xml:space="preserve"> qualification frameworks and the collectivist approach to skill formation, which is particularly prominent in the case of apprenticeships. This is primarily due </w:t>
      </w:r>
      <w:r w:rsidR="003E172C" w:rsidRPr="005D3E24">
        <w:rPr>
          <w:rFonts w:ascii="Times New Roman" w:hAnsi="Times New Roman" w:cs="Times New Roman"/>
          <w:sz w:val="24"/>
          <w:szCs w:val="24"/>
          <w:lang w:eastAsia="el-GR"/>
        </w:rPr>
        <w:t xml:space="preserve">to </w:t>
      </w:r>
      <w:r w:rsidRPr="005D3E24">
        <w:rPr>
          <w:rFonts w:ascii="Times New Roman" w:hAnsi="Times New Roman" w:cs="Times New Roman"/>
          <w:sz w:val="24"/>
          <w:szCs w:val="24"/>
          <w:lang w:eastAsia="el-GR"/>
        </w:rPr>
        <w:t xml:space="preserve">their focus on learning outcomes, rather than on the overall educational experience of ‘becoming’ a member of the occupational community through an intensive mentorship programme, which is </w:t>
      </w:r>
      <w:r w:rsidR="003E172C" w:rsidRPr="005D3E24">
        <w:rPr>
          <w:rFonts w:ascii="Times New Roman" w:hAnsi="Times New Roman" w:cs="Times New Roman"/>
          <w:sz w:val="24"/>
          <w:szCs w:val="24"/>
          <w:lang w:eastAsia="el-GR"/>
        </w:rPr>
        <w:t xml:space="preserve">fundamental </w:t>
      </w:r>
      <w:r w:rsidRPr="005D3E24">
        <w:rPr>
          <w:rFonts w:ascii="Times New Roman" w:hAnsi="Times New Roman" w:cs="Times New Roman"/>
          <w:sz w:val="24"/>
          <w:szCs w:val="24"/>
          <w:lang w:eastAsia="el-GR"/>
        </w:rPr>
        <w:t>in the case of apprenticeships</w:t>
      </w:r>
      <w:r w:rsidR="003E172C" w:rsidRPr="005D3E24">
        <w:rPr>
          <w:rFonts w:ascii="Times New Roman" w:hAnsi="Times New Roman" w:cs="Times New Roman"/>
          <w:sz w:val="24"/>
          <w:szCs w:val="24"/>
          <w:lang w:eastAsia="el-GR"/>
        </w:rPr>
        <w:t>.</w:t>
      </w:r>
    </w:p>
    <w:p w14:paraId="2EBD71C6" w14:textId="4AA0EB38" w:rsidR="003D0269" w:rsidRPr="005D3E24" w:rsidRDefault="00604D02" w:rsidP="005D3E24">
      <w:pPr>
        <w:spacing w:after="0" w:line="480" w:lineRule="auto"/>
        <w:ind w:firstLine="284"/>
        <w:jc w:val="both"/>
        <w:rPr>
          <w:rFonts w:ascii="Times New Roman" w:hAnsi="Times New Roman" w:cs="Times New Roman"/>
          <w:sz w:val="24"/>
          <w:szCs w:val="24"/>
        </w:rPr>
      </w:pPr>
      <w:r w:rsidRPr="005D3E24">
        <w:rPr>
          <w:rFonts w:ascii="Times New Roman" w:hAnsi="Times New Roman" w:cs="Times New Roman"/>
          <w:sz w:val="24"/>
          <w:szCs w:val="24"/>
          <w:lang w:eastAsia="el-GR"/>
        </w:rPr>
        <w:t xml:space="preserve">Finally, the government’s political orientation is likely to play a role, with centre-right/conservative parties being more open to apprenticeships than social democrats. It seems that the latter often perceive apprenticeships as overly skill-specific, which in the long run favours the </w:t>
      </w:r>
      <w:r w:rsidRPr="005D3E24">
        <w:rPr>
          <w:rFonts w:ascii="Times New Roman" w:hAnsi="Times New Roman" w:cs="Times New Roman"/>
          <w:sz w:val="24"/>
          <w:szCs w:val="24"/>
          <w:lang w:eastAsia="el-GR"/>
        </w:rPr>
        <w:lastRenderedPageBreak/>
        <w:t xml:space="preserve">interests of employers over those of workers </w:t>
      </w:r>
      <w:bookmarkStart w:id="115" w:name="__Fieldmark__1685_131419714"/>
      <w:r w:rsidRPr="005D3E24">
        <w:rPr>
          <w:rFonts w:ascii="Times New Roman" w:hAnsi="Times New Roman" w:cs="Times New Roman"/>
          <w:sz w:val="24"/>
          <w:szCs w:val="24"/>
          <w:lang w:eastAsia="el-GR"/>
        </w:rPr>
        <w:t>(</w:t>
      </w:r>
      <w:bookmarkStart w:id="116" w:name="__Fieldmark__1503_2097806078"/>
      <w:r w:rsidRPr="005D3E24">
        <w:rPr>
          <w:rFonts w:ascii="Times New Roman" w:hAnsi="Times New Roman" w:cs="Times New Roman"/>
          <w:sz w:val="24"/>
          <w:szCs w:val="24"/>
          <w:lang w:eastAsia="el-GR"/>
        </w:rPr>
        <w:t>B</w:t>
      </w:r>
      <w:bookmarkStart w:id="117" w:name="__Fieldmark__1000_241477822"/>
      <w:r w:rsidRPr="005D3E24">
        <w:rPr>
          <w:rFonts w:ascii="Times New Roman" w:hAnsi="Times New Roman" w:cs="Times New Roman"/>
          <w:sz w:val="24"/>
          <w:szCs w:val="24"/>
          <w:lang w:eastAsia="el-GR"/>
        </w:rPr>
        <w:t>u</w:t>
      </w:r>
      <w:bookmarkStart w:id="118" w:name="__Fieldmark__6923_374039044"/>
      <w:r w:rsidRPr="005D3E24">
        <w:rPr>
          <w:rFonts w:ascii="Times New Roman" w:hAnsi="Times New Roman" w:cs="Times New Roman"/>
          <w:sz w:val="24"/>
          <w:szCs w:val="24"/>
          <w:lang w:eastAsia="el-GR"/>
        </w:rPr>
        <w:t>semeyer &amp; Trampusch 2012</w:t>
      </w:r>
      <w:r w:rsidR="00942401">
        <w:rPr>
          <w:rFonts w:ascii="Times New Roman" w:hAnsi="Times New Roman" w:cs="Times New Roman"/>
          <w:sz w:val="24"/>
          <w:szCs w:val="24"/>
        </w:rPr>
        <w:t>,</w:t>
      </w:r>
      <w:r w:rsidRPr="005D3E24">
        <w:rPr>
          <w:rFonts w:ascii="Times New Roman" w:hAnsi="Times New Roman" w:cs="Times New Roman"/>
          <w:sz w:val="24"/>
          <w:szCs w:val="24"/>
        </w:rPr>
        <w:t xml:space="preserve"> 26)</w:t>
      </w:r>
      <w:bookmarkEnd w:id="115"/>
      <w:bookmarkEnd w:id="116"/>
      <w:bookmarkEnd w:id="117"/>
      <w:bookmarkEnd w:id="118"/>
      <w:r w:rsidRPr="005D3E24">
        <w:rPr>
          <w:rFonts w:ascii="Times New Roman" w:hAnsi="Times New Roman" w:cs="Times New Roman"/>
          <w:sz w:val="24"/>
          <w:szCs w:val="24"/>
          <w:lang w:eastAsia="el-GR"/>
        </w:rPr>
        <w:t>. The evidence from Croatia is consistent with this pattern, as apprenticeship</w:t>
      </w:r>
      <w:r w:rsidR="003E172C" w:rsidRPr="005D3E24">
        <w:rPr>
          <w:rFonts w:ascii="Times New Roman" w:hAnsi="Times New Roman" w:cs="Times New Roman"/>
          <w:sz w:val="24"/>
          <w:szCs w:val="24"/>
          <w:lang w:eastAsia="el-GR"/>
        </w:rPr>
        <w:t>s</w:t>
      </w:r>
      <w:r w:rsidRPr="005D3E24">
        <w:rPr>
          <w:rFonts w:ascii="Times New Roman" w:hAnsi="Times New Roman" w:cs="Times New Roman"/>
          <w:sz w:val="24"/>
          <w:szCs w:val="24"/>
          <w:lang w:eastAsia="el-GR"/>
        </w:rPr>
        <w:t xml:space="preserve"> </w:t>
      </w:r>
      <w:r w:rsidR="003E172C" w:rsidRPr="005D3E24">
        <w:rPr>
          <w:rFonts w:ascii="Times New Roman" w:hAnsi="Times New Roman" w:cs="Times New Roman"/>
          <w:sz w:val="24"/>
          <w:szCs w:val="24"/>
          <w:lang w:eastAsia="el-GR"/>
        </w:rPr>
        <w:t xml:space="preserve">were </w:t>
      </w:r>
      <w:r w:rsidRPr="005D3E24">
        <w:rPr>
          <w:rFonts w:ascii="Times New Roman" w:hAnsi="Times New Roman" w:cs="Times New Roman"/>
          <w:sz w:val="24"/>
          <w:szCs w:val="24"/>
          <w:lang w:eastAsia="el-GR"/>
        </w:rPr>
        <w:t xml:space="preserve">introduced and reinforced only during the rule of the centre-right Croatian Democratic Union (in Croatian: </w:t>
      </w:r>
      <w:r w:rsidRPr="005D3E24">
        <w:rPr>
          <w:rFonts w:ascii="Times New Roman" w:hAnsi="Times New Roman" w:cs="Times New Roman"/>
          <w:i/>
          <w:iCs/>
          <w:sz w:val="24"/>
          <w:szCs w:val="24"/>
          <w:lang w:eastAsia="el-GR"/>
        </w:rPr>
        <w:t>Hrvatska demokratska zajednica</w:t>
      </w:r>
      <w:r w:rsidRPr="005D3E24">
        <w:rPr>
          <w:rFonts w:ascii="Times New Roman" w:hAnsi="Times New Roman" w:cs="Times New Roman"/>
          <w:sz w:val="24"/>
          <w:szCs w:val="24"/>
          <w:lang w:eastAsia="el-GR"/>
        </w:rPr>
        <w:t>; HDZ). It was then scaled down and</w:t>
      </w:r>
      <w:r w:rsidR="003E172C" w:rsidRPr="005D3E24">
        <w:rPr>
          <w:rFonts w:ascii="Times New Roman" w:hAnsi="Times New Roman" w:cs="Times New Roman"/>
          <w:sz w:val="24"/>
          <w:szCs w:val="24"/>
          <w:lang w:eastAsia="el-GR"/>
        </w:rPr>
        <w:t xml:space="preserve"> weakened</w:t>
      </w:r>
      <w:r w:rsidRPr="005D3E24">
        <w:rPr>
          <w:rFonts w:ascii="Times New Roman" w:hAnsi="Times New Roman" w:cs="Times New Roman"/>
          <w:sz w:val="24"/>
          <w:szCs w:val="24"/>
          <w:lang w:eastAsia="el-GR"/>
        </w:rPr>
        <w:t>, via the JMO framework, during the 2000–3 coalition rule of the Social Democratic Party of Croatia (</w:t>
      </w:r>
      <w:r w:rsidRPr="005D3E24">
        <w:rPr>
          <w:rFonts w:ascii="Times New Roman" w:hAnsi="Times New Roman" w:cs="Times New Roman"/>
          <w:i/>
          <w:iCs/>
          <w:sz w:val="24"/>
          <w:szCs w:val="24"/>
          <w:lang w:eastAsia="el-GR"/>
        </w:rPr>
        <w:t>Socijaldemokratska partija Hrvatske</w:t>
      </w:r>
      <w:r w:rsidRPr="005D3E24">
        <w:rPr>
          <w:rFonts w:ascii="Times New Roman" w:hAnsi="Times New Roman" w:cs="Times New Roman"/>
          <w:sz w:val="24"/>
          <w:szCs w:val="24"/>
          <w:lang w:eastAsia="el-GR"/>
        </w:rPr>
        <w:t xml:space="preserve">; SDP). A robust expansion of JMO apprenticeship took place during another HDZ mandate (2004–11). Yet the trend was then halted during the SDP tenure (2012–15), as the 2013 legal changes stripped a </w:t>
      </w:r>
      <w:r w:rsidRPr="005D3E24">
        <w:rPr>
          <w:rFonts w:ascii="Times New Roman" w:hAnsi="Times New Roman" w:cs="Times New Roman"/>
          <w:sz w:val="24"/>
          <w:szCs w:val="24"/>
        </w:rPr>
        <w:t>number of powers in the delivery and administration of skilled trades programmes from the CTCC in favour of central state agencies</w:t>
      </w:r>
      <w:r w:rsidRPr="005D3E24">
        <w:rPr>
          <w:rFonts w:ascii="Times New Roman" w:hAnsi="Times New Roman" w:cs="Times New Roman"/>
          <w:sz w:val="24"/>
          <w:szCs w:val="24"/>
          <w:lang w:eastAsia="el-GR"/>
        </w:rPr>
        <w:t>. During the HDZ</w:t>
      </w:r>
      <w:r w:rsidR="00942401">
        <w:rPr>
          <w:rFonts w:ascii="Times New Roman" w:hAnsi="Times New Roman" w:cs="Times New Roman"/>
          <w:sz w:val="24"/>
          <w:szCs w:val="24"/>
          <w:lang w:eastAsia="el-GR"/>
        </w:rPr>
        <w:t>’</w:t>
      </w:r>
      <w:r w:rsidRPr="005D3E24">
        <w:rPr>
          <w:rFonts w:ascii="Times New Roman" w:hAnsi="Times New Roman" w:cs="Times New Roman"/>
          <w:sz w:val="24"/>
          <w:szCs w:val="24"/>
          <w:lang w:eastAsia="el-GR"/>
        </w:rPr>
        <w:t>s most recent period in government (since 2016), m</w:t>
      </w:r>
      <w:r w:rsidRPr="005D3E24">
        <w:rPr>
          <w:rFonts w:ascii="Times New Roman" w:hAnsi="Times New Roman" w:cs="Times New Roman"/>
          <w:sz w:val="24"/>
          <w:szCs w:val="24"/>
        </w:rPr>
        <w:t>ost powers have been reinstated to the CTCC by legislative changes of 2019</w:t>
      </w:r>
      <w:r w:rsidRPr="005D3E24">
        <w:rPr>
          <w:rFonts w:ascii="Times New Roman" w:hAnsi="Times New Roman" w:cs="Times New Roman"/>
          <w:sz w:val="24"/>
          <w:szCs w:val="24"/>
          <w:lang w:eastAsia="el-GR"/>
        </w:rPr>
        <w:t xml:space="preserve">.  The number of apprenticeships </w:t>
      </w:r>
      <w:r w:rsidR="003E172C" w:rsidRPr="005D3E24">
        <w:rPr>
          <w:rFonts w:ascii="Times New Roman" w:hAnsi="Times New Roman" w:cs="Times New Roman"/>
          <w:sz w:val="24"/>
          <w:szCs w:val="24"/>
          <w:lang w:eastAsia="el-GR"/>
        </w:rPr>
        <w:t xml:space="preserve">ticked </w:t>
      </w:r>
      <w:r w:rsidRPr="005D3E24">
        <w:rPr>
          <w:rFonts w:ascii="Times New Roman" w:hAnsi="Times New Roman" w:cs="Times New Roman"/>
          <w:sz w:val="24"/>
          <w:szCs w:val="24"/>
          <w:lang w:eastAsia="el-GR"/>
        </w:rPr>
        <w:t xml:space="preserve">up and investment intensified, a considerable part </w:t>
      </w:r>
      <w:r w:rsidR="003E172C" w:rsidRPr="005D3E24">
        <w:rPr>
          <w:rFonts w:ascii="Times New Roman" w:hAnsi="Times New Roman" w:cs="Times New Roman"/>
          <w:sz w:val="24"/>
          <w:szCs w:val="24"/>
          <w:lang w:eastAsia="el-GR"/>
        </w:rPr>
        <w:t xml:space="preserve">of this </w:t>
      </w:r>
      <w:r w:rsidRPr="005D3E24">
        <w:rPr>
          <w:rFonts w:ascii="Times New Roman" w:hAnsi="Times New Roman" w:cs="Times New Roman"/>
          <w:sz w:val="24"/>
          <w:szCs w:val="24"/>
          <w:lang w:eastAsia="el-GR"/>
        </w:rPr>
        <w:t>coming from the European Social Fund.</w:t>
      </w:r>
    </w:p>
    <w:p w14:paraId="34C27CF7" w14:textId="77777777" w:rsidR="003D0269" w:rsidRPr="005D3E24" w:rsidRDefault="003D0269" w:rsidP="005D3E24">
      <w:pPr>
        <w:spacing w:after="0" w:line="480" w:lineRule="auto"/>
        <w:jc w:val="both"/>
        <w:rPr>
          <w:rFonts w:ascii="Times New Roman" w:hAnsi="Times New Roman" w:cs="Times New Roman"/>
          <w:sz w:val="24"/>
          <w:szCs w:val="24"/>
        </w:rPr>
      </w:pPr>
    </w:p>
    <w:p w14:paraId="2440E6E0" w14:textId="25A2802E" w:rsidR="003D0269" w:rsidRPr="005D3E24" w:rsidRDefault="00604D02" w:rsidP="005D3E24">
      <w:pPr>
        <w:spacing w:after="0" w:line="480" w:lineRule="auto"/>
        <w:jc w:val="both"/>
        <w:rPr>
          <w:rFonts w:ascii="Times New Roman" w:hAnsi="Times New Roman" w:cs="Times New Roman"/>
          <w:sz w:val="24"/>
          <w:szCs w:val="24"/>
        </w:rPr>
      </w:pPr>
      <w:r w:rsidRPr="005D3E24">
        <w:rPr>
          <w:rFonts w:ascii="Times New Roman" w:hAnsi="Times New Roman" w:cs="Times New Roman"/>
          <w:b/>
          <w:bCs/>
          <w:sz w:val="24"/>
          <w:szCs w:val="24"/>
        </w:rPr>
        <w:t>Policy transfer</w:t>
      </w:r>
      <w:r w:rsidR="002B3E5E" w:rsidRPr="005D3E24">
        <w:rPr>
          <w:rFonts w:ascii="Times New Roman" w:hAnsi="Times New Roman" w:cs="Times New Roman"/>
          <w:b/>
          <w:bCs/>
          <w:sz w:val="24"/>
          <w:szCs w:val="24"/>
        </w:rPr>
        <w:t>: The</w:t>
      </w:r>
      <w:r w:rsidRPr="005D3E24">
        <w:rPr>
          <w:rFonts w:ascii="Times New Roman" w:hAnsi="Times New Roman" w:cs="Times New Roman"/>
          <w:b/>
          <w:bCs/>
          <w:sz w:val="24"/>
          <w:szCs w:val="24"/>
        </w:rPr>
        <w:t xml:space="preserve"> </w:t>
      </w:r>
      <w:r w:rsidRPr="005D3E24">
        <w:rPr>
          <w:rFonts w:ascii="Times New Roman" w:hAnsi="Times New Roman" w:cs="Times New Roman"/>
          <w:b/>
          <w:sz w:val="24"/>
          <w:szCs w:val="24"/>
        </w:rPr>
        <w:t>Croatian Qualifications Framework</w:t>
      </w:r>
    </w:p>
    <w:p w14:paraId="68E5DC5D" w14:textId="1A6C9624" w:rsidR="003D0269" w:rsidRPr="005D3E24" w:rsidRDefault="00604D02" w:rsidP="005D3E24">
      <w:pPr>
        <w:spacing w:after="0" w:line="480" w:lineRule="auto"/>
        <w:jc w:val="both"/>
        <w:rPr>
          <w:rFonts w:ascii="Times New Roman" w:hAnsi="Times New Roman" w:cs="Times New Roman"/>
          <w:sz w:val="24"/>
          <w:szCs w:val="24"/>
        </w:rPr>
      </w:pPr>
      <w:r w:rsidRPr="005D3E24">
        <w:rPr>
          <w:rFonts w:ascii="Times New Roman" w:hAnsi="Times New Roman" w:cs="Times New Roman"/>
          <w:sz w:val="24"/>
          <w:szCs w:val="24"/>
        </w:rPr>
        <w:t>In the mid-2000s, the process of developing the European Qualification Framework gained much traction in the Croatian education policy sphere, just as Europeani</w:t>
      </w:r>
      <w:r w:rsidR="00942401">
        <w:rPr>
          <w:rFonts w:ascii="Times New Roman" w:hAnsi="Times New Roman" w:cs="Times New Roman"/>
          <w:sz w:val="24"/>
          <w:szCs w:val="24"/>
        </w:rPr>
        <w:t>z</w:t>
      </w:r>
      <w:r w:rsidRPr="005D3E24">
        <w:rPr>
          <w:rFonts w:ascii="Times New Roman" w:hAnsi="Times New Roman" w:cs="Times New Roman"/>
          <w:sz w:val="24"/>
          <w:szCs w:val="24"/>
        </w:rPr>
        <w:t xml:space="preserve">ation had gathered momentum. This case was selected due to its transformative potential for the functioning of the entire </w:t>
      </w:r>
      <w:r w:rsidR="00544453" w:rsidRPr="005D3E24">
        <w:rPr>
          <w:rFonts w:ascii="Times New Roman" w:hAnsi="Times New Roman" w:cs="Times New Roman"/>
          <w:sz w:val="24"/>
          <w:szCs w:val="24"/>
        </w:rPr>
        <w:t xml:space="preserve">system of </w:t>
      </w:r>
      <w:r w:rsidRPr="005D3E24">
        <w:rPr>
          <w:rFonts w:ascii="Times New Roman" w:hAnsi="Times New Roman" w:cs="Times New Roman"/>
          <w:sz w:val="24"/>
          <w:szCs w:val="24"/>
        </w:rPr>
        <w:t xml:space="preserve">skill </w:t>
      </w:r>
      <w:r w:rsidR="00544453" w:rsidRPr="005D3E24">
        <w:rPr>
          <w:rFonts w:ascii="Times New Roman" w:hAnsi="Times New Roman" w:cs="Times New Roman"/>
          <w:sz w:val="24"/>
          <w:szCs w:val="24"/>
        </w:rPr>
        <w:t xml:space="preserve">formation </w:t>
      </w:r>
      <w:r w:rsidRPr="005D3E24">
        <w:rPr>
          <w:rFonts w:ascii="Times New Roman" w:hAnsi="Times New Roman" w:cs="Times New Roman"/>
          <w:sz w:val="24"/>
          <w:szCs w:val="24"/>
        </w:rPr>
        <w:t xml:space="preserve">in terms of </w:t>
      </w:r>
      <w:r w:rsidR="00AB4324" w:rsidRPr="005D3E24">
        <w:rPr>
          <w:rFonts w:ascii="Times New Roman" w:hAnsi="Times New Roman" w:cs="Times New Roman"/>
          <w:sz w:val="24"/>
          <w:szCs w:val="24"/>
        </w:rPr>
        <w:t>stakeholder</w:t>
      </w:r>
      <w:r w:rsidRPr="005D3E24">
        <w:rPr>
          <w:rFonts w:ascii="Times New Roman" w:hAnsi="Times New Roman" w:cs="Times New Roman"/>
          <w:sz w:val="24"/>
          <w:szCs w:val="24"/>
        </w:rPr>
        <w:t xml:space="preserve"> involvement, </w:t>
      </w:r>
      <w:r w:rsidR="00544453" w:rsidRPr="005D3E24">
        <w:rPr>
          <w:rFonts w:ascii="Times New Roman" w:hAnsi="Times New Roman" w:cs="Times New Roman"/>
          <w:sz w:val="24"/>
          <w:szCs w:val="24"/>
        </w:rPr>
        <w:t>the balance of power between stakeholders</w:t>
      </w:r>
      <w:r w:rsidRPr="005D3E24">
        <w:rPr>
          <w:rFonts w:ascii="Times New Roman" w:hAnsi="Times New Roman" w:cs="Times New Roman"/>
          <w:sz w:val="24"/>
          <w:szCs w:val="24"/>
        </w:rPr>
        <w:t xml:space="preserve">, and possible changes to curricular design, validation and instruction. </w:t>
      </w:r>
    </w:p>
    <w:p w14:paraId="5543D671" w14:textId="52C8B1E7" w:rsidR="003D0269" w:rsidRPr="005D3E24" w:rsidRDefault="00604D02" w:rsidP="005D3E24">
      <w:pPr>
        <w:spacing w:after="0" w:line="480" w:lineRule="auto"/>
        <w:ind w:firstLine="284"/>
        <w:jc w:val="both"/>
        <w:rPr>
          <w:rFonts w:ascii="Times New Roman" w:hAnsi="Times New Roman" w:cs="Times New Roman"/>
          <w:sz w:val="24"/>
          <w:szCs w:val="24"/>
        </w:rPr>
      </w:pPr>
      <w:r w:rsidRPr="005D3E24">
        <w:rPr>
          <w:rFonts w:ascii="Times New Roman" w:hAnsi="Times New Roman" w:cs="Times New Roman"/>
          <w:sz w:val="24"/>
          <w:szCs w:val="24"/>
        </w:rPr>
        <w:t>The process of adoption of the Croatian Qualification Framework (hereafter CROQF) was initiated in 2006, by a Minister-led committee producing the CROQF founding principles, which were adopted by the Government in 2007.</w:t>
      </w:r>
      <w:r w:rsidR="00C921C2" w:rsidRPr="005D3E24">
        <w:rPr>
          <w:rFonts w:ascii="Times New Roman" w:hAnsi="Times New Roman" w:cs="Times New Roman"/>
          <w:sz w:val="24"/>
          <w:szCs w:val="24"/>
        </w:rPr>
        <w:t xml:space="preserve"> Those steps preceded adoption of the EQF recommendation in 2008.</w:t>
      </w:r>
      <w:r w:rsidRPr="005D3E24">
        <w:rPr>
          <w:rFonts w:ascii="Times New Roman" w:hAnsi="Times New Roman" w:cs="Times New Roman"/>
          <w:sz w:val="24"/>
          <w:szCs w:val="24"/>
        </w:rPr>
        <w:t xml:space="preserve"> An operative support team was established in 2008, </w:t>
      </w:r>
      <w:r w:rsidR="00544453" w:rsidRPr="005D3E24">
        <w:rPr>
          <w:rFonts w:ascii="Times New Roman" w:hAnsi="Times New Roman" w:cs="Times New Roman"/>
          <w:sz w:val="24"/>
          <w:szCs w:val="24"/>
        </w:rPr>
        <w:t xml:space="preserve">which engaged </w:t>
      </w:r>
      <w:r w:rsidRPr="005D3E24">
        <w:rPr>
          <w:rFonts w:ascii="Times New Roman" w:hAnsi="Times New Roman" w:cs="Times New Roman"/>
          <w:sz w:val="24"/>
          <w:szCs w:val="24"/>
        </w:rPr>
        <w:t xml:space="preserve">about 5,000 people with presentations and consultations </w:t>
      </w:r>
      <w:bookmarkStart w:id="119" w:name="__Fieldmark__1785_131419714"/>
      <w:r w:rsidRPr="005D3E24">
        <w:rPr>
          <w:rFonts w:ascii="Times New Roman" w:hAnsi="Times New Roman" w:cs="Times New Roman"/>
          <w:sz w:val="24"/>
          <w:szCs w:val="24"/>
        </w:rPr>
        <w:t>(Beljo Lučić et al. 2009)</w:t>
      </w:r>
      <w:bookmarkStart w:id="120" w:name="__Fieldmark__1586_2097806078"/>
      <w:bookmarkStart w:id="121" w:name="__Fieldmark__7101_374039044"/>
      <w:bookmarkStart w:id="122" w:name="__Fieldmark__1080_241477822"/>
      <w:bookmarkEnd w:id="119"/>
      <w:bookmarkEnd w:id="120"/>
      <w:bookmarkEnd w:id="121"/>
      <w:bookmarkEnd w:id="122"/>
      <w:r w:rsidRPr="005D3E24">
        <w:rPr>
          <w:rFonts w:ascii="Times New Roman" w:hAnsi="Times New Roman" w:cs="Times New Roman"/>
          <w:sz w:val="24"/>
          <w:szCs w:val="24"/>
        </w:rPr>
        <w:t xml:space="preserve">. The process has </w:t>
      </w:r>
      <w:r w:rsidRPr="005D3E24">
        <w:rPr>
          <w:rFonts w:ascii="Times New Roman" w:hAnsi="Times New Roman" w:cs="Times New Roman"/>
          <w:sz w:val="24"/>
          <w:szCs w:val="24"/>
        </w:rPr>
        <w:lastRenderedPageBreak/>
        <w:t>introduced a competenc</w:t>
      </w:r>
      <w:r w:rsidR="00942401">
        <w:rPr>
          <w:rFonts w:ascii="Times New Roman" w:hAnsi="Times New Roman" w:cs="Times New Roman"/>
          <w:sz w:val="24"/>
          <w:szCs w:val="24"/>
        </w:rPr>
        <w:t>e</w:t>
      </w:r>
      <w:r w:rsidRPr="005D3E24">
        <w:rPr>
          <w:rFonts w:ascii="Times New Roman" w:hAnsi="Times New Roman" w:cs="Times New Roman"/>
          <w:sz w:val="24"/>
          <w:szCs w:val="24"/>
        </w:rPr>
        <w:t xml:space="preserve"> framework into the national education</w:t>
      </w:r>
      <w:r w:rsidR="00544453" w:rsidRPr="005D3E24">
        <w:rPr>
          <w:rFonts w:ascii="Times New Roman" w:hAnsi="Times New Roman" w:cs="Times New Roman"/>
          <w:sz w:val="24"/>
          <w:szCs w:val="24"/>
        </w:rPr>
        <w:t xml:space="preserve"> discourse</w:t>
      </w:r>
      <w:r w:rsidRPr="005D3E24">
        <w:rPr>
          <w:rFonts w:ascii="Times New Roman" w:hAnsi="Times New Roman" w:cs="Times New Roman"/>
          <w:sz w:val="24"/>
          <w:szCs w:val="24"/>
        </w:rPr>
        <w:t xml:space="preserve">, while reinforcing notions of learning outcomes and European learning credit mechanisms. </w:t>
      </w:r>
      <w:r w:rsidR="00AB4324" w:rsidRPr="005D3E24">
        <w:rPr>
          <w:rFonts w:ascii="Times New Roman" w:hAnsi="Times New Roman" w:cs="Times New Roman"/>
          <w:sz w:val="24"/>
          <w:szCs w:val="24"/>
        </w:rPr>
        <w:t>Yet t</w:t>
      </w:r>
      <w:r w:rsidRPr="005D3E24">
        <w:rPr>
          <w:rFonts w:ascii="Times New Roman" w:hAnsi="Times New Roman" w:cs="Times New Roman"/>
          <w:sz w:val="24"/>
          <w:szCs w:val="24"/>
        </w:rPr>
        <w:t>he early focus of the process was</w:t>
      </w:r>
      <w:r w:rsidR="00AB4324" w:rsidRPr="005D3E24">
        <w:rPr>
          <w:rFonts w:ascii="Times New Roman" w:hAnsi="Times New Roman" w:cs="Times New Roman"/>
          <w:sz w:val="24"/>
          <w:szCs w:val="24"/>
        </w:rPr>
        <w:t xml:space="preserve"> mostly </w:t>
      </w:r>
      <w:r w:rsidR="00544453" w:rsidRPr="005D3E24">
        <w:rPr>
          <w:rFonts w:ascii="Times New Roman" w:hAnsi="Times New Roman" w:cs="Times New Roman"/>
          <w:sz w:val="24"/>
          <w:szCs w:val="24"/>
        </w:rPr>
        <w:t xml:space="preserve">directed </w:t>
      </w:r>
      <w:r w:rsidRPr="005D3E24">
        <w:rPr>
          <w:rFonts w:ascii="Times New Roman" w:hAnsi="Times New Roman" w:cs="Times New Roman"/>
          <w:sz w:val="24"/>
          <w:szCs w:val="24"/>
        </w:rPr>
        <w:t xml:space="preserve">towards defining the levels of learning outcomes and allocating existing education programmes accordingly. </w:t>
      </w:r>
    </w:p>
    <w:p w14:paraId="26869427" w14:textId="785DC80D" w:rsidR="003D0269" w:rsidRPr="005D3E24" w:rsidRDefault="00604D02" w:rsidP="005D3E24">
      <w:pPr>
        <w:spacing w:after="0" w:line="480" w:lineRule="auto"/>
        <w:ind w:firstLine="284"/>
        <w:jc w:val="both"/>
        <w:rPr>
          <w:rFonts w:ascii="Times New Roman" w:hAnsi="Times New Roman" w:cs="Times New Roman"/>
          <w:sz w:val="24"/>
          <w:szCs w:val="24"/>
        </w:rPr>
      </w:pPr>
      <w:r w:rsidRPr="005D3E24">
        <w:rPr>
          <w:rFonts w:ascii="Times New Roman" w:hAnsi="Times New Roman" w:cs="Times New Roman"/>
          <w:sz w:val="24"/>
          <w:szCs w:val="24"/>
        </w:rPr>
        <w:t xml:space="preserve">Originally planned to </w:t>
      </w:r>
      <w:r w:rsidR="00270BEC" w:rsidRPr="005D3E24">
        <w:rPr>
          <w:rFonts w:ascii="Times New Roman" w:hAnsi="Times New Roman" w:cs="Times New Roman"/>
          <w:sz w:val="24"/>
          <w:szCs w:val="24"/>
        </w:rPr>
        <w:t xml:space="preserve">be implemented </w:t>
      </w:r>
      <w:r w:rsidRPr="005D3E24">
        <w:rPr>
          <w:rFonts w:ascii="Times New Roman" w:hAnsi="Times New Roman" w:cs="Times New Roman"/>
          <w:sz w:val="24"/>
          <w:szCs w:val="24"/>
        </w:rPr>
        <w:t xml:space="preserve">in 2010, the process survived several changes of ministers, election cycles, and a change of government. The Croatian Qualifications Framework Act was eventually adopted in 2013. The Act was made operational with a bylaw on the register of the Croatian Qualification Framework in 2014 — which defined 25 sectors and sectoral councils as instrumental in managing the CROQF, as well as the sub-registers of (a) occupational standards, (b) qualification standards, and (c) learning outcomes. </w:t>
      </w:r>
    </w:p>
    <w:p w14:paraId="13EE739D" w14:textId="3E3A8B3D" w:rsidR="003D0269" w:rsidRPr="005D3E24" w:rsidRDefault="00413EA5" w:rsidP="005D3E24">
      <w:pPr>
        <w:spacing w:after="0" w:line="480" w:lineRule="auto"/>
        <w:ind w:firstLine="284"/>
        <w:jc w:val="both"/>
        <w:rPr>
          <w:rFonts w:ascii="Times New Roman" w:hAnsi="Times New Roman" w:cs="Times New Roman"/>
          <w:sz w:val="24"/>
          <w:szCs w:val="24"/>
        </w:rPr>
      </w:pPr>
      <w:r w:rsidRPr="005D3E24">
        <w:rPr>
          <w:rFonts w:ascii="Times New Roman" w:hAnsi="Times New Roman" w:cs="Times New Roman"/>
          <w:sz w:val="24"/>
          <w:szCs w:val="24"/>
        </w:rPr>
        <w:t xml:space="preserve">Sectoral councils were originally established </w:t>
      </w:r>
      <w:r w:rsidR="002B3E5E" w:rsidRPr="005D3E24">
        <w:rPr>
          <w:rFonts w:ascii="Times New Roman" w:hAnsi="Times New Roman" w:cs="Times New Roman"/>
          <w:sz w:val="24"/>
          <w:szCs w:val="24"/>
        </w:rPr>
        <w:t xml:space="preserve">by </w:t>
      </w:r>
      <w:r w:rsidRPr="005D3E24">
        <w:rPr>
          <w:rFonts w:ascii="Times New Roman" w:hAnsi="Times New Roman" w:cs="Times New Roman"/>
          <w:sz w:val="24"/>
          <w:szCs w:val="24"/>
        </w:rPr>
        <w:t xml:space="preserve">the 2009 VET reform, which essentially introduced the instruments of qualification framework, national macro-coordination and educational profiles based on labour market needs. With some changes, the Act on CROQF extended these instruments to the entire education system. The </w:t>
      </w:r>
      <w:r w:rsidR="00604D02" w:rsidRPr="005D3E24">
        <w:rPr>
          <w:rFonts w:ascii="Times New Roman" w:hAnsi="Times New Roman" w:cs="Times New Roman"/>
          <w:sz w:val="24"/>
          <w:szCs w:val="24"/>
        </w:rPr>
        <w:t xml:space="preserve">first sectoral councils were established in November 2014. Yet the majority were founded only in July 2017, after repeated calls, and the final three came as late as February 2018. The CROQF register itself went online in 2016. The first occupational standard was adopted in September 2017 and the first qualification standard in January 2020. As of September 2020, 35 occupational standards and 8 qualification standards (with 329 learning outcome sets) had been adopted </w:t>
      </w:r>
      <w:bookmarkStart w:id="123" w:name="__Fieldmark__1843_131419714"/>
      <w:r w:rsidR="00604D02" w:rsidRPr="005D3E24">
        <w:rPr>
          <w:rFonts w:ascii="Times New Roman" w:hAnsi="Times New Roman" w:cs="Times New Roman"/>
          <w:sz w:val="24"/>
          <w:szCs w:val="24"/>
        </w:rPr>
        <w:t>(SRCE 2020)</w:t>
      </w:r>
      <w:bookmarkStart w:id="124" w:name="__Fieldmark__7275_374039044"/>
      <w:bookmarkStart w:id="125" w:name="__Fieldmark__1124_241477822"/>
      <w:bookmarkStart w:id="126" w:name="__Fieldmark__1641_2097806078"/>
      <w:bookmarkEnd w:id="123"/>
      <w:bookmarkEnd w:id="124"/>
      <w:bookmarkEnd w:id="125"/>
      <w:bookmarkEnd w:id="126"/>
      <w:r w:rsidR="00604D02" w:rsidRPr="005D3E24">
        <w:rPr>
          <w:rFonts w:ascii="Times New Roman" w:hAnsi="Times New Roman" w:cs="Times New Roman"/>
          <w:sz w:val="24"/>
          <w:szCs w:val="24"/>
        </w:rPr>
        <w:t xml:space="preserve">. </w:t>
      </w:r>
      <w:r w:rsidR="006E3594" w:rsidRPr="005D3E24">
        <w:rPr>
          <w:rFonts w:ascii="Times New Roman" w:hAnsi="Times New Roman" w:cs="Times New Roman"/>
          <w:sz w:val="24"/>
          <w:szCs w:val="24"/>
        </w:rPr>
        <w:t xml:space="preserve">Considerable bottlenecks </w:t>
      </w:r>
      <w:r w:rsidR="002B3E5E" w:rsidRPr="005D3E24">
        <w:rPr>
          <w:rFonts w:ascii="Times New Roman" w:hAnsi="Times New Roman" w:cs="Times New Roman"/>
          <w:sz w:val="24"/>
          <w:szCs w:val="24"/>
        </w:rPr>
        <w:t xml:space="preserve">were evident within the process </w:t>
      </w:r>
      <w:r w:rsidR="006E3594" w:rsidRPr="005D3E24">
        <w:rPr>
          <w:rFonts w:ascii="Times New Roman" w:hAnsi="Times New Roman" w:cs="Times New Roman"/>
          <w:sz w:val="24"/>
          <w:szCs w:val="24"/>
        </w:rPr>
        <w:t>by</w:t>
      </w:r>
      <w:r w:rsidR="002B3E5E" w:rsidRPr="005D3E24">
        <w:rPr>
          <w:rFonts w:ascii="Times New Roman" w:hAnsi="Times New Roman" w:cs="Times New Roman"/>
          <w:sz w:val="24"/>
          <w:szCs w:val="24"/>
        </w:rPr>
        <w:t xml:space="preserve"> the</w:t>
      </w:r>
      <w:r w:rsidR="006E3594" w:rsidRPr="005D3E24">
        <w:rPr>
          <w:rFonts w:ascii="Times New Roman" w:hAnsi="Times New Roman" w:cs="Times New Roman"/>
          <w:sz w:val="24"/>
          <w:szCs w:val="24"/>
        </w:rPr>
        <w:t xml:space="preserve"> end of 2020, with over 350 pending submissions. As sectoral councils themselves were evidently failing to fulfil their competence of reviewing proposals </w:t>
      </w:r>
      <w:r w:rsidR="00854B31" w:rsidRPr="005D3E24">
        <w:rPr>
          <w:rFonts w:ascii="Times New Roman" w:hAnsi="Times New Roman" w:cs="Times New Roman"/>
          <w:sz w:val="24"/>
          <w:szCs w:val="24"/>
        </w:rPr>
        <w:t xml:space="preserve">and issuing recommendations </w:t>
      </w:r>
      <w:r w:rsidR="006E3594" w:rsidRPr="005D3E24">
        <w:rPr>
          <w:rFonts w:ascii="Times New Roman" w:hAnsi="Times New Roman" w:cs="Times New Roman"/>
          <w:sz w:val="24"/>
          <w:szCs w:val="24"/>
        </w:rPr>
        <w:t xml:space="preserve">for individual standards, the recent amendments of Act on CROQF (February 2021) </w:t>
      </w:r>
      <w:r w:rsidR="00854B31" w:rsidRPr="005D3E24">
        <w:rPr>
          <w:rFonts w:ascii="Times New Roman" w:hAnsi="Times New Roman" w:cs="Times New Roman"/>
          <w:sz w:val="24"/>
          <w:szCs w:val="24"/>
        </w:rPr>
        <w:t xml:space="preserve">were set to </w:t>
      </w:r>
      <w:r w:rsidR="002B3E5E" w:rsidRPr="005D3E24">
        <w:rPr>
          <w:rFonts w:ascii="Times New Roman" w:hAnsi="Times New Roman" w:cs="Times New Roman"/>
          <w:sz w:val="24"/>
          <w:szCs w:val="24"/>
        </w:rPr>
        <w:t xml:space="preserve">address the situation </w:t>
      </w:r>
      <w:r w:rsidR="006E3594" w:rsidRPr="005D3E24">
        <w:rPr>
          <w:rFonts w:ascii="Times New Roman" w:hAnsi="Times New Roman" w:cs="Times New Roman"/>
          <w:sz w:val="24"/>
          <w:szCs w:val="24"/>
        </w:rPr>
        <w:t xml:space="preserve">by </w:t>
      </w:r>
      <w:r w:rsidR="00854B31" w:rsidRPr="005D3E24">
        <w:rPr>
          <w:rFonts w:ascii="Times New Roman" w:hAnsi="Times New Roman" w:cs="Times New Roman"/>
          <w:sz w:val="24"/>
          <w:szCs w:val="24"/>
        </w:rPr>
        <w:t>transferring this task to</w:t>
      </w:r>
      <w:r w:rsidR="006E3594" w:rsidRPr="005D3E24">
        <w:rPr>
          <w:rFonts w:ascii="Times New Roman" w:hAnsi="Times New Roman" w:cs="Times New Roman"/>
          <w:sz w:val="24"/>
          <w:szCs w:val="24"/>
        </w:rPr>
        <w:t xml:space="preserve"> independent commissions set up by </w:t>
      </w:r>
      <w:r w:rsidR="00056373" w:rsidRPr="005D3E24">
        <w:rPr>
          <w:rFonts w:ascii="Times New Roman" w:hAnsi="Times New Roman" w:cs="Times New Roman"/>
          <w:sz w:val="24"/>
          <w:szCs w:val="24"/>
        </w:rPr>
        <w:t xml:space="preserve">ministry in charge </w:t>
      </w:r>
      <w:r w:rsidR="00EA1770" w:rsidRPr="005D3E24">
        <w:rPr>
          <w:rFonts w:ascii="Times New Roman" w:hAnsi="Times New Roman" w:cs="Times New Roman"/>
          <w:sz w:val="24"/>
          <w:szCs w:val="24"/>
        </w:rPr>
        <w:t xml:space="preserve"> of </w:t>
      </w:r>
      <w:r w:rsidR="00056373" w:rsidRPr="005D3E24">
        <w:rPr>
          <w:rFonts w:ascii="Times New Roman" w:hAnsi="Times New Roman" w:cs="Times New Roman"/>
          <w:sz w:val="24"/>
          <w:szCs w:val="24"/>
        </w:rPr>
        <w:t xml:space="preserve">labour (occupational standards) and </w:t>
      </w:r>
      <w:r w:rsidR="006E3594" w:rsidRPr="005D3E24">
        <w:rPr>
          <w:rFonts w:ascii="Times New Roman" w:hAnsi="Times New Roman" w:cs="Times New Roman"/>
          <w:sz w:val="24"/>
          <w:szCs w:val="24"/>
        </w:rPr>
        <w:lastRenderedPageBreak/>
        <w:t>educational agencies</w:t>
      </w:r>
      <w:r w:rsidR="00056373" w:rsidRPr="005D3E24">
        <w:rPr>
          <w:rFonts w:ascii="Times New Roman" w:hAnsi="Times New Roman" w:cs="Times New Roman"/>
          <w:sz w:val="24"/>
          <w:szCs w:val="24"/>
        </w:rPr>
        <w:t xml:space="preserve"> (learning outcomes and qualification standards):</w:t>
      </w:r>
      <w:r w:rsidR="006E3594" w:rsidRPr="005D3E24">
        <w:rPr>
          <w:rFonts w:ascii="Times New Roman" w:hAnsi="Times New Roman" w:cs="Times New Roman"/>
          <w:sz w:val="24"/>
          <w:szCs w:val="24"/>
        </w:rPr>
        <w:t xml:space="preserve"> </w:t>
      </w:r>
      <w:r w:rsidR="001C1F16" w:rsidRPr="005D3E24">
        <w:rPr>
          <w:rFonts w:ascii="Times New Roman" w:hAnsi="Times New Roman" w:cs="Times New Roman"/>
          <w:sz w:val="24"/>
          <w:szCs w:val="24"/>
        </w:rPr>
        <w:t>AVETAE (</w:t>
      </w:r>
      <w:r w:rsidR="00B51188" w:rsidRPr="005D3E24">
        <w:rPr>
          <w:rFonts w:ascii="Times New Roman" w:hAnsi="Times New Roman" w:cs="Times New Roman"/>
          <w:sz w:val="24"/>
          <w:szCs w:val="24"/>
        </w:rPr>
        <w:t xml:space="preserve">VET </w:t>
      </w:r>
      <w:r w:rsidR="006E3594" w:rsidRPr="005D3E24">
        <w:rPr>
          <w:rFonts w:ascii="Times New Roman" w:hAnsi="Times New Roman" w:cs="Times New Roman"/>
          <w:sz w:val="24"/>
          <w:szCs w:val="24"/>
        </w:rPr>
        <w:t>and Adult Education</w:t>
      </w:r>
      <w:r w:rsidR="00B51188" w:rsidRPr="005D3E24">
        <w:rPr>
          <w:rFonts w:ascii="Times New Roman" w:hAnsi="Times New Roman" w:cs="Times New Roman"/>
          <w:sz w:val="24"/>
          <w:szCs w:val="24"/>
        </w:rPr>
        <w:t>)</w:t>
      </w:r>
      <w:r w:rsidR="006E3594" w:rsidRPr="005D3E24">
        <w:rPr>
          <w:rFonts w:ascii="Times New Roman" w:hAnsi="Times New Roman" w:cs="Times New Roman"/>
          <w:sz w:val="24"/>
          <w:szCs w:val="24"/>
        </w:rPr>
        <w:t xml:space="preserve">, </w:t>
      </w:r>
      <w:r w:rsidR="00B51188" w:rsidRPr="005D3E24">
        <w:rPr>
          <w:rFonts w:ascii="Times New Roman" w:hAnsi="Times New Roman" w:cs="Times New Roman"/>
          <w:sz w:val="24"/>
          <w:szCs w:val="24"/>
        </w:rPr>
        <w:t xml:space="preserve">ASHE (tertiary education) and </w:t>
      </w:r>
      <w:r w:rsidR="00EA1770" w:rsidRPr="005D3E24">
        <w:rPr>
          <w:rFonts w:ascii="Times New Roman" w:hAnsi="Times New Roman" w:cs="Times New Roman"/>
          <w:sz w:val="24"/>
          <w:szCs w:val="24"/>
        </w:rPr>
        <w:t xml:space="preserve">the </w:t>
      </w:r>
      <w:r w:rsidR="006E3594" w:rsidRPr="005D3E24">
        <w:rPr>
          <w:rFonts w:ascii="Times New Roman" w:hAnsi="Times New Roman" w:cs="Times New Roman"/>
          <w:sz w:val="24"/>
          <w:szCs w:val="24"/>
        </w:rPr>
        <w:t>Teacher Training Agency</w:t>
      </w:r>
      <w:r w:rsidR="00B51188" w:rsidRPr="005D3E24">
        <w:rPr>
          <w:rFonts w:ascii="Times New Roman" w:hAnsi="Times New Roman" w:cs="Times New Roman"/>
          <w:sz w:val="24"/>
          <w:szCs w:val="24"/>
        </w:rPr>
        <w:t xml:space="preserve"> (general education)</w:t>
      </w:r>
      <w:r w:rsidR="006E3594" w:rsidRPr="005D3E24">
        <w:rPr>
          <w:rFonts w:ascii="Times New Roman" w:hAnsi="Times New Roman" w:cs="Times New Roman"/>
          <w:sz w:val="24"/>
          <w:szCs w:val="24"/>
        </w:rPr>
        <w:t xml:space="preserve">. </w:t>
      </w:r>
      <w:r w:rsidR="00657BAD" w:rsidRPr="005D3E24">
        <w:rPr>
          <w:rFonts w:ascii="Times New Roman" w:hAnsi="Times New Roman" w:cs="Times New Roman"/>
          <w:sz w:val="24"/>
          <w:szCs w:val="24"/>
        </w:rPr>
        <w:t xml:space="preserve">Sectoral councils retained </w:t>
      </w:r>
      <w:r w:rsidR="002B3E5E" w:rsidRPr="005D3E24">
        <w:rPr>
          <w:rFonts w:ascii="Times New Roman" w:hAnsi="Times New Roman" w:cs="Times New Roman"/>
          <w:sz w:val="24"/>
          <w:szCs w:val="24"/>
        </w:rPr>
        <w:t xml:space="preserve">the </w:t>
      </w:r>
      <w:r w:rsidR="00657BAD" w:rsidRPr="005D3E24">
        <w:rPr>
          <w:rFonts w:ascii="Times New Roman" w:hAnsi="Times New Roman" w:cs="Times New Roman"/>
          <w:sz w:val="24"/>
          <w:szCs w:val="24"/>
        </w:rPr>
        <w:t xml:space="preserve">strategic role of providing recommendations </w:t>
      </w:r>
      <w:r w:rsidR="00056373" w:rsidRPr="005D3E24">
        <w:rPr>
          <w:rFonts w:ascii="Times New Roman" w:hAnsi="Times New Roman" w:cs="Times New Roman"/>
          <w:sz w:val="24"/>
          <w:szCs w:val="24"/>
        </w:rPr>
        <w:t xml:space="preserve">on sectoral development </w:t>
      </w:r>
      <w:r w:rsidR="00657BAD" w:rsidRPr="005D3E24">
        <w:rPr>
          <w:rFonts w:ascii="Times New Roman" w:hAnsi="Times New Roman" w:cs="Times New Roman"/>
          <w:sz w:val="24"/>
          <w:szCs w:val="24"/>
        </w:rPr>
        <w:t>to</w:t>
      </w:r>
      <w:r w:rsidR="00056373" w:rsidRPr="005D3E24">
        <w:rPr>
          <w:rFonts w:ascii="Times New Roman" w:hAnsi="Times New Roman" w:cs="Times New Roman"/>
          <w:sz w:val="24"/>
          <w:szCs w:val="24"/>
        </w:rPr>
        <w:t xml:space="preserve"> </w:t>
      </w:r>
      <w:r w:rsidR="002B3E5E" w:rsidRPr="005D3E24">
        <w:rPr>
          <w:rFonts w:ascii="Times New Roman" w:hAnsi="Times New Roman" w:cs="Times New Roman"/>
          <w:sz w:val="24"/>
          <w:szCs w:val="24"/>
        </w:rPr>
        <w:t xml:space="preserve">the </w:t>
      </w:r>
      <w:r w:rsidR="00056373" w:rsidRPr="005D3E24">
        <w:rPr>
          <w:rFonts w:ascii="Times New Roman" w:hAnsi="Times New Roman" w:cs="Times New Roman"/>
          <w:sz w:val="24"/>
          <w:szCs w:val="24"/>
        </w:rPr>
        <w:t xml:space="preserve">ministries involved. </w:t>
      </w:r>
      <w:r w:rsidR="00854B31" w:rsidRPr="005D3E24">
        <w:rPr>
          <w:rFonts w:ascii="Times New Roman" w:hAnsi="Times New Roman" w:cs="Times New Roman"/>
          <w:sz w:val="24"/>
          <w:szCs w:val="24"/>
        </w:rPr>
        <w:t xml:space="preserve">At the time of writing, it is still too early to assess </w:t>
      </w:r>
      <w:r w:rsidR="002B3E5E" w:rsidRPr="005D3E24">
        <w:rPr>
          <w:rFonts w:ascii="Times New Roman" w:hAnsi="Times New Roman" w:cs="Times New Roman"/>
          <w:sz w:val="24"/>
          <w:szCs w:val="24"/>
        </w:rPr>
        <w:t xml:space="preserve">the </w:t>
      </w:r>
      <w:r w:rsidR="00854B31" w:rsidRPr="005D3E24">
        <w:rPr>
          <w:rFonts w:ascii="Times New Roman" w:hAnsi="Times New Roman" w:cs="Times New Roman"/>
          <w:sz w:val="24"/>
          <w:szCs w:val="24"/>
        </w:rPr>
        <w:t xml:space="preserve">effectiveness of </w:t>
      </w:r>
      <w:r w:rsidR="00EA1770" w:rsidRPr="005D3E24">
        <w:rPr>
          <w:rFonts w:ascii="Times New Roman" w:hAnsi="Times New Roman" w:cs="Times New Roman"/>
          <w:sz w:val="24"/>
          <w:szCs w:val="24"/>
        </w:rPr>
        <w:t xml:space="preserve"> this </w:t>
      </w:r>
      <w:r w:rsidR="00854B31" w:rsidRPr="005D3E24">
        <w:rPr>
          <w:rFonts w:ascii="Times New Roman" w:hAnsi="Times New Roman" w:cs="Times New Roman"/>
          <w:sz w:val="24"/>
          <w:szCs w:val="24"/>
        </w:rPr>
        <w:t xml:space="preserve">shakeup, but </w:t>
      </w:r>
      <w:r w:rsidR="002B3E5E" w:rsidRPr="005D3E24">
        <w:rPr>
          <w:rFonts w:ascii="Times New Roman" w:hAnsi="Times New Roman" w:cs="Times New Roman"/>
          <w:sz w:val="24"/>
          <w:szCs w:val="24"/>
        </w:rPr>
        <w:t xml:space="preserve">the </w:t>
      </w:r>
      <w:r w:rsidR="00854B31" w:rsidRPr="005D3E24">
        <w:rPr>
          <w:rFonts w:ascii="Times New Roman" w:hAnsi="Times New Roman" w:cs="Times New Roman"/>
          <w:sz w:val="24"/>
          <w:szCs w:val="24"/>
        </w:rPr>
        <w:t>n</w:t>
      </w:r>
      <w:r w:rsidR="00604D02" w:rsidRPr="005D3E24">
        <w:rPr>
          <w:rFonts w:ascii="Times New Roman" w:hAnsi="Times New Roman" w:cs="Times New Roman"/>
          <w:sz w:val="24"/>
          <w:szCs w:val="24"/>
        </w:rPr>
        <w:t>ew qualification standards, and the learning outcomes they</w:t>
      </w:r>
      <w:r w:rsidR="002B3E5E" w:rsidRPr="005D3E24">
        <w:rPr>
          <w:rFonts w:ascii="Times New Roman" w:hAnsi="Times New Roman" w:cs="Times New Roman"/>
          <w:sz w:val="24"/>
          <w:szCs w:val="24"/>
        </w:rPr>
        <w:t xml:space="preserve"> are designed to deliver</w:t>
      </w:r>
      <w:r w:rsidR="00604D02" w:rsidRPr="005D3E24">
        <w:rPr>
          <w:rFonts w:ascii="Times New Roman" w:hAnsi="Times New Roman" w:cs="Times New Roman"/>
          <w:sz w:val="24"/>
          <w:szCs w:val="24"/>
        </w:rPr>
        <w:t>, are meant to be the main reference points for corresponding educational programmes, which should consequently undergo adequate revisions</w:t>
      </w:r>
      <w:r w:rsidR="00466C74">
        <w:rPr>
          <w:rFonts w:ascii="Times New Roman" w:hAnsi="Times New Roman" w:cs="Times New Roman"/>
          <w:sz w:val="24"/>
          <w:szCs w:val="24"/>
        </w:rPr>
        <w:t>.</w:t>
      </w:r>
    </w:p>
    <w:p w14:paraId="35A8D4D6" w14:textId="1EEB2FD9" w:rsidR="001C1F16" w:rsidRPr="005D3E24" w:rsidRDefault="001C1F16" w:rsidP="005D3E24">
      <w:pPr>
        <w:spacing w:after="0" w:line="480" w:lineRule="auto"/>
        <w:ind w:firstLine="284"/>
        <w:jc w:val="both"/>
        <w:rPr>
          <w:rFonts w:ascii="Times New Roman" w:hAnsi="Times New Roman" w:cs="Times New Roman"/>
          <w:sz w:val="24"/>
          <w:szCs w:val="24"/>
        </w:rPr>
      </w:pPr>
      <w:r w:rsidRPr="005D3E24">
        <w:rPr>
          <w:rFonts w:ascii="Times New Roman" w:hAnsi="Times New Roman" w:cs="Times New Roman"/>
          <w:sz w:val="24"/>
          <w:szCs w:val="24"/>
        </w:rPr>
        <w:t>This is stressed a</w:t>
      </w:r>
      <w:r w:rsidR="00604D02" w:rsidRPr="005D3E24">
        <w:rPr>
          <w:rFonts w:ascii="Times New Roman" w:hAnsi="Times New Roman" w:cs="Times New Roman"/>
          <w:sz w:val="24"/>
          <w:szCs w:val="24"/>
        </w:rPr>
        <w:t xml:space="preserve">t the strategic level, </w:t>
      </w:r>
      <w:r w:rsidRPr="005D3E24">
        <w:rPr>
          <w:rFonts w:ascii="Times New Roman" w:hAnsi="Times New Roman" w:cs="Times New Roman"/>
          <w:sz w:val="24"/>
          <w:szCs w:val="24"/>
        </w:rPr>
        <w:t xml:space="preserve">as </w:t>
      </w:r>
      <w:r w:rsidR="00604D02" w:rsidRPr="005D3E24">
        <w:rPr>
          <w:rFonts w:ascii="Times New Roman" w:hAnsi="Times New Roman" w:cs="Times New Roman"/>
          <w:sz w:val="24"/>
          <w:szCs w:val="24"/>
        </w:rPr>
        <w:t>CROQF figures prominently within the</w:t>
      </w:r>
      <w:r w:rsidRPr="005D3E24">
        <w:rPr>
          <w:rFonts w:ascii="Times New Roman" w:hAnsi="Times New Roman" w:cs="Times New Roman"/>
          <w:sz w:val="24"/>
          <w:szCs w:val="24"/>
        </w:rPr>
        <w:t xml:space="preserve"> </w:t>
      </w:r>
      <w:r w:rsidR="00604D02" w:rsidRPr="005D3E24">
        <w:rPr>
          <w:rFonts w:ascii="Times New Roman" w:hAnsi="Times New Roman" w:cs="Times New Roman"/>
          <w:sz w:val="24"/>
          <w:szCs w:val="24"/>
        </w:rPr>
        <w:t xml:space="preserve">Strategy for Science, Education and Technology (Hrvatski sabor 2014). It is stressed in the preamble and is then </w:t>
      </w:r>
      <w:r w:rsidR="000A7D81" w:rsidRPr="005D3E24">
        <w:rPr>
          <w:rFonts w:ascii="Times New Roman" w:hAnsi="Times New Roman" w:cs="Times New Roman"/>
          <w:sz w:val="24"/>
          <w:szCs w:val="24"/>
        </w:rPr>
        <w:t xml:space="preserve">highlighted </w:t>
      </w:r>
      <w:r w:rsidR="00604D02" w:rsidRPr="005D3E24">
        <w:rPr>
          <w:rFonts w:ascii="Times New Roman" w:hAnsi="Times New Roman" w:cs="Times New Roman"/>
          <w:sz w:val="24"/>
          <w:szCs w:val="24"/>
        </w:rPr>
        <w:t>in the context of the recognition of informal learning (lifelong learning, 3); curricular reform (pre-tertiary education, 2); assessment of learning outcomes (pre-tertiary, 8.6); as a tool for the adaptation of the content of HEI programmes with clearly defined learning outcomes (tertiary, 1.2); and the internationali</w:t>
      </w:r>
      <w:r w:rsidR="00466C74">
        <w:rPr>
          <w:rFonts w:ascii="Times New Roman" w:hAnsi="Times New Roman" w:cs="Times New Roman"/>
          <w:sz w:val="24"/>
          <w:szCs w:val="24"/>
        </w:rPr>
        <w:t>z</w:t>
      </w:r>
      <w:r w:rsidR="00604D02" w:rsidRPr="005D3E24">
        <w:rPr>
          <w:rFonts w:ascii="Times New Roman" w:hAnsi="Times New Roman" w:cs="Times New Roman"/>
          <w:sz w:val="24"/>
          <w:szCs w:val="24"/>
        </w:rPr>
        <w:t>ation and European integration of HE (tertiary, 7).</w:t>
      </w:r>
      <w:r w:rsidRPr="005D3E24">
        <w:rPr>
          <w:rFonts w:ascii="Times New Roman" w:hAnsi="Times New Roman" w:cs="Times New Roman"/>
          <w:sz w:val="24"/>
          <w:szCs w:val="24"/>
        </w:rPr>
        <w:t xml:space="preserve"> CROQF has</w:t>
      </w:r>
      <w:r w:rsidR="000A7D81" w:rsidRPr="005D3E24">
        <w:rPr>
          <w:rFonts w:ascii="Times New Roman" w:hAnsi="Times New Roman" w:cs="Times New Roman"/>
          <w:sz w:val="24"/>
          <w:szCs w:val="24"/>
        </w:rPr>
        <w:t>, additionally,</w:t>
      </w:r>
      <w:r w:rsidRPr="005D3E24">
        <w:rPr>
          <w:rFonts w:ascii="Times New Roman" w:hAnsi="Times New Roman" w:cs="Times New Roman"/>
          <w:sz w:val="24"/>
          <w:szCs w:val="24"/>
        </w:rPr>
        <w:t xml:space="preserve"> featured heavily in every National Reform Programme (NRP) that the Government of Croatia has submitted — between the country</w:t>
      </w:r>
      <w:r w:rsidR="00466C74">
        <w:rPr>
          <w:rFonts w:ascii="Times New Roman" w:hAnsi="Times New Roman" w:cs="Times New Roman"/>
          <w:sz w:val="24"/>
          <w:szCs w:val="24"/>
        </w:rPr>
        <w:t>’</w:t>
      </w:r>
      <w:r w:rsidRPr="005D3E24">
        <w:rPr>
          <w:rFonts w:ascii="Times New Roman" w:hAnsi="Times New Roman" w:cs="Times New Roman"/>
          <w:sz w:val="24"/>
          <w:szCs w:val="24"/>
        </w:rPr>
        <w:t>s EU accession in 2013 and 2020 — with 7–47 mentions per year. Within the NRPs, the CROQF and its standards have been consistently touted as key instruments for aligning Croatia’s education system with its labour market needs, at all levels of education.</w:t>
      </w:r>
    </w:p>
    <w:p w14:paraId="55DF71F1" w14:textId="40D09275" w:rsidR="003D0269" w:rsidRPr="005D3E24" w:rsidRDefault="00604D02" w:rsidP="005D3E24">
      <w:pPr>
        <w:spacing w:after="0" w:line="480" w:lineRule="auto"/>
        <w:ind w:firstLine="284"/>
        <w:jc w:val="both"/>
        <w:rPr>
          <w:rFonts w:ascii="Times New Roman" w:hAnsi="Times New Roman" w:cs="Times New Roman"/>
          <w:sz w:val="24"/>
          <w:szCs w:val="24"/>
        </w:rPr>
      </w:pPr>
      <w:r w:rsidRPr="005D3E24">
        <w:rPr>
          <w:rFonts w:ascii="Times New Roman" w:hAnsi="Times New Roman" w:cs="Times New Roman"/>
          <w:sz w:val="24"/>
          <w:szCs w:val="24"/>
        </w:rPr>
        <w:t xml:space="preserve">While its name </w:t>
      </w:r>
      <w:r w:rsidR="000A7D81" w:rsidRPr="005D3E24">
        <w:rPr>
          <w:rFonts w:ascii="Times New Roman" w:hAnsi="Times New Roman" w:cs="Times New Roman"/>
          <w:sz w:val="24"/>
          <w:szCs w:val="24"/>
        </w:rPr>
        <w:t xml:space="preserve">is suggestive of </w:t>
      </w:r>
      <w:r w:rsidRPr="005D3E24">
        <w:rPr>
          <w:rFonts w:ascii="Times New Roman" w:hAnsi="Times New Roman" w:cs="Times New Roman"/>
          <w:sz w:val="24"/>
          <w:szCs w:val="24"/>
        </w:rPr>
        <w:t>national ownership, the CROQF has been strongly linked with the European level</w:t>
      </w:r>
      <w:r w:rsidR="00BE2E00" w:rsidRPr="005D3E24">
        <w:rPr>
          <w:rFonts w:ascii="Times New Roman" w:hAnsi="Times New Roman" w:cs="Times New Roman"/>
          <w:sz w:val="24"/>
          <w:szCs w:val="24"/>
        </w:rPr>
        <w:t xml:space="preserve"> initiatives since its inception</w:t>
      </w:r>
      <w:r w:rsidRPr="005D3E24">
        <w:rPr>
          <w:rFonts w:ascii="Times New Roman" w:hAnsi="Times New Roman" w:cs="Times New Roman"/>
          <w:sz w:val="24"/>
          <w:szCs w:val="24"/>
        </w:rPr>
        <w:t xml:space="preserve">. It has drawn support from the European Training Foundation and Instrument for pre-accession assistance. </w:t>
      </w:r>
      <w:r w:rsidR="001C1F16" w:rsidRPr="005D3E24">
        <w:rPr>
          <w:rFonts w:ascii="Times New Roman" w:hAnsi="Times New Roman" w:cs="Times New Roman"/>
          <w:sz w:val="24"/>
          <w:szCs w:val="24"/>
        </w:rPr>
        <w:t xml:space="preserve">Since </w:t>
      </w:r>
      <w:r w:rsidRPr="005D3E24">
        <w:rPr>
          <w:rFonts w:ascii="Times New Roman" w:hAnsi="Times New Roman" w:cs="Times New Roman"/>
          <w:sz w:val="24"/>
          <w:szCs w:val="24"/>
        </w:rPr>
        <w:t xml:space="preserve">accession, the development of CROQF was supported by a total of nine </w:t>
      </w:r>
      <w:r w:rsidR="001C1F16" w:rsidRPr="005D3E24">
        <w:rPr>
          <w:rFonts w:ascii="Times New Roman" w:hAnsi="Times New Roman" w:cs="Times New Roman"/>
          <w:sz w:val="24"/>
          <w:szCs w:val="24"/>
        </w:rPr>
        <w:t>ESF</w:t>
      </w:r>
      <w:r w:rsidRPr="005D3E24">
        <w:rPr>
          <w:rFonts w:ascii="Times New Roman" w:hAnsi="Times New Roman" w:cs="Times New Roman"/>
          <w:sz w:val="24"/>
          <w:szCs w:val="24"/>
        </w:rPr>
        <w:t xml:space="preserve"> operations, initiated in the 2013–2019 period </w:t>
      </w:r>
      <w:bookmarkStart w:id="127" w:name="__Fieldmark__1887_131419714"/>
      <w:r w:rsidRPr="005D3E24">
        <w:rPr>
          <w:rFonts w:ascii="Times New Roman" w:hAnsi="Times New Roman" w:cs="Times New Roman"/>
          <w:sz w:val="24"/>
          <w:szCs w:val="24"/>
        </w:rPr>
        <w:t>(</w:t>
      </w:r>
      <w:bookmarkStart w:id="128" w:name="__Fieldmark__1682_2097806078"/>
      <w:bookmarkStart w:id="129" w:name="__Fieldmark__1160_241477822"/>
      <w:bookmarkStart w:id="130" w:name="__Fieldmark__7427_374039044"/>
      <w:r w:rsidR="001C1F16" w:rsidRPr="005D3E24">
        <w:rPr>
          <w:rFonts w:ascii="Times New Roman" w:hAnsi="Times New Roman" w:cs="Times New Roman"/>
          <w:sz w:val="24"/>
          <w:szCs w:val="24"/>
        </w:rPr>
        <w:t xml:space="preserve">Ministarstvo </w:t>
      </w:r>
      <w:r w:rsidRPr="005D3E24">
        <w:rPr>
          <w:rFonts w:ascii="Times New Roman" w:hAnsi="Times New Roman" w:cs="Times New Roman"/>
          <w:sz w:val="24"/>
          <w:szCs w:val="24"/>
        </w:rPr>
        <w:t>znanosti i obrazovanja 2020)</w:t>
      </w:r>
      <w:bookmarkEnd w:id="127"/>
      <w:bookmarkEnd w:id="128"/>
      <w:bookmarkEnd w:id="129"/>
      <w:bookmarkEnd w:id="130"/>
      <w:r w:rsidRPr="005D3E24">
        <w:rPr>
          <w:rFonts w:ascii="Times New Roman" w:hAnsi="Times New Roman" w:cs="Times New Roman"/>
          <w:sz w:val="24"/>
          <w:szCs w:val="24"/>
        </w:rPr>
        <w:t xml:space="preserve"> for a total of </w:t>
      </w:r>
      <w:r w:rsidR="00466C74">
        <w:rPr>
          <w:rFonts w:ascii="Times New Roman" w:hAnsi="Times New Roman" w:cs="Times New Roman"/>
          <w:sz w:val="24"/>
          <w:szCs w:val="24"/>
        </w:rPr>
        <w:t>HRK</w:t>
      </w:r>
      <w:r w:rsidRPr="005D3E24">
        <w:rPr>
          <w:rFonts w:ascii="Times New Roman" w:hAnsi="Times New Roman" w:cs="Times New Roman"/>
          <w:sz w:val="24"/>
          <w:szCs w:val="24"/>
        </w:rPr>
        <w:t>272 mil</w:t>
      </w:r>
      <w:r w:rsidR="00466C74">
        <w:rPr>
          <w:rFonts w:ascii="Times New Roman" w:hAnsi="Times New Roman" w:cs="Times New Roman"/>
          <w:sz w:val="24"/>
          <w:szCs w:val="24"/>
        </w:rPr>
        <w:t>lion</w:t>
      </w:r>
      <w:r w:rsidRPr="005D3E24">
        <w:rPr>
          <w:rFonts w:ascii="Times New Roman" w:hAnsi="Times New Roman" w:cs="Times New Roman"/>
          <w:sz w:val="24"/>
          <w:szCs w:val="24"/>
        </w:rPr>
        <w:t xml:space="preserve"> (</w:t>
      </w:r>
      <w:r w:rsidR="00466C74">
        <w:rPr>
          <w:rFonts w:ascii="Times New Roman" w:hAnsi="Times New Roman" w:cs="Times New Roman"/>
          <w:sz w:val="24"/>
          <w:szCs w:val="24"/>
        </w:rPr>
        <w:t>€</w:t>
      </w:r>
      <w:r w:rsidRPr="005D3E24">
        <w:rPr>
          <w:rFonts w:ascii="Times New Roman" w:hAnsi="Times New Roman" w:cs="Times New Roman"/>
          <w:sz w:val="24"/>
          <w:szCs w:val="24"/>
        </w:rPr>
        <w:t>36</w:t>
      </w:r>
      <w:r w:rsidR="00466C74">
        <w:rPr>
          <w:rFonts w:ascii="Times New Roman" w:hAnsi="Times New Roman" w:cs="Times New Roman"/>
          <w:sz w:val="24"/>
          <w:szCs w:val="24"/>
        </w:rPr>
        <w:t>.</w:t>
      </w:r>
      <w:r w:rsidRPr="005D3E24">
        <w:rPr>
          <w:rFonts w:ascii="Times New Roman" w:hAnsi="Times New Roman" w:cs="Times New Roman"/>
          <w:sz w:val="24"/>
          <w:szCs w:val="24"/>
        </w:rPr>
        <w:t>8 mil</w:t>
      </w:r>
      <w:r w:rsidR="00466C74">
        <w:rPr>
          <w:rFonts w:ascii="Times New Roman" w:hAnsi="Times New Roman" w:cs="Times New Roman"/>
          <w:sz w:val="24"/>
          <w:szCs w:val="24"/>
        </w:rPr>
        <w:t>lion</w:t>
      </w:r>
      <w:r w:rsidR="00413EA5" w:rsidRPr="005D3E24">
        <w:rPr>
          <w:rFonts w:ascii="Times New Roman" w:hAnsi="Times New Roman" w:cs="Times New Roman"/>
          <w:sz w:val="24"/>
          <w:szCs w:val="24"/>
        </w:rPr>
        <w:t>), or about 7 per cent of total ESF education investments</w:t>
      </w:r>
      <w:r w:rsidRPr="005D3E24">
        <w:rPr>
          <w:rFonts w:ascii="Times New Roman" w:hAnsi="Times New Roman" w:cs="Times New Roman"/>
          <w:sz w:val="24"/>
          <w:szCs w:val="24"/>
        </w:rPr>
        <w:t xml:space="preserve">. The ESF operations provided support to the </w:t>
      </w:r>
      <w:r w:rsidRPr="005D3E24">
        <w:rPr>
          <w:rFonts w:ascii="Times New Roman" w:hAnsi="Times New Roman" w:cs="Times New Roman"/>
          <w:sz w:val="24"/>
          <w:szCs w:val="24"/>
        </w:rPr>
        <w:lastRenderedPageBreak/>
        <w:t xml:space="preserve">implementation of the CROQF — such as in the development and management of sectoral councils, registers, survey methodology, and labour market tools. There were also four open calls for education system stakeholders to develop standards and programmes. These resulted in a total of 97 projects worth </w:t>
      </w:r>
      <w:r w:rsidR="00466C74">
        <w:rPr>
          <w:rFonts w:ascii="Times New Roman" w:hAnsi="Times New Roman" w:cs="Times New Roman"/>
          <w:sz w:val="24"/>
          <w:szCs w:val="24"/>
        </w:rPr>
        <w:t>HRK</w:t>
      </w:r>
      <w:r w:rsidRPr="005D3E24">
        <w:rPr>
          <w:rFonts w:ascii="Times New Roman" w:hAnsi="Times New Roman" w:cs="Times New Roman"/>
          <w:sz w:val="24"/>
          <w:szCs w:val="24"/>
        </w:rPr>
        <w:t>231 mil</w:t>
      </w:r>
      <w:r w:rsidR="00466C74">
        <w:rPr>
          <w:rFonts w:ascii="Times New Roman" w:hAnsi="Times New Roman" w:cs="Times New Roman"/>
          <w:sz w:val="24"/>
          <w:szCs w:val="24"/>
        </w:rPr>
        <w:t>lion</w:t>
      </w:r>
      <w:r w:rsidRPr="005D3E24">
        <w:rPr>
          <w:rFonts w:ascii="Times New Roman" w:hAnsi="Times New Roman" w:cs="Times New Roman"/>
          <w:sz w:val="24"/>
          <w:szCs w:val="24"/>
        </w:rPr>
        <w:t xml:space="preserve">, which have included several hundred partners and education programmes over the decade. One of the calls was used by the ministry in charge of labour, for the definition of 200 occupational standards. A separate </w:t>
      </w:r>
      <w:r w:rsidR="00466C74">
        <w:rPr>
          <w:rFonts w:ascii="Times New Roman" w:hAnsi="Times New Roman" w:cs="Times New Roman"/>
          <w:sz w:val="24"/>
          <w:szCs w:val="24"/>
        </w:rPr>
        <w:t>HRK</w:t>
      </w:r>
      <w:r w:rsidRPr="005D3E24">
        <w:rPr>
          <w:rFonts w:ascii="Times New Roman" w:hAnsi="Times New Roman" w:cs="Times New Roman"/>
          <w:sz w:val="24"/>
          <w:szCs w:val="24"/>
        </w:rPr>
        <w:t>234 mil</w:t>
      </w:r>
      <w:r w:rsidR="00466C74">
        <w:rPr>
          <w:rFonts w:ascii="Times New Roman" w:hAnsi="Times New Roman" w:cs="Times New Roman"/>
          <w:sz w:val="24"/>
          <w:szCs w:val="24"/>
        </w:rPr>
        <w:t>lion</w:t>
      </w:r>
      <w:r w:rsidRPr="005D3E24">
        <w:rPr>
          <w:rFonts w:ascii="Times New Roman" w:hAnsi="Times New Roman" w:cs="Times New Roman"/>
          <w:sz w:val="24"/>
          <w:szCs w:val="24"/>
        </w:rPr>
        <w:t xml:space="preserve"> VET moderni</w:t>
      </w:r>
      <w:r w:rsidR="00466C74">
        <w:rPr>
          <w:rFonts w:ascii="Times New Roman" w:hAnsi="Times New Roman" w:cs="Times New Roman"/>
          <w:sz w:val="24"/>
          <w:szCs w:val="24"/>
        </w:rPr>
        <w:t>z</w:t>
      </w:r>
      <w:r w:rsidRPr="005D3E24">
        <w:rPr>
          <w:rFonts w:ascii="Times New Roman" w:hAnsi="Times New Roman" w:cs="Times New Roman"/>
          <w:sz w:val="24"/>
          <w:szCs w:val="24"/>
        </w:rPr>
        <w:t xml:space="preserve">ation project, led by the AVETAE, aims to develop 108 occupational and 195 qualification standards by 2022. </w:t>
      </w:r>
    </w:p>
    <w:p w14:paraId="78231326" w14:textId="4154CE6D" w:rsidR="003D0269" w:rsidRPr="005D3E24" w:rsidRDefault="000A7D81" w:rsidP="005D3E24">
      <w:pPr>
        <w:spacing w:after="0" w:line="480" w:lineRule="auto"/>
        <w:ind w:firstLine="284"/>
        <w:jc w:val="both"/>
        <w:rPr>
          <w:rFonts w:ascii="Times New Roman" w:hAnsi="Times New Roman" w:cs="Times New Roman"/>
          <w:sz w:val="24"/>
          <w:szCs w:val="24"/>
        </w:rPr>
      </w:pPr>
      <w:r w:rsidRPr="005D3E24">
        <w:rPr>
          <w:rFonts w:ascii="Times New Roman" w:hAnsi="Times New Roman" w:cs="Times New Roman"/>
          <w:sz w:val="24"/>
          <w:szCs w:val="24"/>
        </w:rPr>
        <w:t xml:space="preserve"> There is little evidence that </w:t>
      </w:r>
      <w:r w:rsidR="00604D02" w:rsidRPr="005D3E24">
        <w:rPr>
          <w:rFonts w:ascii="Times New Roman" w:hAnsi="Times New Roman" w:cs="Times New Roman"/>
          <w:sz w:val="24"/>
          <w:szCs w:val="24"/>
        </w:rPr>
        <w:t>the CROQF</w:t>
      </w:r>
      <w:r w:rsidRPr="005D3E24">
        <w:rPr>
          <w:rFonts w:ascii="Times New Roman" w:hAnsi="Times New Roman" w:cs="Times New Roman"/>
          <w:sz w:val="24"/>
          <w:szCs w:val="24"/>
        </w:rPr>
        <w:t xml:space="preserve"> is regarded as a threat by any stakeholder</w:t>
      </w:r>
      <w:r w:rsidR="00604D02" w:rsidRPr="005D3E24">
        <w:rPr>
          <w:rFonts w:ascii="Times New Roman" w:hAnsi="Times New Roman" w:cs="Times New Roman"/>
          <w:sz w:val="24"/>
          <w:szCs w:val="24"/>
        </w:rPr>
        <w:t>. This is somewhat unexpected</w:t>
      </w:r>
      <w:r w:rsidR="00B51188" w:rsidRPr="005D3E24">
        <w:rPr>
          <w:rFonts w:ascii="Times New Roman" w:hAnsi="Times New Roman" w:cs="Times New Roman"/>
          <w:sz w:val="24"/>
          <w:szCs w:val="24"/>
        </w:rPr>
        <w:t xml:space="preserve"> </w:t>
      </w:r>
      <w:r w:rsidR="00466C74">
        <w:rPr>
          <w:rFonts w:ascii="Times New Roman" w:hAnsi="Times New Roman" w:cs="Times New Roman"/>
          <w:sz w:val="24"/>
          <w:szCs w:val="24"/>
        </w:rPr>
        <w:t xml:space="preserve">because </w:t>
      </w:r>
      <w:r w:rsidR="00604D02" w:rsidRPr="005D3E24">
        <w:rPr>
          <w:rFonts w:ascii="Times New Roman" w:hAnsi="Times New Roman" w:cs="Times New Roman"/>
          <w:sz w:val="24"/>
          <w:szCs w:val="24"/>
        </w:rPr>
        <w:t xml:space="preserve">chambers and employers’ association(s) in some more collectively oriented skill production regimes have </w:t>
      </w:r>
      <w:r w:rsidR="00CB48E9" w:rsidRPr="005D3E24">
        <w:rPr>
          <w:rFonts w:ascii="Times New Roman" w:hAnsi="Times New Roman" w:cs="Times New Roman"/>
          <w:sz w:val="24"/>
          <w:szCs w:val="24"/>
        </w:rPr>
        <w:t>perceived</w:t>
      </w:r>
      <w:r w:rsidR="00B51188" w:rsidRPr="005D3E24">
        <w:rPr>
          <w:rFonts w:ascii="Times New Roman" w:hAnsi="Times New Roman" w:cs="Times New Roman"/>
          <w:sz w:val="24"/>
          <w:szCs w:val="24"/>
        </w:rPr>
        <w:t xml:space="preserve"> </w:t>
      </w:r>
      <w:r w:rsidR="00604D02" w:rsidRPr="005D3E24">
        <w:rPr>
          <w:rFonts w:ascii="Times New Roman" w:hAnsi="Times New Roman" w:cs="Times New Roman"/>
          <w:sz w:val="24"/>
          <w:szCs w:val="24"/>
        </w:rPr>
        <w:t xml:space="preserve">qualification frameworks as mechanisms that </w:t>
      </w:r>
      <w:r w:rsidR="00056373" w:rsidRPr="005D3E24">
        <w:rPr>
          <w:rFonts w:ascii="Times New Roman" w:hAnsi="Times New Roman" w:cs="Times New Roman"/>
          <w:sz w:val="24"/>
          <w:szCs w:val="24"/>
        </w:rPr>
        <w:t xml:space="preserve">diminish </w:t>
      </w:r>
      <w:r w:rsidR="00604D02" w:rsidRPr="005D3E24">
        <w:rPr>
          <w:rFonts w:ascii="Times New Roman" w:hAnsi="Times New Roman" w:cs="Times New Roman"/>
          <w:sz w:val="24"/>
          <w:szCs w:val="24"/>
        </w:rPr>
        <w:t xml:space="preserve">their own role in skill formation </w:t>
      </w:r>
      <w:bookmarkStart w:id="131" w:name="__Fieldmark__1925_131419714"/>
      <w:r w:rsidR="00604D02" w:rsidRPr="005D3E24">
        <w:rPr>
          <w:rFonts w:ascii="Times New Roman" w:hAnsi="Times New Roman" w:cs="Times New Roman"/>
          <w:sz w:val="24"/>
          <w:szCs w:val="24"/>
        </w:rPr>
        <w:t>(Powell &amp; Trampusch 2012)</w:t>
      </w:r>
      <w:bookmarkStart w:id="132" w:name="__Fieldmark__1714_2097806078"/>
      <w:bookmarkStart w:id="133" w:name="__Fieldmark__7591_374039044"/>
      <w:bookmarkStart w:id="134" w:name="__Fieldmark__1186_241477822"/>
      <w:bookmarkEnd w:id="131"/>
      <w:bookmarkEnd w:id="132"/>
      <w:bookmarkEnd w:id="133"/>
      <w:bookmarkEnd w:id="134"/>
      <w:r w:rsidR="00604D02" w:rsidRPr="005D3E24">
        <w:rPr>
          <w:rFonts w:ascii="Times New Roman" w:hAnsi="Times New Roman" w:cs="Times New Roman"/>
          <w:sz w:val="24"/>
          <w:szCs w:val="24"/>
        </w:rPr>
        <w:t xml:space="preserve">. </w:t>
      </w:r>
      <w:r w:rsidRPr="005D3E24">
        <w:rPr>
          <w:rFonts w:ascii="Times New Roman" w:hAnsi="Times New Roman" w:cs="Times New Roman"/>
          <w:sz w:val="24"/>
          <w:szCs w:val="24"/>
        </w:rPr>
        <w:t>Furthermore, t</w:t>
      </w:r>
      <w:r w:rsidR="00604D02" w:rsidRPr="005D3E24">
        <w:rPr>
          <w:rFonts w:ascii="Times New Roman" w:hAnsi="Times New Roman" w:cs="Times New Roman"/>
          <w:sz w:val="24"/>
          <w:szCs w:val="24"/>
        </w:rPr>
        <w:t xml:space="preserve">rade unions — especially those </w:t>
      </w:r>
      <w:r w:rsidR="00B51188" w:rsidRPr="005D3E24">
        <w:rPr>
          <w:rFonts w:ascii="Times New Roman" w:hAnsi="Times New Roman" w:cs="Times New Roman"/>
          <w:sz w:val="24"/>
          <w:szCs w:val="24"/>
        </w:rPr>
        <w:t xml:space="preserve">with significant private sector worker membership, </w:t>
      </w:r>
      <w:r w:rsidR="00604D02" w:rsidRPr="005D3E24">
        <w:rPr>
          <w:rFonts w:ascii="Times New Roman" w:hAnsi="Times New Roman" w:cs="Times New Roman"/>
          <w:sz w:val="24"/>
          <w:szCs w:val="24"/>
        </w:rPr>
        <w:t>organi</w:t>
      </w:r>
      <w:r w:rsidR="00466C74">
        <w:rPr>
          <w:rFonts w:ascii="Times New Roman" w:hAnsi="Times New Roman" w:cs="Times New Roman"/>
          <w:sz w:val="24"/>
          <w:szCs w:val="24"/>
        </w:rPr>
        <w:t>z</w:t>
      </w:r>
      <w:r w:rsidR="00604D02" w:rsidRPr="005D3E24">
        <w:rPr>
          <w:rFonts w:ascii="Times New Roman" w:hAnsi="Times New Roman" w:cs="Times New Roman"/>
          <w:sz w:val="24"/>
          <w:szCs w:val="24"/>
        </w:rPr>
        <w:t>ed around the Union of Aut</w:t>
      </w:r>
      <w:r w:rsidR="00B51188" w:rsidRPr="005D3E24">
        <w:rPr>
          <w:rFonts w:ascii="Times New Roman" w:hAnsi="Times New Roman" w:cs="Times New Roman"/>
          <w:sz w:val="24"/>
          <w:szCs w:val="24"/>
        </w:rPr>
        <w:t>onomous Trade Unions of Croatia</w:t>
      </w:r>
      <w:r w:rsidR="00604D02" w:rsidRPr="005D3E24">
        <w:rPr>
          <w:rFonts w:ascii="Times New Roman" w:hAnsi="Times New Roman" w:cs="Times New Roman"/>
          <w:sz w:val="24"/>
          <w:szCs w:val="24"/>
        </w:rPr>
        <w:t xml:space="preserve"> — saw </w:t>
      </w:r>
      <w:r w:rsidR="0006578F" w:rsidRPr="005D3E24">
        <w:rPr>
          <w:rFonts w:ascii="Times New Roman" w:hAnsi="Times New Roman" w:cs="Times New Roman"/>
          <w:sz w:val="24"/>
          <w:szCs w:val="24"/>
        </w:rPr>
        <w:t>CROQF</w:t>
      </w:r>
      <w:r w:rsidR="00604D02" w:rsidRPr="005D3E24">
        <w:rPr>
          <w:rFonts w:ascii="Times New Roman" w:hAnsi="Times New Roman" w:cs="Times New Roman"/>
          <w:sz w:val="24"/>
          <w:szCs w:val="24"/>
        </w:rPr>
        <w:t xml:space="preserve"> as an opportunity to establish a more fruitful cooperation with employers and the state, compared to the processes of traditional social dialogue </w:t>
      </w:r>
      <w:bookmarkStart w:id="135" w:name="__Fieldmark__1939_131419714"/>
      <w:r w:rsidR="00604D02" w:rsidRPr="005D3E24">
        <w:rPr>
          <w:rFonts w:ascii="Times New Roman" w:hAnsi="Times New Roman" w:cs="Times New Roman"/>
          <w:sz w:val="24"/>
          <w:szCs w:val="24"/>
        </w:rPr>
        <w:t xml:space="preserve">(Buković </w:t>
      </w:r>
      <w:r w:rsidR="00E27BE1" w:rsidRPr="005D3E24">
        <w:rPr>
          <w:rFonts w:ascii="Times New Roman" w:hAnsi="Times New Roman" w:cs="Times New Roman"/>
          <w:sz w:val="24"/>
          <w:szCs w:val="24"/>
        </w:rPr>
        <w:t>202</w:t>
      </w:r>
      <w:r w:rsidR="00E27BE1">
        <w:rPr>
          <w:rFonts w:ascii="Times New Roman" w:hAnsi="Times New Roman" w:cs="Times New Roman"/>
          <w:sz w:val="24"/>
          <w:szCs w:val="24"/>
        </w:rPr>
        <w:t>2</w:t>
      </w:r>
      <w:r w:rsidR="00604D02" w:rsidRPr="005D3E24">
        <w:rPr>
          <w:rFonts w:ascii="Times New Roman" w:hAnsi="Times New Roman" w:cs="Times New Roman"/>
          <w:sz w:val="24"/>
          <w:szCs w:val="24"/>
        </w:rPr>
        <w:t>)</w:t>
      </w:r>
      <w:bookmarkStart w:id="136" w:name="__Fieldmark__1194_241477822"/>
      <w:bookmarkStart w:id="137" w:name="__Fieldmark__7609_374039044"/>
      <w:bookmarkStart w:id="138" w:name="__Fieldmark__1725_2097806078"/>
      <w:bookmarkEnd w:id="135"/>
      <w:bookmarkEnd w:id="136"/>
      <w:bookmarkEnd w:id="137"/>
      <w:bookmarkEnd w:id="138"/>
      <w:r w:rsidR="00604D02" w:rsidRPr="005D3E24">
        <w:rPr>
          <w:rFonts w:ascii="Times New Roman" w:hAnsi="Times New Roman" w:cs="Times New Roman"/>
          <w:sz w:val="24"/>
          <w:szCs w:val="24"/>
        </w:rPr>
        <w:t xml:space="preserve">. Such support for the CROQF, shown by key non-state actors, is indicative of their attitude towards the existing policy coordination mechanisms. In the context of the CCTC, it could also represent a pragmatic acceptance of </w:t>
      </w:r>
      <w:r w:rsidR="0006578F" w:rsidRPr="005D3E24">
        <w:rPr>
          <w:rFonts w:ascii="Times New Roman" w:hAnsi="Times New Roman" w:cs="Times New Roman"/>
          <w:sz w:val="24"/>
          <w:szCs w:val="24"/>
        </w:rPr>
        <w:t xml:space="preserve">necessary change </w:t>
      </w:r>
      <w:r w:rsidR="00604D02" w:rsidRPr="005D3E24">
        <w:rPr>
          <w:rFonts w:ascii="Times New Roman" w:hAnsi="Times New Roman" w:cs="Times New Roman"/>
          <w:sz w:val="24"/>
          <w:szCs w:val="24"/>
        </w:rPr>
        <w:t xml:space="preserve">which </w:t>
      </w:r>
      <w:r w:rsidR="0006578F" w:rsidRPr="005D3E24">
        <w:rPr>
          <w:rFonts w:ascii="Times New Roman" w:hAnsi="Times New Roman" w:cs="Times New Roman"/>
          <w:sz w:val="24"/>
          <w:szCs w:val="24"/>
        </w:rPr>
        <w:t xml:space="preserve">could </w:t>
      </w:r>
      <w:r w:rsidR="00604D02" w:rsidRPr="005D3E24">
        <w:rPr>
          <w:rFonts w:ascii="Times New Roman" w:hAnsi="Times New Roman" w:cs="Times New Roman"/>
          <w:sz w:val="24"/>
          <w:szCs w:val="24"/>
        </w:rPr>
        <w:t>nevertheless be made compatible with existing organi</w:t>
      </w:r>
      <w:r w:rsidR="00466C74">
        <w:rPr>
          <w:rFonts w:ascii="Times New Roman" w:hAnsi="Times New Roman" w:cs="Times New Roman"/>
          <w:sz w:val="24"/>
          <w:szCs w:val="24"/>
        </w:rPr>
        <w:t>z</w:t>
      </w:r>
      <w:r w:rsidR="00604D02" w:rsidRPr="005D3E24">
        <w:rPr>
          <w:rFonts w:ascii="Times New Roman" w:hAnsi="Times New Roman" w:cs="Times New Roman"/>
          <w:sz w:val="24"/>
          <w:szCs w:val="24"/>
        </w:rPr>
        <w:t xml:space="preserve">ational interests. </w:t>
      </w:r>
    </w:p>
    <w:p w14:paraId="74A28885" w14:textId="7CEA7AAB" w:rsidR="003D0269" w:rsidRPr="005D3E24" w:rsidRDefault="00604D02" w:rsidP="005D3E24">
      <w:pPr>
        <w:spacing w:after="0" w:line="480" w:lineRule="auto"/>
        <w:ind w:firstLine="284"/>
        <w:jc w:val="both"/>
        <w:rPr>
          <w:rFonts w:ascii="Times New Roman" w:hAnsi="Times New Roman" w:cs="Times New Roman"/>
          <w:sz w:val="24"/>
          <w:szCs w:val="24"/>
        </w:rPr>
      </w:pPr>
      <w:r w:rsidRPr="005D3E24">
        <w:rPr>
          <w:rFonts w:ascii="Times New Roman" w:hAnsi="Times New Roman" w:cs="Times New Roman"/>
          <w:sz w:val="24"/>
          <w:szCs w:val="24"/>
        </w:rPr>
        <w:t>Furthermore, some actors are clear winners of the ‘CROQF reshuffle’. The ministry in charge of labour is one such ‘winner’, as it established itself as a key stakeholder in the skill production process through its coordinating role in developing occupational standards and its control of the EU funding underpinning</w:t>
      </w:r>
      <w:r w:rsidR="00217395" w:rsidRPr="005D3E24">
        <w:rPr>
          <w:rFonts w:ascii="Times New Roman" w:hAnsi="Times New Roman" w:cs="Times New Roman"/>
          <w:sz w:val="24"/>
          <w:szCs w:val="24"/>
        </w:rPr>
        <w:t xml:space="preserve"> the reform process</w:t>
      </w:r>
      <w:r w:rsidRPr="005D3E24">
        <w:rPr>
          <w:rFonts w:ascii="Times New Roman" w:hAnsi="Times New Roman" w:cs="Times New Roman"/>
          <w:sz w:val="24"/>
          <w:szCs w:val="24"/>
        </w:rPr>
        <w:t xml:space="preserve">. Similarly, the state agency in charge of VET (AVETAE) strengthened its role — not just as administrator of the EU funding propelling the CROQF reforms, but also as a driving force of its implementation in the VET domain. </w:t>
      </w:r>
      <w:r w:rsidR="00217395" w:rsidRPr="005D3E24">
        <w:rPr>
          <w:rFonts w:ascii="Times New Roman" w:hAnsi="Times New Roman" w:cs="Times New Roman"/>
          <w:sz w:val="24"/>
          <w:szCs w:val="24"/>
        </w:rPr>
        <w:t xml:space="preserve"> Yet despite </w:t>
      </w:r>
      <w:r w:rsidR="00217395" w:rsidRPr="005D3E24">
        <w:rPr>
          <w:rFonts w:ascii="Times New Roman" w:hAnsi="Times New Roman" w:cs="Times New Roman"/>
          <w:sz w:val="24"/>
          <w:szCs w:val="24"/>
        </w:rPr>
        <w:lastRenderedPageBreak/>
        <w:t xml:space="preserve">this, it </w:t>
      </w:r>
      <w:r w:rsidR="00056373" w:rsidRPr="005D3E24">
        <w:rPr>
          <w:rFonts w:ascii="Times New Roman" w:hAnsi="Times New Roman" w:cs="Times New Roman"/>
          <w:sz w:val="24"/>
          <w:szCs w:val="24"/>
        </w:rPr>
        <w:t>does not seem that the</w:t>
      </w:r>
      <w:r w:rsidRPr="005D3E24">
        <w:rPr>
          <w:rFonts w:ascii="Times New Roman" w:hAnsi="Times New Roman" w:cs="Times New Roman"/>
          <w:sz w:val="24"/>
          <w:szCs w:val="24"/>
        </w:rPr>
        <w:t xml:space="preserve"> introduction of CROQF has </w:t>
      </w:r>
      <w:r w:rsidR="00056373" w:rsidRPr="005D3E24">
        <w:rPr>
          <w:rFonts w:ascii="Times New Roman" w:hAnsi="Times New Roman" w:cs="Times New Roman"/>
          <w:sz w:val="24"/>
          <w:szCs w:val="24"/>
        </w:rPr>
        <w:t xml:space="preserve">diminished </w:t>
      </w:r>
      <w:r w:rsidRPr="005D3E24">
        <w:rPr>
          <w:rFonts w:ascii="Times New Roman" w:hAnsi="Times New Roman" w:cs="Times New Roman"/>
          <w:sz w:val="24"/>
          <w:szCs w:val="24"/>
        </w:rPr>
        <w:t>the position of the ministry in charge of education</w:t>
      </w:r>
      <w:r w:rsidR="004036FC" w:rsidRPr="005D3E24">
        <w:rPr>
          <w:rFonts w:ascii="Times New Roman" w:hAnsi="Times New Roman" w:cs="Times New Roman"/>
          <w:sz w:val="24"/>
          <w:szCs w:val="24"/>
        </w:rPr>
        <w:t>, as this ministry retained</w:t>
      </w:r>
      <w:r w:rsidRPr="005D3E24">
        <w:rPr>
          <w:rFonts w:ascii="Times New Roman" w:hAnsi="Times New Roman" w:cs="Times New Roman"/>
          <w:sz w:val="24"/>
          <w:szCs w:val="24"/>
        </w:rPr>
        <w:t xml:space="preserve"> </w:t>
      </w:r>
      <w:r w:rsidRPr="005D3E24">
        <w:rPr>
          <w:rFonts w:ascii="Times New Roman" w:hAnsi="Times New Roman" w:cs="Times New Roman"/>
          <w:i/>
          <w:iCs/>
          <w:sz w:val="24"/>
          <w:szCs w:val="24"/>
        </w:rPr>
        <w:t xml:space="preserve">de facto </w:t>
      </w:r>
      <w:r w:rsidRPr="005D3E24">
        <w:rPr>
          <w:rFonts w:ascii="Times New Roman" w:hAnsi="Times New Roman" w:cs="Times New Roman"/>
          <w:sz w:val="24"/>
          <w:szCs w:val="24"/>
        </w:rPr>
        <w:t xml:space="preserve">veto actor position, </w:t>
      </w:r>
      <w:r w:rsidR="004036FC" w:rsidRPr="005D3E24">
        <w:rPr>
          <w:rFonts w:ascii="Times New Roman" w:hAnsi="Times New Roman" w:cs="Times New Roman"/>
          <w:sz w:val="24"/>
          <w:szCs w:val="24"/>
        </w:rPr>
        <w:t>while becoming</w:t>
      </w:r>
      <w:r w:rsidRPr="005D3E24">
        <w:rPr>
          <w:rFonts w:ascii="Times New Roman" w:hAnsi="Times New Roman" w:cs="Times New Roman"/>
          <w:sz w:val="24"/>
          <w:szCs w:val="24"/>
        </w:rPr>
        <w:t xml:space="preserve"> significant beneficiary of EU funding pertaining to CROQF. </w:t>
      </w:r>
    </w:p>
    <w:p w14:paraId="1A5C4FED" w14:textId="7331CF2B" w:rsidR="003D0269" w:rsidRPr="005D3E24" w:rsidRDefault="00604D02" w:rsidP="007513D7">
      <w:pPr>
        <w:spacing w:after="0" w:line="480" w:lineRule="auto"/>
        <w:ind w:firstLine="284"/>
        <w:jc w:val="both"/>
        <w:rPr>
          <w:rFonts w:ascii="Times New Roman" w:hAnsi="Times New Roman" w:cs="Times New Roman"/>
          <w:sz w:val="24"/>
          <w:szCs w:val="24"/>
        </w:rPr>
      </w:pPr>
      <w:r w:rsidRPr="005D3E24">
        <w:rPr>
          <w:rFonts w:ascii="Times New Roman" w:hAnsi="Times New Roman" w:cs="Times New Roman"/>
          <w:sz w:val="24"/>
          <w:szCs w:val="24"/>
        </w:rPr>
        <w:t xml:space="preserve">Finally, it is interesting to regard </w:t>
      </w:r>
      <w:r w:rsidR="00317A8D" w:rsidRPr="005D3E24">
        <w:rPr>
          <w:rFonts w:ascii="Times New Roman" w:hAnsi="Times New Roman" w:cs="Times New Roman"/>
          <w:sz w:val="24"/>
          <w:szCs w:val="24"/>
        </w:rPr>
        <w:t xml:space="preserve">the </w:t>
      </w:r>
      <w:r w:rsidRPr="005D3E24">
        <w:rPr>
          <w:rFonts w:ascii="Times New Roman" w:hAnsi="Times New Roman" w:cs="Times New Roman"/>
          <w:sz w:val="24"/>
          <w:szCs w:val="24"/>
        </w:rPr>
        <w:t>policy re-framing of the CROQF as a key instrument of ‘aligning education with the labour market needs’ in the 2010s. This discourse has mostly replaced the initial focus on defining learning outcomes, their levels, and positioning of educational programmes within the qualification framework. The period over which the CROQF was taking shape in Croatia was defined by protracted economic crises</w:t>
      </w:r>
      <w:r w:rsidR="004036FC" w:rsidRPr="005D3E24">
        <w:rPr>
          <w:rFonts w:ascii="Times New Roman" w:hAnsi="Times New Roman" w:cs="Times New Roman"/>
          <w:sz w:val="24"/>
          <w:szCs w:val="24"/>
        </w:rPr>
        <w:t xml:space="preserve"> and</w:t>
      </w:r>
      <w:r w:rsidRPr="005D3E24">
        <w:rPr>
          <w:rFonts w:ascii="Times New Roman" w:hAnsi="Times New Roman" w:cs="Times New Roman"/>
          <w:sz w:val="24"/>
          <w:szCs w:val="24"/>
        </w:rPr>
        <w:t xml:space="preserve"> high rates of unemployment. Croatian policymakers were immersed in a frenetic search for mechanisms to alleviate this problem, with the idea of supply-side intervention gaining traction. This was </w:t>
      </w:r>
      <w:r w:rsidR="00317A8D" w:rsidRPr="005D3E24">
        <w:rPr>
          <w:rFonts w:ascii="Times New Roman" w:hAnsi="Times New Roman" w:cs="Times New Roman"/>
          <w:sz w:val="24"/>
          <w:szCs w:val="24"/>
        </w:rPr>
        <w:t xml:space="preserve">similar to </w:t>
      </w:r>
      <w:r w:rsidRPr="005D3E24">
        <w:rPr>
          <w:rFonts w:ascii="Times New Roman" w:hAnsi="Times New Roman" w:cs="Times New Roman"/>
          <w:sz w:val="24"/>
          <w:szCs w:val="24"/>
        </w:rPr>
        <w:t xml:space="preserve">the paradigm promoted at the time by the European Commission within the 2010 </w:t>
      </w:r>
      <w:r w:rsidRPr="005D3E24">
        <w:rPr>
          <w:rFonts w:ascii="Times New Roman" w:hAnsi="Times New Roman" w:cs="Times New Roman"/>
          <w:i/>
          <w:iCs/>
          <w:sz w:val="24"/>
          <w:szCs w:val="24"/>
        </w:rPr>
        <w:t xml:space="preserve">Agenda for </w:t>
      </w:r>
      <w:r w:rsidR="00677F3F" w:rsidRPr="005D3E24">
        <w:rPr>
          <w:rFonts w:ascii="Times New Roman" w:hAnsi="Times New Roman" w:cs="Times New Roman"/>
          <w:i/>
          <w:iCs/>
          <w:sz w:val="24"/>
          <w:szCs w:val="24"/>
        </w:rPr>
        <w:t>N</w:t>
      </w:r>
      <w:r w:rsidRPr="005D3E24">
        <w:rPr>
          <w:rFonts w:ascii="Times New Roman" w:hAnsi="Times New Roman" w:cs="Times New Roman"/>
          <w:i/>
          <w:iCs/>
          <w:sz w:val="24"/>
          <w:szCs w:val="24"/>
        </w:rPr>
        <w:t xml:space="preserve">ew </w:t>
      </w:r>
      <w:r w:rsidR="00677F3F" w:rsidRPr="005D3E24">
        <w:rPr>
          <w:rFonts w:ascii="Times New Roman" w:hAnsi="Times New Roman" w:cs="Times New Roman"/>
          <w:i/>
          <w:iCs/>
          <w:sz w:val="24"/>
          <w:szCs w:val="24"/>
        </w:rPr>
        <w:t>S</w:t>
      </w:r>
      <w:r w:rsidRPr="005D3E24">
        <w:rPr>
          <w:rFonts w:ascii="Times New Roman" w:hAnsi="Times New Roman" w:cs="Times New Roman"/>
          <w:i/>
          <w:iCs/>
          <w:sz w:val="24"/>
          <w:szCs w:val="24"/>
        </w:rPr>
        <w:t xml:space="preserve">kills and </w:t>
      </w:r>
      <w:r w:rsidR="00677F3F" w:rsidRPr="005D3E24">
        <w:rPr>
          <w:rFonts w:ascii="Times New Roman" w:hAnsi="Times New Roman" w:cs="Times New Roman"/>
          <w:i/>
          <w:iCs/>
          <w:sz w:val="24"/>
          <w:szCs w:val="24"/>
        </w:rPr>
        <w:t>J</w:t>
      </w:r>
      <w:r w:rsidRPr="005D3E24">
        <w:rPr>
          <w:rFonts w:ascii="Times New Roman" w:hAnsi="Times New Roman" w:cs="Times New Roman"/>
          <w:i/>
          <w:iCs/>
          <w:sz w:val="24"/>
          <w:szCs w:val="24"/>
        </w:rPr>
        <w:t>obs</w:t>
      </w:r>
      <w:r w:rsidRPr="005D3E24">
        <w:rPr>
          <w:rFonts w:ascii="Times New Roman" w:hAnsi="Times New Roman" w:cs="Times New Roman"/>
          <w:sz w:val="24"/>
          <w:szCs w:val="24"/>
        </w:rPr>
        <w:t xml:space="preserve">. </w:t>
      </w:r>
      <w:r w:rsidR="0093593A" w:rsidRPr="005D3E24">
        <w:rPr>
          <w:rFonts w:ascii="Times New Roman" w:hAnsi="Times New Roman" w:cs="Times New Roman"/>
          <w:sz w:val="24"/>
          <w:szCs w:val="24"/>
        </w:rPr>
        <w:t>The f</w:t>
      </w:r>
      <w:r w:rsidRPr="005D3E24">
        <w:rPr>
          <w:rFonts w:ascii="Times New Roman" w:hAnsi="Times New Roman" w:cs="Times New Roman"/>
          <w:sz w:val="24"/>
          <w:szCs w:val="24"/>
        </w:rPr>
        <w:t>inalization of the CROQF occurred against the backdrop of Croatia</w:t>
      </w:r>
      <w:r w:rsidR="00677F3F">
        <w:rPr>
          <w:rFonts w:ascii="Times New Roman" w:hAnsi="Times New Roman" w:cs="Times New Roman"/>
          <w:sz w:val="24"/>
          <w:szCs w:val="24"/>
        </w:rPr>
        <w:t>’</w:t>
      </w:r>
      <w:r w:rsidRPr="005D3E24">
        <w:rPr>
          <w:rFonts w:ascii="Times New Roman" w:hAnsi="Times New Roman" w:cs="Times New Roman"/>
          <w:sz w:val="24"/>
          <w:szCs w:val="24"/>
        </w:rPr>
        <w:t>s accession to the EU in 2013</w:t>
      </w:r>
      <w:r w:rsidR="0093593A" w:rsidRPr="005D3E24">
        <w:rPr>
          <w:rFonts w:ascii="Times New Roman" w:hAnsi="Times New Roman" w:cs="Times New Roman"/>
          <w:sz w:val="24"/>
          <w:szCs w:val="24"/>
        </w:rPr>
        <w:t>, which also marked</w:t>
      </w:r>
      <w:r w:rsidRPr="005D3E24">
        <w:rPr>
          <w:rFonts w:ascii="Times New Roman" w:hAnsi="Times New Roman" w:cs="Times New Roman"/>
          <w:sz w:val="24"/>
          <w:szCs w:val="24"/>
        </w:rPr>
        <w:t xml:space="preserve"> the high point of European influence on national policymaking. Within this context, (re)aligning the CROQF with EU-</w:t>
      </w:r>
      <w:r w:rsidR="0093593A" w:rsidRPr="005D3E24">
        <w:rPr>
          <w:rFonts w:ascii="Times New Roman" w:hAnsi="Times New Roman" w:cs="Times New Roman"/>
          <w:sz w:val="24"/>
          <w:szCs w:val="24"/>
        </w:rPr>
        <w:t xml:space="preserve"> policy priorities</w:t>
      </w:r>
      <w:r w:rsidRPr="005D3E24">
        <w:rPr>
          <w:rFonts w:ascii="Times New Roman" w:hAnsi="Times New Roman" w:cs="Times New Roman"/>
          <w:sz w:val="24"/>
          <w:szCs w:val="24"/>
        </w:rPr>
        <w:t xml:space="preserve"> provided an acceptable roadmap and allowed for </w:t>
      </w:r>
      <w:r w:rsidR="00317A8D" w:rsidRPr="005D3E24">
        <w:rPr>
          <w:rFonts w:ascii="Times New Roman" w:hAnsi="Times New Roman" w:cs="Times New Roman"/>
          <w:sz w:val="24"/>
          <w:szCs w:val="24"/>
        </w:rPr>
        <w:t xml:space="preserve">substantial </w:t>
      </w:r>
      <w:r w:rsidRPr="005D3E24">
        <w:rPr>
          <w:rFonts w:ascii="Times New Roman" w:hAnsi="Times New Roman" w:cs="Times New Roman"/>
          <w:sz w:val="24"/>
          <w:szCs w:val="24"/>
        </w:rPr>
        <w:t>fund</w:t>
      </w:r>
      <w:r w:rsidR="007513D7">
        <w:rPr>
          <w:rFonts w:ascii="Times New Roman" w:hAnsi="Times New Roman" w:cs="Times New Roman"/>
          <w:sz w:val="24"/>
          <w:szCs w:val="24"/>
        </w:rPr>
        <w:t>s</w:t>
      </w:r>
      <w:r w:rsidR="00317A8D" w:rsidRPr="005D3E24">
        <w:rPr>
          <w:rFonts w:ascii="Times New Roman" w:hAnsi="Times New Roman" w:cs="Times New Roman"/>
          <w:sz w:val="24"/>
          <w:szCs w:val="24"/>
        </w:rPr>
        <w:t xml:space="preserve"> to be drawn down from EU sources</w:t>
      </w:r>
      <w:r w:rsidRPr="005D3E24">
        <w:rPr>
          <w:rFonts w:ascii="Times New Roman" w:hAnsi="Times New Roman" w:cs="Times New Roman"/>
          <w:sz w:val="24"/>
          <w:szCs w:val="24"/>
        </w:rPr>
        <w:t>.</w:t>
      </w:r>
    </w:p>
    <w:p w14:paraId="62730971" w14:textId="77777777" w:rsidR="003D0269" w:rsidRPr="005D3E24" w:rsidRDefault="003D0269" w:rsidP="007513D7">
      <w:pPr>
        <w:spacing w:after="0" w:line="480" w:lineRule="auto"/>
        <w:jc w:val="both"/>
        <w:rPr>
          <w:rFonts w:ascii="Times New Roman" w:hAnsi="Times New Roman" w:cs="Times New Roman"/>
          <w:b/>
          <w:bCs/>
          <w:sz w:val="24"/>
          <w:szCs w:val="24"/>
        </w:rPr>
      </w:pPr>
    </w:p>
    <w:p w14:paraId="723E25CA" w14:textId="77777777" w:rsidR="003D0269" w:rsidRPr="005D3E24" w:rsidRDefault="00604D02" w:rsidP="007513D7">
      <w:pPr>
        <w:spacing w:after="0" w:line="480" w:lineRule="auto"/>
        <w:jc w:val="both"/>
        <w:rPr>
          <w:rFonts w:ascii="Times New Roman" w:hAnsi="Times New Roman" w:cs="Times New Roman"/>
          <w:b/>
          <w:bCs/>
          <w:sz w:val="24"/>
          <w:szCs w:val="24"/>
        </w:rPr>
      </w:pPr>
      <w:r w:rsidRPr="005D3E24">
        <w:rPr>
          <w:rFonts w:ascii="Times New Roman" w:hAnsi="Times New Roman" w:cs="Times New Roman"/>
          <w:b/>
          <w:bCs/>
          <w:sz w:val="24"/>
          <w:szCs w:val="24"/>
        </w:rPr>
        <w:t>Conclusions</w:t>
      </w:r>
    </w:p>
    <w:p w14:paraId="553CAC3E" w14:textId="4BFC7070" w:rsidR="003D0269" w:rsidRPr="005D3E24" w:rsidRDefault="00604D02" w:rsidP="007513D7">
      <w:pPr>
        <w:spacing w:after="0" w:line="480" w:lineRule="auto"/>
        <w:jc w:val="both"/>
        <w:rPr>
          <w:rFonts w:ascii="Times New Roman" w:hAnsi="Times New Roman" w:cs="Times New Roman"/>
          <w:sz w:val="24"/>
          <w:szCs w:val="24"/>
        </w:rPr>
      </w:pPr>
      <w:r w:rsidRPr="005D3E24">
        <w:rPr>
          <w:rFonts w:ascii="Times New Roman" w:hAnsi="Times New Roman" w:cs="Times New Roman"/>
          <w:sz w:val="24"/>
          <w:szCs w:val="24"/>
        </w:rPr>
        <w:t xml:space="preserve">The analysis in this </w:t>
      </w:r>
      <w:r w:rsidR="008A354C" w:rsidRPr="005D3E24">
        <w:rPr>
          <w:rFonts w:ascii="Times New Roman" w:hAnsi="Times New Roman" w:cs="Times New Roman"/>
          <w:sz w:val="24"/>
          <w:szCs w:val="24"/>
        </w:rPr>
        <w:t>chapter</w:t>
      </w:r>
      <w:r w:rsidRPr="005D3E24">
        <w:rPr>
          <w:rFonts w:ascii="Times New Roman" w:hAnsi="Times New Roman" w:cs="Times New Roman"/>
          <w:sz w:val="24"/>
          <w:szCs w:val="24"/>
        </w:rPr>
        <w:t xml:space="preserve"> validates our basic assumption that </w:t>
      </w:r>
      <w:r w:rsidRPr="005D3E24">
        <w:rPr>
          <w:rFonts w:ascii="Times New Roman" w:hAnsi="Times New Roman" w:cs="Times New Roman"/>
          <w:i/>
          <w:sz w:val="24"/>
          <w:szCs w:val="24"/>
        </w:rPr>
        <w:t>Europeanization</w:t>
      </w:r>
      <w:r w:rsidRPr="007513D7">
        <w:rPr>
          <w:rFonts w:ascii="Times New Roman" w:hAnsi="Times New Roman" w:cs="Times New Roman"/>
          <w:iCs/>
          <w:sz w:val="24"/>
          <w:szCs w:val="24"/>
        </w:rPr>
        <w:t xml:space="preserve"> </w:t>
      </w:r>
      <w:r w:rsidRPr="007513D7">
        <w:rPr>
          <w:rFonts w:ascii="Times New Roman" w:hAnsi="Times New Roman" w:cs="Times New Roman"/>
          <w:i/>
          <w:sz w:val="24"/>
          <w:szCs w:val="24"/>
        </w:rPr>
        <w:t>mattered</w:t>
      </w:r>
      <w:r w:rsidRPr="005D3E24">
        <w:rPr>
          <w:rFonts w:ascii="Times New Roman" w:hAnsi="Times New Roman" w:cs="Times New Roman"/>
          <w:sz w:val="24"/>
          <w:szCs w:val="24"/>
        </w:rPr>
        <w:t xml:space="preserve"> </w:t>
      </w:r>
      <w:r w:rsidR="008A354C" w:rsidRPr="005D3E24">
        <w:rPr>
          <w:rFonts w:ascii="Times New Roman" w:hAnsi="Times New Roman" w:cs="Times New Roman"/>
          <w:sz w:val="24"/>
          <w:szCs w:val="24"/>
        </w:rPr>
        <w:t xml:space="preserve">with respect to the </w:t>
      </w:r>
      <w:r w:rsidRPr="005D3E24">
        <w:rPr>
          <w:rFonts w:ascii="Times New Roman" w:hAnsi="Times New Roman" w:cs="Times New Roman"/>
          <w:sz w:val="24"/>
          <w:szCs w:val="24"/>
        </w:rPr>
        <w:t>development of the Croatian</w:t>
      </w:r>
      <w:r w:rsidR="008A354C" w:rsidRPr="005D3E24">
        <w:rPr>
          <w:rFonts w:ascii="Times New Roman" w:hAnsi="Times New Roman" w:cs="Times New Roman"/>
          <w:sz w:val="24"/>
          <w:szCs w:val="24"/>
        </w:rPr>
        <w:t xml:space="preserve"> system of</w:t>
      </w:r>
      <w:r w:rsidRPr="005D3E24">
        <w:rPr>
          <w:rFonts w:ascii="Times New Roman" w:hAnsi="Times New Roman" w:cs="Times New Roman"/>
          <w:sz w:val="24"/>
          <w:szCs w:val="24"/>
        </w:rPr>
        <w:t xml:space="preserve"> skill</w:t>
      </w:r>
      <w:r w:rsidR="008A354C" w:rsidRPr="005D3E24">
        <w:rPr>
          <w:rFonts w:ascii="Times New Roman" w:hAnsi="Times New Roman" w:cs="Times New Roman"/>
          <w:sz w:val="24"/>
          <w:szCs w:val="24"/>
        </w:rPr>
        <w:t xml:space="preserve"> formation</w:t>
      </w:r>
      <w:r w:rsidRPr="005D3E24">
        <w:rPr>
          <w:rFonts w:ascii="Times New Roman" w:hAnsi="Times New Roman" w:cs="Times New Roman"/>
          <w:sz w:val="24"/>
          <w:szCs w:val="24"/>
        </w:rPr>
        <w:t xml:space="preserve">. </w:t>
      </w:r>
      <w:r w:rsidR="008A354C" w:rsidRPr="005D3E24">
        <w:rPr>
          <w:rFonts w:ascii="Times New Roman" w:hAnsi="Times New Roman" w:cs="Times New Roman"/>
          <w:sz w:val="24"/>
          <w:szCs w:val="24"/>
        </w:rPr>
        <w:t>However, i</w:t>
      </w:r>
      <w:r w:rsidRPr="005D3E24">
        <w:rPr>
          <w:rFonts w:ascii="Times New Roman" w:hAnsi="Times New Roman" w:cs="Times New Roman"/>
          <w:sz w:val="24"/>
          <w:szCs w:val="24"/>
        </w:rPr>
        <w:t xml:space="preserve">t </w:t>
      </w:r>
      <w:r w:rsidR="008A354C" w:rsidRPr="005D3E24">
        <w:rPr>
          <w:rFonts w:ascii="Times New Roman" w:hAnsi="Times New Roman" w:cs="Times New Roman"/>
          <w:sz w:val="24"/>
          <w:szCs w:val="24"/>
        </w:rPr>
        <w:t xml:space="preserve">suggests a highly </w:t>
      </w:r>
      <w:r w:rsidRPr="005D3E24">
        <w:rPr>
          <w:rFonts w:ascii="Times New Roman" w:hAnsi="Times New Roman" w:cs="Times New Roman"/>
          <w:sz w:val="24"/>
          <w:szCs w:val="24"/>
        </w:rPr>
        <w:t>specific type of impact</w:t>
      </w:r>
      <w:r w:rsidR="005D6B8A" w:rsidRPr="005D3E24">
        <w:rPr>
          <w:rFonts w:ascii="Times New Roman" w:hAnsi="Times New Roman" w:cs="Times New Roman"/>
          <w:sz w:val="24"/>
          <w:szCs w:val="24"/>
        </w:rPr>
        <w:t>, as</w:t>
      </w:r>
      <w:r w:rsidR="005D6B8A" w:rsidRPr="005D3E24" w:rsidDel="005D6B8A">
        <w:rPr>
          <w:rFonts w:ascii="Times New Roman" w:hAnsi="Times New Roman" w:cs="Times New Roman"/>
          <w:sz w:val="24"/>
          <w:szCs w:val="24"/>
        </w:rPr>
        <w:t xml:space="preserve"> </w:t>
      </w:r>
      <w:r w:rsidRPr="005D3E24">
        <w:rPr>
          <w:rFonts w:ascii="Times New Roman" w:hAnsi="Times New Roman" w:cs="Times New Roman"/>
          <w:sz w:val="24"/>
          <w:szCs w:val="24"/>
        </w:rPr>
        <w:t>Europeani</w:t>
      </w:r>
      <w:r w:rsidR="007513D7">
        <w:rPr>
          <w:rFonts w:ascii="Times New Roman" w:hAnsi="Times New Roman" w:cs="Times New Roman"/>
          <w:sz w:val="24"/>
          <w:szCs w:val="24"/>
        </w:rPr>
        <w:t>z</w:t>
      </w:r>
      <w:r w:rsidRPr="005D3E24">
        <w:rPr>
          <w:rFonts w:ascii="Times New Roman" w:hAnsi="Times New Roman" w:cs="Times New Roman"/>
          <w:sz w:val="24"/>
          <w:szCs w:val="24"/>
        </w:rPr>
        <w:t>ation seems to function as a sort of ‘great accelerator’</w:t>
      </w:r>
      <w:r w:rsidR="008A354C" w:rsidRPr="005D3E24">
        <w:rPr>
          <w:rFonts w:ascii="Times New Roman" w:hAnsi="Times New Roman" w:cs="Times New Roman"/>
          <w:sz w:val="24"/>
          <w:szCs w:val="24"/>
        </w:rPr>
        <w:t>:</w:t>
      </w:r>
      <w:r w:rsidRPr="005D3E24">
        <w:rPr>
          <w:rFonts w:ascii="Times New Roman" w:hAnsi="Times New Roman" w:cs="Times New Roman"/>
          <w:sz w:val="24"/>
          <w:szCs w:val="24"/>
        </w:rPr>
        <w:t xml:space="preserve"> </w:t>
      </w:r>
      <w:r w:rsidR="008A354C" w:rsidRPr="005D3E24">
        <w:rPr>
          <w:rFonts w:ascii="Times New Roman" w:hAnsi="Times New Roman" w:cs="Times New Roman"/>
          <w:sz w:val="24"/>
          <w:szCs w:val="24"/>
        </w:rPr>
        <w:t xml:space="preserve">It </w:t>
      </w:r>
      <w:r w:rsidRPr="005D3E24">
        <w:rPr>
          <w:rFonts w:ascii="Times New Roman" w:hAnsi="Times New Roman" w:cs="Times New Roman"/>
          <w:sz w:val="24"/>
          <w:szCs w:val="24"/>
        </w:rPr>
        <w:t>pushe</w:t>
      </w:r>
      <w:r w:rsidR="008A354C" w:rsidRPr="005D3E24">
        <w:rPr>
          <w:rFonts w:ascii="Times New Roman" w:hAnsi="Times New Roman" w:cs="Times New Roman"/>
          <w:sz w:val="24"/>
          <w:szCs w:val="24"/>
        </w:rPr>
        <w:t>d</w:t>
      </w:r>
      <w:r w:rsidRPr="005D3E24">
        <w:rPr>
          <w:rFonts w:ascii="Times New Roman" w:hAnsi="Times New Roman" w:cs="Times New Roman"/>
          <w:sz w:val="24"/>
          <w:szCs w:val="24"/>
        </w:rPr>
        <w:t xml:space="preserve"> national policymakers to respond to policy initiatives coming from the EU level, ‘playing catch-up’ with more developed member states</w:t>
      </w:r>
      <w:r w:rsidR="008A354C" w:rsidRPr="005D3E24">
        <w:rPr>
          <w:rFonts w:ascii="Times New Roman" w:hAnsi="Times New Roman" w:cs="Times New Roman"/>
          <w:sz w:val="24"/>
          <w:szCs w:val="24"/>
        </w:rPr>
        <w:t xml:space="preserve">, whilst also providing a selection </w:t>
      </w:r>
      <w:r w:rsidRPr="005D3E24">
        <w:rPr>
          <w:rFonts w:ascii="Times New Roman" w:hAnsi="Times New Roman" w:cs="Times New Roman"/>
          <w:sz w:val="24"/>
          <w:szCs w:val="24"/>
        </w:rPr>
        <w:t xml:space="preserve">of ‘oven ready’ institutional solutions, often coupled with considerable funding </w:t>
      </w:r>
      <w:r w:rsidR="008A354C" w:rsidRPr="005D3E24">
        <w:rPr>
          <w:rFonts w:ascii="Times New Roman" w:hAnsi="Times New Roman" w:cs="Times New Roman"/>
          <w:sz w:val="24"/>
          <w:szCs w:val="24"/>
        </w:rPr>
        <w:t xml:space="preserve">to </w:t>
      </w:r>
      <w:r w:rsidRPr="005D3E24">
        <w:rPr>
          <w:rFonts w:ascii="Times New Roman" w:hAnsi="Times New Roman" w:cs="Times New Roman"/>
          <w:sz w:val="24"/>
          <w:szCs w:val="24"/>
        </w:rPr>
        <w:t>facilitate their implementation.</w:t>
      </w:r>
    </w:p>
    <w:p w14:paraId="13A8BC17" w14:textId="6D800330" w:rsidR="003D0269" w:rsidRPr="005D3E24" w:rsidRDefault="00604D02" w:rsidP="005D3E24">
      <w:pPr>
        <w:spacing w:after="0" w:line="480" w:lineRule="auto"/>
        <w:ind w:firstLine="284"/>
        <w:jc w:val="both"/>
        <w:rPr>
          <w:rFonts w:ascii="Times New Roman" w:hAnsi="Times New Roman" w:cs="Times New Roman"/>
          <w:sz w:val="24"/>
          <w:szCs w:val="24"/>
        </w:rPr>
      </w:pPr>
      <w:r w:rsidRPr="005D3E24">
        <w:rPr>
          <w:rFonts w:ascii="Times New Roman" w:hAnsi="Times New Roman" w:cs="Times New Roman"/>
          <w:sz w:val="24"/>
          <w:szCs w:val="24"/>
        </w:rPr>
        <w:lastRenderedPageBreak/>
        <w:t xml:space="preserve">However, it would be wrong to assume that this has led to significant structural changes in Croatia’s skill production regime. In the terminology of historical institutionalism, the dominant mechanism of institutional change, from Croatian independence onwards, was the layering, rather than displacement, of existing arrangements </w:t>
      </w:r>
      <w:bookmarkStart w:id="139" w:name="__Fieldmark__1976_131419714"/>
      <w:r w:rsidRPr="005D3E24">
        <w:rPr>
          <w:rFonts w:ascii="Times New Roman" w:hAnsi="Times New Roman" w:cs="Times New Roman"/>
          <w:sz w:val="24"/>
          <w:szCs w:val="24"/>
        </w:rPr>
        <w:t>(</w:t>
      </w:r>
      <w:bookmarkStart w:id="140" w:name="__Fieldmark__1759_2097806078"/>
      <w:r w:rsidRPr="005D3E24">
        <w:rPr>
          <w:rFonts w:ascii="Times New Roman" w:hAnsi="Times New Roman" w:cs="Times New Roman"/>
          <w:sz w:val="24"/>
          <w:szCs w:val="24"/>
        </w:rPr>
        <w:t>F</w:t>
      </w:r>
      <w:bookmarkStart w:id="141" w:name="__Fieldmark__1222_241477822"/>
      <w:r w:rsidRPr="005D3E24">
        <w:rPr>
          <w:rFonts w:ascii="Times New Roman" w:hAnsi="Times New Roman" w:cs="Times New Roman"/>
          <w:sz w:val="24"/>
          <w:szCs w:val="24"/>
        </w:rPr>
        <w:t>i</w:t>
      </w:r>
      <w:bookmarkStart w:id="142" w:name="__Fieldmark__7844_374039044"/>
      <w:r w:rsidRPr="005D3E24">
        <w:rPr>
          <w:rFonts w:ascii="Times New Roman" w:hAnsi="Times New Roman" w:cs="Times New Roman"/>
          <w:sz w:val="24"/>
          <w:szCs w:val="24"/>
        </w:rPr>
        <w:t>oretos et al. 2016</w:t>
      </w:r>
      <w:r w:rsidR="00677F3F">
        <w:rPr>
          <w:rFonts w:ascii="Times New Roman" w:hAnsi="Times New Roman" w:cs="Times New Roman"/>
          <w:sz w:val="24"/>
          <w:szCs w:val="24"/>
        </w:rPr>
        <w:t>,</w:t>
      </w:r>
      <w:r w:rsidRPr="005D3E24">
        <w:rPr>
          <w:rFonts w:ascii="Times New Roman" w:hAnsi="Times New Roman" w:cs="Times New Roman"/>
          <w:sz w:val="24"/>
          <w:szCs w:val="24"/>
        </w:rPr>
        <w:t xml:space="preserve"> 8–13)</w:t>
      </w:r>
      <w:bookmarkEnd w:id="139"/>
      <w:bookmarkEnd w:id="140"/>
      <w:bookmarkEnd w:id="141"/>
      <w:bookmarkEnd w:id="142"/>
      <w:r w:rsidRPr="005D3E24">
        <w:rPr>
          <w:rFonts w:ascii="Times New Roman" w:hAnsi="Times New Roman" w:cs="Times New Roman"/>
          <w:iCs/>
          <w:sz w:val="24"/>
          <w:szCs w:val="24"/>
        </w:rPr>
        <w:t xml:space="preserve">. The analysis of both cases in this chapter — the development of apprenticeships and the introduction of CROQF — indicates that, despite their ambition, they did little more than create additional institutional layers over what is still a predominately statist regime. In the case of apprenticeships, they remain </w:t>
      </w:r>
      <w:r w:rsidR="005D6B8A" w:rsidRPr="005D3E24">
        <w:rPr>
          <w:rFonts w:ascii="Times New Roman" w:hAnsi="Times New Roman" w:cs="Times New Roman"/>
          <w:iCs/>
          <w:sz w:val="24"/>
          <w:szCs w:val="24"/>
        </w:rPr>
        <w:t>constrained to</w:t>
      </w:r>
      <w:r w:rsidRPr="005D3E24">
        <w:rPr>
          <w:rFonts w:ascii="Times New Roman" w:hAnsi="Times New Roman" w:cs="Times New Roman"/>
          <w:iCs/>
          <w:sz w:val="24"/>
          <w:szCs w:val="24"/>
        </w:rPr>
        <w:t xml:space="preserve"> a sort of ‘corporatist oasis’ of </w:t>
      </w:r>
      <w:r w:rsidR="00CB48E9" w:rsidRPr="005D3E24">
        <w:rPr>
          <w:rFonts w:ascii="Times New Roman" w:hAnsi="Times New Roman" w:cs="Times New Roman"/>
          <w:iCs/>
          <w:sz w:val="24"/>
          <w:szCs w:val="24"/>
        </w:rPr>
        <w:t>training</w:t>
      </w:r>
      <w:r w:rsidRPr="005D3E24">
        <w:rPr>
          <w:rFonts w:ascii="Times New Roman" w:hAnsi="Times New Roman" w:cs="Times New Roman"/>
          <w:iCs/>
          <w:sz w:val="24"/>
          <w:szCs w:val="24"/>
        </w:rPr>
        <w:t xml:space="preserve"> for </w:t>
      </w:r>
      <w:r w:rsidR="00CB48E9" w:rsidRPr="005D3E24">
        <w:rPr>
          <w:rFonts w:ascii="Times New Roman" w:hAnsi="Times New Roman" w:cs="Times New Roman"/>
          <w:iCs/>
          <w:sz w:val="24"/>
          <w:szCs w:val="24"/>
        </w:rPr>
        <w:t>skilled trades occupations</w:t>
      </w:r>
      <w:r w:rsidRPr="005D3E24">
        <w:rPr>
          <w:rFonts w:ascii="Times New Roman" w:hAnsi="Times New Roman" w:cs="Times New Roman"/>
          <w:iCs/>
          <w:sz w:val="24"/>
          <w:szCs w:val="24"/>
        </w:rPr>
        <w:t xml:space="preserve"> — failing to expand into other educational</w:t>
      </w:r>
      <w:r w:rsidR="008A354C" w:rsidRPr="005D3E24">
        <w:rPr>
          <w:rFonts w:ascii="Times New Roman" w:hAnsi="Times New Roman" w:cs="Times New Roman"/>
          <w:iCs/>
          <w:sz w:val="24"/>
          <w:szCs w:val="24"/>
        </w:rPr>
        <w:t xml:space="preserve"> </w:t>
      </w:r>
      <w:r w:rsidR="00CE0BC4">
        <w:rPr>
          <w:rFonts w:ascii="Times New Roman" w:hAnsi="Times New Roman" w:cs="Times New Roman"/>
          <w:iCs/>
          <w:sz w:val="24"/>
          <w:szCs w:val="24"/>
        </w:rPr>
        <w:t>track</w:t>
      </w:r>
      <w:r w:rsidR="008A354C" w:rsidRPr="005D3E24">
        <w:rPr>
          <w:rFonts w:ascii="Times New Roman" w:hAnsi="Times New Roman" w:cs="Times New Roman"/>
          <w:iCs/>
          <w:sz w:val="24"/>
          <w:szCs w:val="24"/>
        </w:rPr>
        <w:t>s</w:t>
      </w:r>
      <w:r w:rsidRPr="005D3E24">
        <w:rPr>
          <w:rFonts w:ascii="Times New Roman" w:hAnsi="Times New Roman" w:cs="Times New Roman"/>
          <w:iCs/>
          <w:sz w:val="24"/>
          <w:szCs w:val="24"/>
        </w:rPr>
        <w:t>, while remaining precariously sensitive to the central state</w:t>
      </w:r>
      <w:r w:rsidR="007513D7">
        <w:rPr>
          <w:rFonts w:ascii="Times New Roman" w:hAnsi="Times New Roman" w:cs="Times New Roman"/>
          <w:iCs/>
          <w:sz w:val="24"/>
          <w:szCs w:val="24"/>
        </w:rPr>
        <w:t>’</w:t>
      </w:r>
      <w:r w:rsidRPr="005D3E24">
        <w:rPr>
          <w:rFonts w:ascii="Times New Roman" w:hAnsi="Times New Roman" w:cs="Times New Roman"/>
          <w:iCs/>
          <w:sz w:val="24"/>
          <w:szCs w:val="24"/>
        </w:rPr>
        <w:t xml:space="preserve">s unilateralism (making it resemble outsourcing, more than fully-fledged corporatism). In the case of the CROQF, it has thus far done little to ‘align education to the labour market needs’ — and, while not necessarily representing a zero-sum game, it most certainly has not weakened the central state vis-a-vis other actors. </w:t>
      </w:r>
    </w:p>
    <w:p w14:paraId="4B44719B" w14:textId="5B76A063" w:rsidR="003D0269" w:rsidRPr="005D3E24" w:rsidRDefault="00604D02" w:rsidP="005D3E24">
      <w:pPr>
        <w:spacing w:after="0" w:line="480" w:lineRule="auto"/>
        <w:ind w:firstLine="284"/>
        <w:jc w:val="both"/>
        <w:rPr>
          <w:rFonts w:ascii="Times New Roman" w:hAnsi="Times New Roman" w:cs="Times New Roman"/>
          <w:sz w:val="24"/>
          <w:szCs w:val="24"/>
        </w:rPr>
      </w:pPr>
      <w:r w:rsidRPr="005D3E24">
        <w:rPr>
          <w:rFonts w:ascii="Times New Roman" w:hAnsi="Times New Roman" w:cs="Times New Roman"/>
          <w:iCs/>
          <w:sz w:val="24"/>
          <w:szCs w:val="24"/>
        </w:rPr>
        <w:t xml:space="preserve">There are at least three overlapping lines of argument that may be helpful in interpreting such outcomes. </w:t>
      </w:r>
      <w:r w:rsidRPr="005D3E24">
        <w:rPr>
          <w:rFonts w:ascii="Times New Roman" w:hAnsi="Times New Roman" w:cs="Times New Roman"/>
          <w:i/>
          <w:iCs/>
          <w:sz w:val="24"/>
          <w:szCs w:val="24"/>
        </w:rPr>
        <w:t>The first</w:t>
      </w:r>
      <w:r w:rsidRPr="005D3E24">
        <w:rPr>
          <w:rFonts w:ascii="Times New Roman" w:hAnsi="Times New Roman" w:cs="Times New Roman"/>
          <w:iCs/>
          <w:sz w:val="24"/>
          <w:szCs w:val="24"/>
        </w:rPr>
        <w:t xml:space="preserve"> is the classic path dependence argument, with the institutional state-building setup of the early 1990s proving difficult to disrupt in the later phases of development. The economic and political transition, having taken place under conditions of war, created a lasting framework with a powerful central state that can always function as a ‘veto actor</w:t>
      </w:r>
      <w:r w:rsidR="00677F3F">
        <w:rPr>
          <w:rFonts w:ascii="Times New Roman" w:hAnsi="Times New Roman" w:cs="Times New Roman"/>
          <w:iCs/>
          <w:sz w:val="24"/>
          <w:szCs w:val="24"/>
        </w:rPr>
        <w:t>.’</w:t>
      </w:r>
      <w:r w:rsidRPr="005D3E24">
        <w:rPr>
          <w:rFonts w:ascii="Times New Roman" w:hAnsi="Times New Roman" w:cs="Times New Roman"/>
          <w:iCs/>
          <w:sz w:val="24"/>
          <w:szCs w:val="24"/>
        </w:rPr>
        <w:t xml:space="preserve"> Yet, compared to the statist regimes of developed industrial democracies like Sweden or France, the Croatian state acts as a successful policy instigator and implementer</w:t>
      </w:r>
      <w:r w:rsidR="008A354C" w:rsidRPr="005D3E24">
        <w:rPr>
          <w:rFonts w:ascii="Times New Roman" w:hAnsi="Times New Roman" w:cs="Times New Roman"/>
          <w:iCs/>
          <w:sz w:val="24"/>
          <w:szCs w:val="24"/>
        </w:rPr>
        <w:t xml:space="preserve"> less frequently</w:t>
      </w:r>
      <w:r w:rsidRPr="005D3E24">
        <w:rPr>
          <w:rFonts w:ascii="Times New Roman" w:hAnsi="Times New Roman" w:cs="Times New Roman"/>
          <w:iCs/>
          <w:sz w:val="24"/>
          <w:szCs w:val="24"/>
        </w:rPr>
        <w:t xml:space="preserve">. </w:t>
      </w:r>
      <w:r w:rsidRPr="005D3E24">
        <w:rPr>
          <w:rFonts w:ascii="Times New Roman" w:hAnsi="Times New Roman" w:cs="Times New Roman"/>
          <w:i/>
          <w:iCs/>
          <w:sz w:val="24"/>
          <w:szCs w:val="24"/>
        </w:rPr>
        <w:t>The second</w:t>
      </w:r>
      <w:r w:rsidRPr="005D3E24">
        <w:rPr>
          <w:rFonts w:ascii="Times New Roman" w:hAnsi="Times New Roman" w:cs="Times New Roman"/>
          <w:iCs/>
          <w:sz w:val="24"/>
          <w:szCs w:val="24"/>
        </w:rPr>
        <w:t xml:space="preserve"> line of argument is that non-state actors — particularly employers</w:t>
      </w:r>
      <w:r w:rsidR="007513D7">
        <w:rPr>
          <w:rFonts w:ascii="Times New Roman" w:hAnsi="Times New Roman" w:cs="Times New Roman"/>
          <w:iCs/>
          <w:sz w:val="24"/>
          <w:szCs w:val="24"/>
        </w:rPr>
        <w:t>’</w:t>
      </w:r>
      <w:r w:rsidRPr="005D3E24">
        <w:rPr>
          <w:rFonts w:ascii="Times New Roman" w:hAnsi="Times New Roman" w:cs="Times New Roman"/>
          <w:iCs/>
          <w:sz w:val="24"/>
          <w:szCs w:val="24"/>
        </w:rPr>
        <w:t xml:space="preserve"> associations — generally lack the interest, ambition, and capacity to assume a greater role in skill formation and thus to challenge central state dominance. The absence of functioning mechanisms of social dialogue presents an additional difficulty. </w:t>
      </w:r>
      <w:r w:rsidRPr="005D3E24">
        <w:rPr>
          <w:rFonts w:ascii="Times New Roman" w:hAnsi="Times New Roman" w:cs="Times New Roman"/>
          <w:i/>
          <w:iCs/>
          <w:sz w:val="24"/>
          <w:szCs w:val="24"/>
        </w:rPr>
        <w:t>Third</w:t>
      </w:r>
      <w:r w:rsidRPr="005D3E24">
        <w:rPr>
          <w:rFonts w:ascii="Times New Roman" w:hAnsi="Times New Roman" w:cs="Times New Roman"/>
          <w:iCs/>
          <w:sz w:val="24"/>
          <w:szCs w:val="24"/>
        </w:rPr>
        <w:t xml:space="preserve">, there are several structural elements that must be taken into consideration when </w:t>
      </w:r>
      <w:r w:rsidRPr="005D3E24">
        <w:rPr>
          <w:rFonts w:ascii="Times New Roman" w:hAnsi="Times New Roman" w:cs="Times New Roman"/>
          <w:iCs/>
          <w:sz w:val="24"/>
          <w:szCs w:val="24"/>
        </w:rPr>
        <w:lastRenderedPageBreak/>
        <w:t>analysing the development of the Croatian skill production regime. Throughout the 1990–2015 period, Croatian employers enjoyed an abundance of qualified labour,</w:t>
      </w:r>
      <w:r w:rsidR="00482B27" w:rsidRPr="005D3E24">
        <w:rPr>
          <w:rFonts w:ascii="Times New Roman" w:hAnsi="Times New Roman" w:cs="Times New Roman"/>
          <w:iCs/>
          <w:sz w:val="24"/>
          <w:szCs w:val="24"/>
        </w:rPr>
        <w:t xml:space="preserve"> this being</w:t>
      </w:r>
      <w:r w:rsidRPr="005D3E24">
        <w:rPr>
          <w:rFonts w:ascii="Times New Roman" w:hAnsi="Times New Roman" w:cs="Times New Roman"/>
          <w:iCs/>
          <w:sz w:val="24"/>
          <w:szCs w:val="24"/>
        </w:rPr>
        <w:t xml:space="preserve"> particularly</w:t>
      </w:r>
      <w:r w:rsidR="00482B27" w:rsidRPr="005D3E24">
        <w:rPr>
          <w:rFonts w:ascii="Times New Roman" w:hAnsi="Times New Roman" w:cs="Times New Roman"/>
          <w:iCs/>
          <w:sz w:val="24"/>
          <w:szCs w:val="24"/>
        </w:rPr>
        <w:t xml:space="preserve"> the case  in the context of</w:t>
      </w:r>
      <w:r w:rsidRPr="005D3E24">
        <w:rPr>
          <w:rFonts w:ascii="Times New Roman" w:hAnsi="Times New Roman" w:cs="Times New Roman"/>
          <w:iCs/>
          <w:sz w:val="24"/>
          <w:szCs w:val="24"/>
        </w:rPr>
        <w:t xml:space="preserve"> industrial decline and </w:t>
      </w:r>
      <w:r w:rsidR="00482B27" w:rsidRPr="005D3E24">
        <w:rPr>
          <w:rFonts w:ascii="Times New Roman" w:hAnsi="Times New Roman" w:cs="Times New Roman"/>
          <w:iCs/>
          <w:sz w:val="24"/>
          <w:szCs w:val="24"/>
        </w:rPr>
        <w:t xml:space="preserve">the </w:t>
      </w:r>
      <w:r w:rsidRPr="005D3E24">
        <w:rPr>
          <w:rFonts w:ascii="Times New Roman" w:hAnsi="Times New Roman" w:cs="Times New Roman"/>
          <w:iCs/>
          <w:sz w:val="24"/>
          <w:szCs w:val="24"/>
        </w:rPr>
        <w:t xml:space="preserve">rise of </w:t>
      </w:r>
      <w:r w:rsidR="00482B27" w:rsidRPr="005D3E24">
        <w:rPr>
          <w:rFonts w:ascii="Times New Roman" w:hAnsi="Times New Roman" w:cs="Times New Roman"/>
          <w:iCs/>
          <w:sz w:val="24"/>
          <w:szCs w:val="24"/>
        </w:rPr>
        <w:t xml:space="preserve">unskilled and semi-skilled roles within </w:t>
      </w:r>
      <w:r w:rsidRPr="005D3E24">
        <w:rPr>
          <w:rFonts w:ascii="Times New Roman" w:hAnsi="Times New Roman" w:cs="Times New Roman"/>
          <w:iCs/>
          <w:sz w:val="24"/>
          <w:szCs w:val="24"/>
        </w:rPr>
        <w:t xml:space="preserve">personal and distributive services revolving around tourism. In this context, it is not surprising that the focus was primarily on cost reduction rather than on innovation and the development of human capital. </w:t>
      </w:r>
      <w:r w:rsidR="008A354C" w:rsidRPr="005D3E24">
        <w:rPr>
          <w:rFonts w:ascii="Times New Roman" w:hAnsi="Times New Roman" w:cs="Times New Roman"/>
          <w:iCs/>
          <w:sz w:val="24"/>
          <w:szCs w:val="24"/>
        </w:rPr>
        <w:t xml:space="preserve">Demographic change has had little impact on </w:t>
      </w:r>
      <w:r w:rsidRPr="005D3E24">
        <w:rPr>
          <w:rFonts w:ascii="Times New Roman" w:hAnsi="Times New Roman" w:cs="Times New Roman"/>
          <w:iCs/>
          <w:sz w:val="24"/>
          <w:szCs w:val="24"/>
        </w:rPr>
        <w:t xml:space="preserve">this situation, because the decreasing  </w:t>
      </w:r>
      <w:r w:rsidR="008A354C" w:rsidRPr="005D3E24">
        <w:rPr>
          <w:rFonts w:ascii="Times New Roman" w:hAnsi="Times New Roman" w:cs="Times New Roman"/>
          <w:iCs/>
          <w:sz w:val="24"/>
          <w:szCs w:val="24"/>
        </w:rPr>
        <w:t xml:space="preserve"> number </w:t>
      </w:r>
      <w:r w:rsidRPr="005D3E24">
        <w:rPr>
          <w:rFonts w:ascii="Times New Roman" w:hAnsi="Times New Roman" w:cs="Times New Roman"/>
          <w:iCs/>
          <w:sz w:val="24"/>
          <w:szCs w:val="24"/>
        </w:rPr>
        <w:t xml:space="preserve">of young people enrolling in three-year VET programmes was </w:t>
      </w:r>
      <w:r w:rsidR="008A354C" w:rsidRPr="005D3E24">
        <w:rPr>
          <w:rFonts w:ascii="Times New Roman" w:hAnsi="Times New Roman" w:cs="Times New Roman"/>
          <w:iCs/>
          <w:sz w:val="24"/>
          <w:szCs w:val="24"/>
        </w:rPr>
        <w:t xml:space="preserve">offset </w:t>
      </w:r>
      <w:r w:rsidRPr="005D3E24">
        <w:rPr>
          <w:rFonts w:ascii="Times New Roman" w:hAnsi="Times New Roman" w:cs="Times New Roman"/>
          <w:iCs/>
          <w:sz w:val="24"/>
          <w:szCs w:val="24"/>
        </w:rPr>
        <w:t xml:space="preserve">by immigration from neighbouring countries (Bosnia and Herzegovina, </w:t>
      </w:r>
      <w:r w:rsidR="008A354C" w:rsidRPr="005D3E24">
        <w:rPr>
          <w:rFonts w:ascii="Times New Roman" w:hAnsi="Times New Roman" w:cs="Times New Roman"/>
          <w:iCs/>
          <w:sz w:val="24"/>
          <w:szCs w:val="24"/>
        </w:rPr>
        <w:t xml:space="preserve">in </w:t>
      </w:r>
      <w:r w:rsidRPr="005D3E24">
        <w:rPr>
          <w:rFonts w:ascii="Times New Roman" w:hAnsi="Times New Roman" w:cs="Times New Roman"/>
          <w:iCs/>
          <w:sz w:val="24"/>
          <w:szCs w:val="24"/>
        </w:rPr>
        <w:t>particular).</w:t>
      </w:r>
    </w:p>
    <w:p w14:paraId="1BC72A71" w14:textId="57E1BC31" w:rsidR="003D0269" w:rsidRPr="005D3E24" w:rsidRDefault="00604D02" w:rsidP="005D3E24">
      <w:pPr>
        <w:spacing w:after="0" w:line="480" w:lineRule="auto"/>
        <w:ind w:firstLine="284"/>
        <w:jc w:val="both"/>
        <w:rPr>
          <w:rFonts w:ascii="Times New Roman" w:hAnsi="Times New Roman" w:cs="Times New Roman"/>
          <w:sz w:val="24"/>
          <w:szCs w:val="24"/>
        </w:rPr>
      </w:pPr>
      <w:r w:rsidRPr="005D3E24">
        <w:rPr>
          <w:rFonts w:ascii="Times New Roman" w:hAnsi="Times New Roman" w:cs="Times New Roman"/>
          <w:iCs/>
          <w:sz w:val="24"/>
          <w:szCs w:val="24"/>
        </w:rPr>
        <w:t xml:space="preserve">All these factors have created a dynamic of ‘constant change that changes precious little’. Yet two important developments </w:t>
      </w:r>
      <w:r w:rsidR="00482B27" w:rsidRPr="005D3E24">
        <w:rPr>
          <w:rFonts w:ascii="Times New Roman" w:hAnsi="Times New Roman" w:cs="Times New Roman"/>
          <w:iCs/>
          <w:sz w:val="24"/>
          <w:szCs w:val="24"/>
        </w:rPr>
        <w:t xml:space="preserve">are now evident, which have </w:t>
      </w:r>
      <w:r w:rsidRPr="005D3E24">
        <w:rPr>
          <w:rFonts w:ascii="Times New Roman" w:hAnsi="Times New Roman" w:cs="Times New Roman"/>
          <w:iCs/>
          <w:sz w:val="24"/>
          <w:szCs w:val="24"/>
        </w:rPr>
        <w:t xml:space="preserve">some potential to disrupt the </w:t>
      </w:r>
      <w:r w:rsidRPr="005D3E24">
        <w:rPr>
          <w:rFonts w:ascii="Times New Roman" w:hAnsi="Times New Roman" w:cs="Times New Roman"/>
          <w:i/>
          <w:sz w:val="24"/>
          <w:szCs w:val="24"/>
        </w:rPr>
        <w:t>status quo</w:t>
      </w:r>
      <w:r w:rsidRPr="005D3E24">
        <w:rPr>
          <w:rFonts w:ascii="Times New Roman" w:hAnsi="Times New Roman" w:cs="Times New Roman"/>
          <w:iCs/>
          <w:sz w:val="24"/>
          <w:szCs w:val="24"/>
        </w:rPr>
        <w:t>. First, labour market shortages — which have impacted numerous sectors of the economy — seem to have changed the climate within a segment of the employer community, in terms of their willingness to take a more active role in skill formation. As a corollary, the CCE’s interest in developing and deploying infrastructure to support workplace training in the initial VET may be a game changer. Yet the recent rise</w:t>
      </w:r>
      <w:r w:rsidR="00BE4296" w:rsidRPr="005D3E24">
        <w:rPr>
          <w:rFonts w:ascii="Times New Roman" w:hAnsi="Times New Roman" w:cs="Times New Roman"/>
          <w:iCs/>
          <w:sz w:val="24"/>
          <w:szCs w:val="24"/>
        </w:rPr>
        <w:t xml:space="preserve"> in</w:t>
      </w:r>
      <w:r w:rsidRPr="005D3E24">
        <w:rPr>
          <w:rFonts w:ascii="Times New Roman" w:hAnsi="Times New Roman" w:cs="Times New Roman"/>
          <w:iCs/>
          <w:sz w:val="24"/>
          <w:szCs w:val="24"/>
        </w:rPr>
        <w:t xml:space="preserve"> unemployment, due to the COVID-19-induced recession in 2020, may tempt many Croatian businesses to proceed with business as usual — pushing for (further) flexibili</w:t>
      </w:r>
      <w:r w:rsidR="00A33B42">
        <w:rPr>
          <w:rFonts w:ascii="Times New Roman" w:hAnsi="Times New Roman" w:cs="Times New Roman"/>
          <w:iCs/>
          <w:sz w:val="24"/>
          <w:szCs w:val="24"/>
        </w:rPr>
        <w:t>z</w:t>
      </w:r>
      <w:r w:rsidRPr="005D3E24">
        <w:rPr>
          <w:rFonts w:ascii="Times New Roman" w:hAnsi="Times New Roman" w:cs="Times New Roman"/>
          <w:iCs/>
          <w:sz w:val="24"/>
          <w:szCs w:val="24"/>
        </w:rPr>
        <w:t>ation of the labour code and tax exemptions, rather than more demanding reforms such as the development of a joint infrastructure to deliver skill formation. Second, it remains to be seen whether substantial sums invested via EU funding (both in CROQF and in VET) will have a substantive impact on the workings of the skill production regime. In theory, it could improve the quality of the initial VET teaching through equipment modernisation; incentivise a further expansion of workplace learning; and support the development of standards and curricula.</w:t>
      </w:r>
      <w:r w:rsidR="00745BFE" w:rsidRPr="005D3E24">
        <w:rPr>
          <w:rFonts w:ascii="Times New Roman" w:hAnsi="Times New Roman" w:cs="Times New Roman"/>
          <w:iCs/>
          <w:sz w:val="24"/>
          <w:szCs w:val="24"/>
        </w:rPr>
        <w:t xml:space="preserve"> Finally, </w:t>
      </w:r>
      <w:r w:rsidR="00234DCC" w:rsidRPr="005D3E24">
        <w:rPr>
          <w:rFonts w:ascii="Times New Roman" w:hAnsi="Times New Roman" w:cs="Times New Roman"/>
          <w:iCs/>
          <w:sz w:val="24"/>
          <w:szCs w:val="24"/>
        </w:rPr>
        <w:t xml:space="preserve">the </w:t>
      </w:r>
      <w:r w:rsidR="00745BFE" w:rsidRPr="005D3E24">
        <w:rPr>
          <w:rFonts w:ascii="Times New Roman" w:hAnsi="Times New Roman" w:cs="Times New Roman"/>
          <w:iCs/>
          <w:sz w:val="24"/>
          <w:szCs w:val="24"/>
        </w:rPr>
        <w:t xml:space="preserve">effects of the recent amendments of the Act on CROQF should be monitored and assessed. They are likely to be successful in resolving the institutional gridlock and improving the average </w:t>
      </w:r>
      <w:r w:rsidR="00745BFE" w:rsidRPr="005D3E24">
        <w:rPr>
          <w:rFonts w:ascii="Times New Roman" w:hAnsi="Times New Roman" w:cs="Times New Roman"/>
          <w:iCs/>
          <w:sz w:val="24"/>
          <w:szCs w:val="24"/>
        </w:rPr>
        <w:lastRenderedPageBreak/>
        <w:t xml:space="preserve">time needed for approving new occupational and/or qualification standards. However, they will probably </w:t>
      </w:r>
      <w:r w:rsidR="00234DCC" w:rsidRPr="005D3E24">
        <w:rPr>
          <w:rFonts w:ascii="Times New Roman" w:hAnsi="Times New Roman" w:cs="Times New Roman"/>
          <w:iCs/>
          <w:sz w:val="24"/>
          <w:szCs w:val="24"/>
        </w:rPr>
        <w:t xml:space="preserve">further </w:t>
      </w:r>
      <w:r w:rsidR="00745BFE" w:rsidRPr="005D3E24">
        <w:rPr>
          <w:rFonts w:ascii="Times New Roman" w:hAnsi="Times New Roman" w:cs="Times New Roman"/>
          <w:iCs/>
          <w:sz w:val="24"/>
          <w:szCs w:val="24"/>
        </w:rPr>
        <w:t xml:space="preserve">consolidate the statist nature of the Croatian skill-production regime, </w:t>
      </w:r>
      <w:r w:rsidR="00A33B42">
        <w:rPr>
          <w:rFonts w:ascii="Times New Roman" w:hAnsi="Times New Roman" w:cs="Times New Roman"/>
          <w:iCs/>
          <w:sz w:val="24"/>
          <w:szCs w:val="24"/>
        </w:rPr>
        <w:t>raising</w:t>
      </w:r>
      <w:r w:rsidR="00745BFE" w:rsidRPr="005D3E24">
        <w:rPr>
          <w:rFonts w:ascii="Times New Roman" w:hAnsi="Times New Roman" w:cs="Times New Roman"/>
          <w:iCs/>
          <w:sz w:val="24"/>
          <w:szCs w:val="24"/>
        </w:rPr>
        <w:t xml:space="preserve"> broader questions </w:t>
      </w:r>
      <w:r w:rsidR="00A33B42">
        <w:rPr>
          <w:rFonts w:ascii="Times New Roman" w:hAnsi="Times New Roman" w:cs="Times New Roman"/>
          <w:iCs/>
          <w:sz w:val="24"/>
          <w:szCs w:val="24"/>
        </w:rPr>
        <w:t>over</w:t>
      </w:r>
      <w:r w:rsidR="00745BFE" w:rsidRPr="005D3E24">
        <w:rPr>
          <w:rFonts w:ascii="Times New Roman" w:hAnsi="Times New Roman" w:cs="Times New Roman"/>
          <w:iCs/>
          <w:sz w:val="24"/>
          <w:szCs w:val="24"/>
        </w:rPr>
        <w:t xml:space="preserve"> </w:t>
      </w:r>
      <w:r w:rsidR="00BE4296" w:rsidRPr="005D3E24">
        <w:rPr>
          <w:rFonts w:ascii="Times New Roman" w:hAnsi="Times New Roman" w:cs="Times New Roman"/>
          <w:iCs/>
          <w:sz w:val="24"/>
          <w:szCs w:val="24"/>
        </w:rPr>
        <w:t xml:space="preserve">strategic directions </w:t>
      </w:r>
      <w:r w:rsidR="00745BFE" w:rsidRPr="005D3E24">
        <w:rPr>
          <w:rFonts w:ascii="Times New Roman" w:hAnsi="Times New Roman" w:cs="Times New Roman"/>
          <w:iCs/>
          <w:sz w:val="24"/>
          <w:szCs w:val="24"/>
        </w:rPr>
        <w:t xml:space="preserve">within this policy domain.  </w:t>
      </w:r>
      <w:r w:rsidRPr="005D3E24">
        <w:rPr>
          <w:rFonts w:ascii="Times New Roman" w:hAnsi="Times New Roman" w:cs="Times New Roman"/>
          <w:iCs/>
          <w:sz w:val="24"/>
          <w:szCs w:val="24"/>
        </w:rPr>
        <w:t xml:space="preserve"> </w:t>
      </w:r>
    </w:p>
    <w:p w14:paraId="42B3F071" w14:textId="77777777" w:rsidR="003D0269" w:rsidRPr="005D3E24" w:rsidRDefault="003D0269">
      <w:pPr>
        <w:tabs>
          <w:tab w:val="left" w:pos="6375"/>
        </w:tabs>
        <w:rPr>
          <w:rFonts w:ascii="Times New Roman" w:hAnsi="Times New Roman" w:cs="Times New Roman"/>
          <w:sz w:val="24"/>
          <w:szCs w:val="24"/>
        </w:rPr>
      </w:pPr>
    </w:p>
    <w:p w14:paraId="0C1BEC28" w14:textId="77777777" w:rsidR="003D0269" w:rsidRPr="005D3E24" w:rsidRDefault="00604D02" w:rsidP="005D3E24">
      <w:pPr>
        <w:tabs>
          <w:tab w:val="left" w:pos="6375"/>
        </w:tabs>
        <w:spacing w:after="0" w:line="480" w:lineRule="auto"/>
        <w:ind w:left="284" w:hanging="284"/>
        <w:rPr>
          <w:rFonts w:ascii="Times New Roman" w:hAnsi="Times New Roman" w:cs="Times New Roman"/>
          <w:b/>
          <w:sz w:val="24"/>
          <w:szCs w:val="24"/>
        </w:rPr>
      </w:pPr>
      <w:r w:rsidRPr="005D3E24">
        <w:rPr>
          <w:rFonts w:ascii="Times New Roman" w:hAnsi="Times New Roman" w:cs="Times New Roman"/>
          <w:b/>
          <w:sz w:val="24"/>
          <w:szCs w:val="24"/>
        </w:rPr>
        <w:t>References</w:t>
      </w:r>
      <w:r w:rsidRPr="005D3E24">
        <w:rPr>
          <w:rFonts w:ascii="Times New Roman" w:hAnsi="Times New Roman" w:cs="Times New Roman"/>
          <w:b/>
          <w:sz w:val="24"/>
          <w:szCs w:val="24"/>
        </w:rPr>
        <w:tab/>
      </w:r>
    </w:p>
    <w:p w14:paraId="69E4FA79" w14:textId="4EB1220B" w:rsidR="003D0269" w:rsidRPr="005D3E24" w:rsidRDefault="00604D02" w:rsidP="005D3E24">
      <w:pPr>
        <w:pStyle w:val="Bibliography"/>
        <w:ind w:left="284" w:hanging="284"/>
        <w:rPr>
          <w:rFonts w:ascii="Times New Roman" w:hAnsi="Times New Roman" w:cs="Times New Roman"/>
          <w:sz w:val="24"/>
          <w:szCs w:val="24"/>
        </w:rPr>
      </w:pPr>
      <w:r w:rsidRPr="005D3E24">
        <w:rPr>
          <w:rFonts w:ascii="Times New Roman" w:hAnsi="Times New Roman" w:cs="Times New Roman"/>
          <w:sz w:val="24"/>
          <w:szCs w:val="24"/>
        </w:rPr>
        <w:t xml:space="preserve">Babić, Z., Matković, T., &amp; Šošić, V. (2007). </w:t>
      </w:r>
      <w:r w:rsidRPr="005D3E24">
        <w:rPr>
          <w:rFonts w:ascii="Times New Roman" w:hAnsi="Times New Roman" w:cs="Times New Roman"/>
          <w:sz w:val="24"/>
          <w:szCs w:val="24"/>
          <w:lang w:eastAsia="en-GB"/>
        </w:rPr>
        <w:t>‘</w:t>
      </w:r>
      <w:r w:rsidRPr="005D3E24">
        <w:rPr>
          <w:rFonts w:ascii="Times New Roman" w:hAnsi="Times New Roman" w:cs="Times New Roman"/>
          <w:sz w:val="24"/>
          <w:szCs w:val="24"/>
        </w:rPr>
        <w:t>Structural Changes in Tertiary Education and Impacts on the Labor Market’</w:t>
      </w:r>
      <w:r w:rsidR="00F44D53" w:rsidRPr="005D3E24">
        <w:rPr>
          <w:rFonts w:ascii="Times New Roman" w:hAnsi="Times New Roman" w:cs="Times New Roman"/>
          <w:sz w:val="24"/>
          <w:szCs w:val="24"/>
        </w:rPr>
        <w:t>,</w:t>
      </w:r>
      <w:r w:rsidRPr="005D3E24">
        <w:rPr>
          <w:rFonts w:ascii="Times New Roman" w:hAnsi="Times New Roman" w:cs="Times New Roman"/>
          <w:sz w:val="24"/>
          <w:szCs w:val="24"/>
        </w:rPr>
        <w:t xml:space="preserve"> </w:t>
      </w:r>
      <w:r w:rsidRPr="005D3E24">
        <w:rPr>
          <w:rFonts w:ascii="Times New Roman" w:hAnsi="Times New Roman" w:cs="Times New Roman"/>
          <w:i/>
          <w:sz w:val="24"/>
          <w:szCs w:val="24"/>
        </w:rPr>
        <w:t>Croatian Economic Survey</w:t>
      </w:r>
      <w:r w:rsidRPr="005D3E24">
        <w:rPr>
          <w:rFonts w:ascii="Times New Roman" w:hAnsi="Times New Roman" w:cs="Times New Roman"/>
          <w:sz w:val="24"/>
          <w:szCs w:val="24"/>
        </w:rPr>
        <w:t>, 9, 125–165.</w:t>
      </w:r>
    </w:p>
    <w:p w14:paraId="1069F596" w14:textId="75FEFA5E" w:rsidR="003D0269" w:rsidRPr="005D3E24" w:rsidRDefault="00604D02" w:rsidP="005D3E24">
      <w:pPr>
        <w:pStyle w:val="Bibliography"/>
        <w:ind w:left="284" w:hanging="284"/>
        <w:rPr>
          <w:rFonts w:ascii="Times New Roman" w:hAnsi="Times New Roman" w:cs="Times New Roman"/>
          <w:sz w:val="24"/>
          <w:szCs w:val="24"/>
        </w:rPr>
      </w:pPr>
      <w:r w:rsidRPr="005D3E24">
        <w:rPr>
          <w:rFonts w:ascii="Times New Roman" w:hAnsi="Times New Roman" w:cs="Times New Roman"/>
          <w:sz w:val="24"/>
          <w:szCs w:val="24"/>
        </w:rPr>
        <w:t xml:space="preserve">Baćević, J. (2016). ‘Education, conflict and class reproduction in socialist Yugoslavia’. In R. Archer, I. Duda &amp; P. Stubbs (eds) </w:t>
      </w:r>
      <w:r w:rsidRPr="005D3E24">
        <w:rPr>
          <w:rFonts w:ascii="Times New Roman" w:hAnsi="Times New Roman" w:cs="Times New Roman"/>
          <w:i/>
          <w:sz w:val="24"/>
          <w:szCs w:val="24"/>
        </w:rPr>
        <w:t>Social inequalities and discontent in Yugoslav socialism</w:t>
      </w:r>
      <w:r w:rsidRPr="005D3E24">
        <w:rPr>
          <w:rFonts w:ascii="Times New Roman" w:hAnsi="Times New Roman" w:cs="Times New Roman"/>
          <w:sz w:val="24"/>
          <w:szCs w:val="24"/>
        </w:rPr>
        <w:t xml:space="preserve">, pp. 89–106. </w:t>
      </w:r>
      <w:r w:rsidR="00AC5EB5" w:rsidRPr="0067066E">
        <w:rPr>
          <w:rFonts w:ascii="Times New Roman" w:hAnsi="Times New Roman" w:cs="Times New Roman"/>
          <w:sz w:val="24"/>
          <w:szCs w:val="24"/>
        </w:rPr>
        <w:t xml:space="preserve">London: </w:t>
      </w:r>
      <w:r w:rsidRPr="005D3E24">
        <w:rPr>
          <w:rFonts w:ascii="Times New Roman" w:hAnsi="Times New Roman" w:cs="Times New Roman"/>
          <w:sz w:val="24"/>
          <w:szCs w:val="24"/>
        </w:rPr>
        <w:t>Routledge.</w:t>
      </w:r>
    </w:p>
    <w:p w14:paraId="4BFF381C" w14:textId="2518D4C8" w:rsidR="003D0269" w:rsidRPr="005D3E24" w:rsidRDefault="00604D02" w:rsidP="005D3E24">
      <w:pPr>
        <w:pStyle w:val="Bibliography"/>
        <w:ind w:left="284" w:hanging="284"/>
        <w:rPr>
          <w:rFonts w:ascii="Times New Roman" w:hAnsi="Times New Roman" w:cs="Times New Roman"/>
          <w:color w:val="FF0000"/>
          <w:sz w:val="24"/>
          <w:szCs w:val="24"/>
        </w:rPr>
      </w:pPr>
      <w:r w:rsidRPr="005D3E24">
        <w:rPr>
          <w:rFonts w:ascii="Times New Roman" w:hAnsi="Times New Roman" w:cs="Times New Roman"/>
          <w:color w:val="auto"/>
          <w:sz w:val="24"/>
          <w:szCs w:val="24"/>
        </w:rPr>
        <w:t xml:space="preserve">Bagić, D. (2010). </w:t>
      </w:r>
      <w:r w:rsidR="00B9071A" w:rsidRPr="005D3E24">
        <w:rPr>
          <w:rFonts w:ascii="Times New Roman" w:hAnsi="Times New Roman" w:cs="Times New Roman"/>
          <w:i/>
          <w:color w:val="auto"/>
          <w:sz w:val="24"/>
          <w:szCs w:val="24"/>
        </w:rPr>
        <w:t>Industrijski odnosi u Hrvatskoj – društvena integracija ili društveni sukob.</w:t>
      </w:r>
      <w:r w:rsidRPr="005D3E24">
        <w:rPr>
          <w:rFonts w:ascii="Times New Roman" w:hAnsi="Times New Roman" w:cs="Times New Roman"/>
          <w:color w:val="auto"/>
          <w:sz w:val="24"/>
          <w:szCs w:val="24"/>
        </w:rPr>
        <w:t xml:space="preserve"> </w:t>
      </w:r>
      <w:r w:rsidR="00B9071A" w:rsidRPr="005D3E24">
        <w:rPr>
          <w:rFonts w:ascii="Times New Roman" w:hAnsi="Times New Roman" w:cs="Times New Roman"/>
          <w:color w:val="auto"/>
          <w:sz w:val="24"/>
          <w:szCs w:val="24"/>
        </w:rPr>
        <w:t>Zagreb: Tim press.</w:t>
      </w:r>
    </w:p>
    <w:p w14:paraId="191861FE" w14:textId="2FB0A774" w:rsidR="003D0269" w:rsidRPr="005D3E24" w:rsidRDefault="00604D02" w:rsidP="005D3E24">
      <w:pPr>
        <w:pStyle w:val="Bibliography"/>
        <w:ind w:left="284" w:hanging="284"/>
        <w:rPr>
          <w:rFonts w:ascii="Times New Roman" w:hAnsi="Times New Roman" w:cs="Times New Roman"/>
          <w:sz w:val="24"/>
          <w:szCs w:val="24"/>
        </w:rPr>
      </w:pPr>
      <w:r w:rsidRPr="005D3E24">
        <w:rPr>
          <w:rFonts w:ascii="Times New Roman" w:hAnsi="Times New Roman" w:cs="Times New Roman"/>
          <w:sz w:val="24"/>
          <w:szCs w:val="24"/>
          <w:lang w:eastAsia="en-GB"/>
        </w:rPr>
        <w:t>––––</w:t>
      </w:r>
      <w:r w:rsidRPr="005D3E24">
        <w:rPr>
          <w:rFonts w:ascii="Times New Roman" w:hAnsi="Times New Roman" w:cs="Times New Roman"/>
          <w:sz w:val="24"/>
          <w:szCs w:val="24"/>
        </w:rPr>
        <w:t xml:space="preserve"> (2013). ‘Neproduktivna ravnoteža moći: Zašto nema kompromisa „socijalnih partnera“ u Hrvatskoj i zašto je malo vjerojatno da će ga uskoro biti’. In N. Pološki Vokić &amp; A. Obadić (eds) </w:t>
      </w:r>
      <w:r w:rsidRPr="005D3E24">
        <w:rPr>
          <w:rFonts w:ascii="Times New Roman" w:hAnsi="Times New Roman" w:cs="Times New Roman"/>
          <w:i/>
          <w:sz w:val="24"/>
          <w:szCs w:val="24"/>
        </w:rPr>
        <w:t xml:space="preserve">Zbornik radova okrugloga stola </w:t>
      </w:r>
      <w:r w:rsidR="003D424E" w:rsidRPr="005D3E24">
        <w:rPr>
          <w:rFonts w:ascii="Times New Roman" w:hAnsi="Times New Roman" w:cs="Times New Roman"/>
          <w:sz w:val="24"/>
          <w:szCs w:val="24"/>
        </w:rPr>
        <w:t>‘</w:t>
      </w:r>
      <w:r w:rsidRPr="005D3E24">
        <w:rPr>
          <w:rFonts w:ascii="Times New Roman" w:hAnsi="Times New Roman" w:cs="Times New Roman"/>
          <w:i/>
          <w:sz w:val="24"/>
          <w:szCs w:val="24"/>
        </w:rPr>
        <w:t>Uloga sindikata u suvremenome društvu</w:t>
      </w:r>
      <w:r w:rsidR="003D424E" w:rsidRPr="005D3E24">
        <w:rPr>
          <w:rFonts w:ascii="Times New Roman" w:hAnsi="Times New Roman" w:cs="Times New Roman"/>
          <w:sz w:val="24"/>
          <w:szCs w:val="24"/>
        </w:rPr>
        <w:t>’</w:t>
      </w:r>
      <w:r w:rsidRPr="005D3E24">
        <w:rPr>
          <w:rFonts w:ascii="Times New Roman" w:hAnsi="Times New Roman" w:cs="Times New Roman"/>
          <w:sz w:val="24"/>
          <w:szCs w:val="24"/>
        </w:rPr>
        <w:t>, pp. 15–35. Zagreb: Ekonomski fakultet Sveučilišta u Zagrebu.</w:t>
      </w:r>
    </w:p>
    <w:p w14:paraId="5773FC41" w14:textId="77777777" w:rsidR="003D0269" w:rsidRPr="005D3E24" w:rsidRDefault="00604D02" w:rsidP="005D3E24">
      <w:pPr>
        <w:pStyle w:val="Bibliography"/>
        <w:ind w:left="284" w:hanging="284"/>
        <w:rPr>
          <w:rFonts w:ascii="Times New Roman" w:hAnsi="Times New Roman" w:cs="Times New Roman"/>
          <w:sz w:val="24"/>
          <w:szCs w:val="24"/>
        </w:rPr>
      </w:pPr>
      <w:r w:rsidRPr="005D3E24">
        <w:rPr>
          <w:rFonts w:ascii="Times New Roman" w:hAnsi="Times New Roman" w:cs="Times New Roman"/>
          <w:sz w:val="24"/>
          <w:szCs w:val="24"/>
        </w:rPr>
        <w:t xml:space="preserve">Beljo Lučić, R., Buntić Rogić, A., Dubravac Šigir, M., Dželalija, M., Hitrec, S., Kovačević, S., Krešo, M., Lekić, M., Mrnjaus, K., Rašan Križanac, M., Štajduhar, M., &amp; Tatalović, M. (2009). </w:t>
      </w:r>
      <w:r w:rsidRPr="005D3E24">
        <w:rPr>
          <w:rFonts w:ascii="Times New Roman" w:hAnsi="Times New Roman" w:cs="Times New Roman"/>
          <w:i/>
          <w:sz w:val="24"/>
          <w:szCs w:val="24"/>
        </w:rPr>
        <w:t>Hrvatski kvalifikacijski okvir–uvod u kvalifikacije</w:t>
      </w:r>
      <w:r w:rsidRPr="005D3E24">
        <w:rPr>
          <w:rFonts w:ascii="Times New Roman" w:hAnsi="Times New Roman" w:cs="Times New Roman"/>
          <w:sz w:val="24"/>
          <w:szCs w:val="24"/>
        </w:rPr>
        <w:t>. Zagreb: Vlada Republike Hrvatske i Ministarstvo znanosti, obrazovanja i športa.</w:t>
      </w:r>
    </w:p>
    <w:p w14:paraId="17A11F2F" w14:textId="77777777" w:rsidR="003D0269" w:rsidRPr="005D3E24" w:rsidRDefault="00604D02" w:rsidP="005D3E24">
      <w:pPr>
        <w:pStyle w:val="Bibliography"/>
        <w:ind w:left="284" w:hanging="284"/>
        <w:rPr>
          <w:rFonts w:ascii="Times New Roman" w:hAnsi="Times New Roman" w:cs="Times New Roman"/>
          <w:sz w:val="24"/>
          <w:szCs w:val="24"/>
        </w:rPr>
      </w:pPr>
      <w:r w:rsidRPr="005D3E24">
        <w:rPr>
          <w:rFonts w:ascii="Times New Roman" w:hAnsi="Times New Roman" w:cs="Times New Roman"/>
          <w:sz w:val="24"/>
          <w:szCs w:val="24"/>
        </w:rPr>
        <w:t xml:space="preserve">BMA (2012). </w:t>
      </w:r>
      <w:r w:rsidRPr="005D3E24">
        <w:rPr>
          <w:rFonts w:ascii="Times New Roman" w:hAnsi="Times New Roman" w:cs="Times New Roman"/>
          <w:i/>
          <w:sz w:val="24"/>
          <w:szCs w:val="24"/>
        </w:rPr>
        <w:t>Apprenticeship: Dual Vocational Education and Training in Austria. Modern Training with a Future</w:t>
      </w:r>
      <w:r w:rsidRPr="005D3E24">
        <w:rPr>
          <w:rFonts w:ascii="Times New Roman" w:hAnsi="Times New Roman" w:cs="Times New Roman"/>
          <w:sz w:val="24"/>
          <w:szCs w:val="24"/>
        </w:rPr>
        <w:t xml:space="preserve">. Wien: Federal Ministry of Economy, Family and Youth. </w:t>
      </w:r>
    </w:p>
    <w:p w14:paraId="1B361230" w14:textId="77777777" w:rsidR="003D0269" w:rsidRPr="005D3E24" w:rsidRDefault="00604D02" w:rsidP="005D3E24">
      <w:pPr>
        <w:pStyle w:val="Bibliography"/>
        <w:ind w:left="284" w:hanging="284"/>
        <w:rPr>
          <w:rFonts w:ascii="Times New Roman" w:hAnsi="Times New Roman" w:cs="Times New Roman"/>
          <w:sz w:val="24"/>
          <w:szCs w:val="24"/>
        </w:rPr>
      </w:pPr>
      <w:r w:rsidRPr="005D3E24">
        <w:rPr>
          <w:rFonts w:ascii="Times New Roman" w:hAnsi="Times New Roman" w:cs="Times New Roman"/>
          <w:sz w:val="24"/>
          <w:szCs w:val="24"/>
        </w:rPr>
        <w:t xml:space="preserve">Botrić, V. (2017). </w:t>
      </w:r>
      <w:r w:rsidRPr="005D3E24">
        <w:rPr>
          <w:rFonts w:ascii="Times New Roman" w:hAnsi="Times New Roman" w:cs="Times New Roman"/>
          <w:i/>
          <w:sz w:val="24"/>
          <w:szCs w:val="24"/>
        </w:rPr>
        <w:t>Studija o stručnoj praksi u visokom obrazovanju</w:t>
      </w:r>
      <w:r w:rsidRPr="005D3E24">
        <w:rPr>
          <w:rFonts w:ascii="Times New Roman" w:hAnsi="Times New Roman" w:cs="Times New Roman"/>
          <w:sz w:val="24"/>
          <w:szCs w:val="24"/>
        </w:rPr>
        <w:t xml:space="preserve">. Zagreb: Ministarstvo znanosti i obrazovanja. </w:t>
      </w:r>
    </w:p>
    <w:p w14:paraId="04647330" w14:textId="188D9B8B" w:rsidR="003D0269" w:rsidRPr="005D3E24" w:rsidRDefault="00604D02" w:rsidP="005D3E24">
      <w:pPr>
        <w:pStyle w:val="Bibliography"/>
        <w:ind w:left="284" w:hanging="284"/>
        <w:rPr>
          <w:rFonts w:ascii="Times New Roman" w:hAnsi="Times New Roman" w:cs="Times New Roman"/>
          <w:sz w:val="24"/>
          <w:szCs w:val="24"/>
        </w:rPr>
      </w:pPr>
      <w:r w:rsidRPr="005D3E24">
        <w:rPr>
          <w:rFonts w:ascii="Times New Roman" w:hAnsi="Times New Roman" w:cs="Times New Roman"/>
          <w:sz w:val="24"/>
          <w:szCs w:val="24"/>
        </w:rPr>
        <w:lastRenderedPageBreak/>
        <w:t>Buković, N. (2019). ‘Razvoj institucionalnog ustroja hrvatske politike strukovnog obrazovanja</w:t>
      </w:r>
      <w:r w:rsidRPr="005D3E24">
        <w:rPr>
          <w:rFonts w:ascii="Times New Roman" w:hAnsi="Times New Roman" w:cs="Times New Roman"/>
          <w:sz w:val="24"/>
          <w:szCs w:val="24"/>
          <w:lang w:eastAsia="en-GB"/>
        </w:rPr>
        <w:t>’</w:t>
      </w:r>
      <w:r w:rsidRPr="005D3E24">
        <w:rPr>
          <w:rFonts w:ascii="Times New Roman" w:hAnsi="Times New Roman" w:cs="Times New Roman"/>
          <w:sz w:val="24"/>
          <w:szCs w:val="24"/>
        </w:rPr>
        <w:t xml:space="preserve">. </w:t>
      </w:r>
      <w:r w:rsidRPr="005D3E24">
        <w:rPr>
          <w:rFonts w:ascii="Times New Roman" w:hAnsi="Times New Roman" w:cs="Times New Roman"/>
          <w:i/>
          <w:sz w:val="24"/>
          <w:szCs w:val="24"/>
        </w:rPr>
        <w:t>Političke perspektive : časopis za istraživanje politike</w:t>
      </w:r>
      <w:r w:rsidRPr="005D3E24">
        <w:rPr>
          <w:rFonts w:ascii="Times New Roman" w:hAnsi="Times New Roman" w:cs="Times New Roman"/>
          <w:sz w:val="24"/>
          <w:szCs w:val="24"/>
        </w:rPr>
        <w:t>, 9</w:t>
      </w:r>
      <w:r w:rsidR="00F44D53" w:rsidRPr="0067066E">
        <w:rPr>
          <w:rFonts w:ascii="Times New Roman" w:hAnsi="Times New Roman" w:cs="Times New Roman"/>
          <w:sz w:val="24"/>
          <w:szCs w:val="24"/>
        </w:rPr>
        <w:t xml:space="preserve"> </w:t>
      </w:r>
      <w:r w:rsidRPr="005D3E24">
        <w:rPr>
          <w:rFonts w:ascii="Times New Roman" w:hAnsi="Times New Roman" w:cs="Times New Roman"/>
          <w:sz w:val="24"/>
          <w:szCs w:val="24"/>
        </w:rPr>
        <w:t>(2), 99–122.</w:t>
      </w:r>
    </w:p>
    <w:p w14:paraId="1CA3B150" w14:textId="63072F3D" w:rsidR="003D0269" w:rsidRPr="005D3E24" w:rsidRDefault="00604D02" w:rsidP="005D3E24">
      <w:pPr>
        <w:pStyle w:val="Bibliography"/>
        <w:ind w:left="284" w:hanging="284"/>
        <w:rPr>
          <w:rFonts w:ascii="Times New Roman" w:hAnsi="Times New Roman" w:cs="Times New Roman"/>
          <w:sz w:val="24"/>
          <w:szCs w:val="24"/>
        </w:rPr>
      </w:pPr>
      <w:r w:rsidRPr="005D3E24">
        <w:rPr>
          <w:rFonts w:ascii="Times New Roman" w:hAnsi="Times New Roman" w:cs="Times New Roman"/>
          <w:sz w:val="24"/>
          <w:szCs w:val="24"/>
          <w:lang w:eastAsia="en-GB"/>
        </w:rPr>
        <w:t>––––</w:t>
      </w:r>
      <w:r w:rsidRPr="005D3E24">
        <w:rPr>
          <w:rFonts w:ascii="Times New Roman" w:hAnsi="Times New Roman" w:cs="Times New Roman"/>
          <w:sz w:val="24"/>
          <w:szCs w:val="24"/>
        </w:rPr>
        <w:t xml:space="preserve"> (</w:t>
      </w:r>
      <w:r w:rsidR="00E27BE1" w:rsidRPr="005D3E24">
        <w:rPr>
          <w:rFonts w:ascii="Times New Roman" w:hAnsi="Times New Roman" w:cs="Times New Roman"/>
          <w:sz w:val="24"/>
          <w:szCs w:val="24"/>
        </w:rPr>
        <w:t>202</w:t>
      </w:r>
      <w:r w:rsidR="00E27BE1">
        <w:rPr>
          <w:rFonts w:ascii="Times New Roman" w:hAnsi="Times New Roman" w:cs="Times New Roman"/>
          <w:sz w:val="24"/>
          <w:szCs w:val="24"/>
        </w:rPr>
        <w:t>2</w:t>
      </w:r>
      <w:r w:rsidRPr="005D3E24">
        <w:rPr>
          <w:rFonts w:ascii="Times New Roman" w:hAnsi="Times New Roman" w:cs="Times New Roman"/>
          <w:sz w:val="24"/>
          <w:szCs w:val="24"/>
        </w:rPr>
        <w:t xml:space="preserve">). </w:t>
      </w:r>
      <w:r w:rsidRPr="005D3E24">
        <w:rPr>
          <w:rFonts w:ascii="Times New Roman" w:hAnsi="Times New Roman" w:cs="Times New Roman"/>
          <w:sz w:val="24"/>
          <w:szCs w:val="24"/>
          <w:lang w:eastAsia="en-GB"/>
        </w:rPr>
        <w:t>‘</w:t>
      </w:r>
      <w:r w:rsidRPr="005D3E24">
        <w:rPr>
          <w:rFonts w:ascii="Times New Roman" w:hAnsi="Times New Roman" w:cs="Times New Roman"/>
          <w:sz w:val="24"/>
          <w:szCs w:val="24"/>
        </w:rPr>
        <w:t>Institucionalni ustroj i formulacija politike srednjeg strukovnog obrazovanja u Hrvatskoj: Preliminarna analiza</w:t>
      </w:r>
      <w:r w:rsidRPr="005D3E24">
        <w:rPr>
          <w:rFonts w:ascii="Times New Roman" w:hAnsi="Times New Roman" w:cs="Times New Roman"/>
          <w:sz w:val="24"/>
          <w:szCs w:val="24"/>
          <w:lang w:eastAsia="en-GB"/>
        </w:rPr>
        <w:t>’</w:t>
      </w:r>
      <w:r w:rsidRPr="005D3E24">
        <w:rPr>
          <w:rFonts w:ascii="Times New Roman" w:hAnsi="Times New Roman" w:cs="Times New Roman"/>
          <w:sz w:val="24"/>
          <w:szCs w:val="24"/>
        </w:rPr>
        <w:t xml:space="preserve">. </w:t>
      </w:r>
      <w:r w:rsidRPr="005D3E24">
        <w:rPr>
          <w:rFonts w:ascii="Times New Roman" w:hAnsi="Times New Roman" w:cs="Times New Roman"/>
          <w:i/>
          <w:sz w:val="24"/>
          <w:szCs w:val="24"/>
        </w:rPr>
        <w:t xml:space="preserve">Suvremene Teme: Međunarodni Časopis Za Društvene i Humanističke Znanosti </w:t>
      </w:r>
      <w:r w:rsidRPr="005D3E24">
        <w:rPr>
          <w:rFonts w:ascii="Times New Roman" w:hAnsi="Times New Roman" w:cs="Times New Roman"/>
          <w:iCs/>
          <w:sz w:val="24"/>
          <w:szCs w:val="24"/>
        </w:rPr>
        <w:t>(forthcoming).</w:t>
      </w:r>
    </w:p>
    <w:p w14:paraId="4ED5F85E" w14:textId="3ED1EAC5" w:rsidR="003D0269" w:rsidRPr="005D3E24" w:rsidRDefault="00604D02" w:rsidP="005D3E24">
      <w:pPr>
        <w:pStyle w:val="Bibliography"/>
        <w:ind w:left="284" w:hanging="284"/>
        <w:rPr>
          <w:rFonts w:ascii="Times New Roman" w:hAnsi="Times New Roman" w:cs="Times New Roman"/>
          <w:sz w:val="24"/>
          <w:szCs w:val="24"/>
        </w:rPr>
      </w:pPr>
      <w:r w:rsidRPr="005D3E24">
        <w:rPr>
          <w:rFonts w:ascii="Times New Roman" w:hAnsi="Times New Roman" w:cs="Times New Roman"/>
          <w:sz w:val="24"/>
          <w:szCs w:val="24"/>
        </w:rPr>
        <w:t xml:space="preserve">Buković, N., &amp; Matković, T. (2018). </w:t>
      </w:r>
      <w:r w:rsidRPr="005D3E24">
        <w:rPr>
          <w:rFonts w:ascii="Times New Roman" w:hAnsi="Times New Roman" w:cs="Times New Roman"/>
          <w:i/>
          <w:sz w:val="24"/>
          <w:szCs w:val="24"/>
        </w:rPr>
        <w:t>Cedefop opinion survey on vocational education and training in Europe: Croatia</w:t>
      </w:r>
      <w:r w:rsidRPr="005D3E24">
        <w:rPr>
          <w:rFonts w:ascii="Times New Roman" w:hAnsi="Times New Roman" w:cs="Times New Roman"/>
          <w:sz w:val="24"/>
          <w:szCs w:val="24"/>
        </w:rPr>
        <w:t xml:space="preserve">. </w:t>
      </w:r>
      <w:r w:rsidR="00A33B42">
        <w:rPr>
          <w:rFonts w:ascii="Times New Roman" w:hAnsi="Times New Roman" w:cs="Times New Roman"/>
          <w:sz w:val="24"/>
          <w:szCs w:val="24"/>
        </w:rPr>
        <w:t xml:space="preserve">Thessaloniki: </w:t>
      </w:r>
      <w:r w:rsidRPr="005D3E24">
        <w:rPr>
          <w:rFonts w:ascii="Times New Roman" w:hAnsi="Times New Roman" w:cs="Times New Roman"/>
          <w:sz w:val="24"/>
          <w:szCs w:val="24"/>
        </w:rPr>
        <w:t>Cedefop ReferNet Thematic Perspectives Series.</w:t>
      </w:r>
    </w:p>
    <w:p w14:paraId="01A611BB" w14:textId="66EB487E" w:rsidR="003D0269" w:rsidRPr="005D3E24" w:rsidRDefault="00604D02" w:rsidP="005D3E24">
      <w:pPr>
        <w:pStyle w:val="Bibliography"/>
        <w:ind w:left="284" w:hanging="284"/>
        <w:rPr>
          <w:rFonts w:ascii="Times New Roman" w:hAnsi="Times New Roman" w:cs="Times New Roman"/>
          <w:sz w:val="24"/>
          <w:szCs w:val="24"/>
        </w:rPr>
      </w:pPr>
      <w:r w:rsidRPr="005D3E24">
        <w:rPr>
          <w:rFonts w:ascii="Times New Roman" w:hAnsi="Times New Roman" w:cs="Times New Roman"/>
          <w:sz w:val="24"/>
          <w:szCs w:val="24"/>
        </w:rPr>
        <w:t xml:space="preserve">Busemeyer, R. M., &amp; Trampusch, C. (2012). </w:t>
      </w:r>
      <w:r w:rsidRPr="005D3E24">
        <w:rPr>
          <w:rFonts w:ascii="Times New Roman" w:hAnsi="Times New Roman" w:cs="Times New Roman"/>
          <w:sz w:val="24"/>
          <w:szCs w:val="24"/>
          <w:lang w:eastAsia="en-GB"/>
        </w:rPr>
        <w:t>‘</w:t>
      </w:r>
      <w:r w:rsidRPr="005D3E24">
        <w:rPr>
          <w:rFonts w:ascii="Times New Roman" w:hAnsi="Times New Roman" w:cs="Times New Roman"/>
          <w:sz w:val="24"/>
          <w:szCs w:val="24"/>
        </w:rPr>
        <w:t xml:space="preserve">The Comparative Political Economy of Collective Skill Formation’. In R. M. Busemeyer &amp; C. Trampusch (eds) </w:t>
      </w:r>
      <w:r w:rsidRPr="005D3E24">
        <w:rPr>
          <w:rFonts w:ascii="Times New Roman" w:hAnsi="Times New Roman" w:cs="Times New Roman"/>
          <w:i/>
          <w:sz w:val="24"/>
          <w:szCs w:val="24"/>
        </w:rPr>
        <w:t xml:space="preserve">The Political Economy of Collective Skill Formation, </w:t>
      </w:r>
      <w:r w:rsidRPr="005D3E24">
        <w:rPr>
          <w:rFonts w:ascii="Times New Roman" w:hAnsi="Times New Roman" w:cs="Times New Roman"/>
          <w:sz w:val="24"/>
          <w:szCs w:val="24"/>
        </w:rPr>
        <w:t xml:space="preserve">pp. 3–40. </w:t>
      </w:r>
      <w:r w:rsidR="00A33B42">
        <w:rPr>
          <w:rFonts w:ascii="Times New Roman" w:hAnsi="Times New Roman" w:cs="Times New Roman"/>
          <w:sz w:val="24"/>
          <w:szCs w:val="24"/>
        </w:rPr>
        <w:t xml:space="preserve">Oxford: </w:t>
      </w:r>
      <w:r w:rsidRPr="005D3E24">
        <w:rPr>
          <w:rFonts w:ascii="Times New Roman" w:hAnsi="Times New Roman" w:cs="Times New Roman"/>
          <w:sz w:val="24"/>
          <w:szCs w:val="24"/>
        </w:rPr>
        <w:t>Oxford University Press.</w:t>
      </w:r>
    </w:p>
    <w:p w14:paraId="5B02F5C5" w14:textId="6B48FCC9" w:rsidR="003D0269" w:rsidRPr="005D3E24" w:rsidRDefault="00604D02" w:rsidP="005D3E24">
      <w:pPr>
        <w:pStyle w:val="Bibliography"/>
        <w:ind w:left="284" w:hanging="284"/>
        <w:rPr>
          <w:rFonts w:ascii="Times New Roman" w:hAnsi="Times New Roman" w:cs="Times New Roman"/>
          <w:sz w:val="24"/>
          <w:szCs w:val="24"/>
        </w:rPr>
      </w:pPr>
      <w:r w:rsidRPr="005D3E24">
        <w:rPr>
          <w:rFonts w:ascii="Times New Roman" w:hAnsi="Times New Roman" w:cs="Times New Roman"/>
          <w:sz w:val="24"/>
          <w:szCs w:val="24"/>
        </w:rPr>
        <w:t>C</w:t>
      </w:r>
      <w:r w:rsidR="00A33B42">
        <w:rPr>
          <w:rFonts w:ascii="Times New Roman" w:hAnsi="Times New Roman" w:cs="Times New Roman"/>
          <w:sz w:val="24"/>
          <w:szCs w:val="24"/>
        </w:rPr>
        <w:t>edefop</w:t>
      </w:r>
      <w:r w:rsidRPr="005D3E24">
        <w:rPr>
          <w:rFonts w:ascii="Times New Roman" w:hAnsi="Times New Roman" w:cs="Times New Roman"/>
          <w:sz w:val="24"/>
          <w:szCs w:val="24"/>
        </w:rPr>
        <w:t xml:space="preserve"> (2019). </w:t>
      </w:r>
      <w:r w:rsidRPr="005D3E24">
        <w:rPr>
          <w:rFonts w:ascii="Times New Roman" w:hAnsi="Times New Roman" w:cs="Times New Roman"/>
          <w:i/>
          <w:sz w:val="24"/>
          <w:szCs w:val="24"/>
        </w:rPr>
        <w:t>Apprenticeship review: Croatia. Improving apprenticeships through stronger support and care</w:t>
      </w:r>
      <w:r w:rsidRPr="005D3E24">
        <w:rPr>
          <w:rFonts w:ascii="Times New Roman" w:hAnsi="Times New Roman" w:cs="Times New Roman"/>
          <w:sz w:val="24"/>
          <w:szCs w:val="24"/>
        </w:rPr>
        <w:t xml:space="preserve">. Thematic Country Reviews. Luxembourg: Publications Office of the European Union. </w:t>
      </w:r>
    </w:p>
    <w:p w14:paraId="1B9B614F" w14:textId="6A16A440" w:rsidR="003D0269" w:rsidRPr="005D3E24" w:rsidRDefault="00604D02" w:rsidP="005D3E24">
      <w:pPr>
        <w:pStyle w:val="Bibliography"/>
        <w:ind w:left="284" w:hanging="284"/>
        <w:rPr>
          <w:rFonts w:ascii="Times New Roman" w:hAnsi="Times New Roman" w:cs="Times New Roman"/>
          <w:sz w:val="24"/>
          <w:szCs w:val="24"/>
        </w:rPr>
      </w:pPr>
      <w:r w:rsidRPr="005D3E24">
        <w:rPr>
          <w:rFonts w:ascii="Times New Roman" w:hAnsi="Times New Roman" w:cs="Times New Roman"/>
          <w:sz w:val="24"/>
          <w:szCs w:val="24"/>
        </w:rPr>
        <w:t xml:space="preserve">Christiaensen, L., Ferre, C., Rubil, I., Matković, T., &amp; Sharafudheen, T. (2019). </w:t>
      </w:r>
      <w:r w:rsidRPr="005D3E24">
        <w:rPr>
          <w:rFonts w:ascii="Times New Roman" w:hAnsi="Times New Roman" w:cs="Times New Roman"/>
          <w:i/>
          <w:sz w:val="24"/>
          <w:szCs w:val="24"/>
        </w:rPr>
        <w:t>Jobs Challenges in Slavonia, Croatia – A Subnational Labor Market Assessment</w:t>
      </w:r>
      <w:r w:rsidRPr="005D3E24">
        <w:rPr>
          <w:rFonts w:ascii="Times New Roman" w:hAnsi="Times New Roman" w:cs="Times New Roman"/>
          <w:sz w:val="24"/>
          <w:szCs w:val="24"/>
        </w:rPr>
        <w:t>.</w:t>
      </w:r>
      <w:r w:rsidRPr="005D3E24">
        <w:rPr>
          <w:rFonts w:ascii="Times New Roman" w:hAnsi="Times New Roman" w:cs="Times New Roman"/>
          <w:i/>
          <w:sz w:val="24"/>
          <w:szCs w:val="24"/>
        </w:rPr>
        <w:t xml:space="preserve"> </w:t>
      </w:r>
      <w:r w:rsidRPr="005D3E24">
        <w:rPr>
          <w:rFonts w:ascii="Times New Roman" w:hAnsi="Times New Roman" w:cs="Times New Roman"/>
          <w:sz w:val="24"/>
          <w:szCs w:val="24"/>
        </w:rPr>
        <w:t xml:space="preserve">Jobs Working Paper 35. </w:t>
      </w:r>
      <w:r w:rsidR="00A33B42">
        <w:rPr>
          <w:rFonts w:ascii="Times New Roman" w:hAnsi="Times New Roman" w:cs="Times New Roman"/>
          <w:sz w:val="24"/>
          <w:szCs w:val="24"/>
        </w:rPr>
        <w:t xml:space="preserve">Washington, DC: </w:t>
      </w:r>
      <w:r w:rsidRPr="005D3E24">
        <w:rPr>
          <w:rFonts w:ascii="Times New Roman" w:hAnsi="Times New Roman" w:cs="Times New Roman"/>
          <w:sz w:val="24"/>
          <w:szCs w:val="24"/>
        </w:rPr>
        <w:t xml:space="preserve">World Bank. </w:t>
      </w:r>
    </w:p>
    <w:p w14:paraId="32F0D15E" w14:textId="77777777" w:rsidR="003D0269" w:rsidRPr="005D3E24" w:rsidRDefault="00604D02" w:rsidP="005D3E24">
      <w:pPr>
        <w:pStyle w:val="Bibliography"/>
        <w:ind w:left="284" w:hanging="284"/>
        <w:rPr>
          <w:rFonts w:ascii="Times New Roman" w:hAnsi="Times New Roman" w:cs="Times New Roman"/>
          <w:sz w:val="24"/>
          <w:szCs w:val="24"/>
        </w:rPr>
      </w:pPr>
      <w:r w:rsidRPr="005D3E24">
        <w:rPr>
          <w:rFonts w:ascii="Times New Roman" w:hAnsi="Times New Roman" w:cs="Times New Roman"/>
          <w:sz w:val="24"/>
          <w:szCs w:val="24"/>
        </w:rPr>
        <w:t xml:space="preserve">Council of Europe. (2017). </w:t>
      </w:r>
      <w:r w:rsidRPr="005D3E24">
        <w:rPr>
          <w:rFonts w:ascii="Times New Roman" w:hAnsi="Times New Roman" w:cs="Times New Roman"/>
          <w:i/>
          <w:sz w:val="24"/>
          <w:szCs w:val="24"/>
        </w:rPr>
        <w:t>Croatia and the European Social Charter</w:t>
      </w:r>
      <w:r w:rsidRPr="005D3E24">
        <w:rPr>
          <w:rFonts w:ascii="Times New Roman" w:hAnsi="Times New Roman" w:cs="Times New Roman"/>
          <w:sz w:val="24"/>
          <w:szCs w:val="24"/>
        </w:rPr>
        <w:t xml:space="preserve">. Council of Europe. </w:t>
      </w:r>
    </w:p>
    <w:p w14:paraId="5B9CC96E" w14:textId="77777777" w:rsidR="003D0269" w:rsidRPr="005D3E24" w:rsidRDefault="00604D02" w:rsidP="005D3E24">
      <w:pPr>
        <w:pStyle w:val="Bibliography"/>
        <w:ind w:left="284" w:hanging="284"/>
        <w:rPr>
          <w:rFonts w:ascii="Times New Roman" w:hAnsi="Times New Roman" w:cs="Times New Roman"/>
          <w:sz w:val="24"/>
          <w:szCs w:val="24"/>
        </w:rPr>
      </w:pPr>
      <w:r w:rsidRPr="005D3E24">
        <w:rPr>
          <w:rFonts w:ascii="Times New Roman" w:hAnsi="Times New Roman" w:cs="Times New Roman"/>
          <w:sz w:val="24"/>
          <w:szCs w:val="24"/>
        </w:rPr>
        <w:t xml:space="preserve">Đorđević, M. (2017). </w:t>
      </w:r>
      <w:r w:rsidRPr="005D3E24">
        <w:rPr>
          <w:rFonts w:ascii="Times New Roman" w:hAnsi="Times New Roman" w:cs="Times New Roman"/>
          <w:i/>
          <w:sz w:val="24"/>
          <w:szCs w:val="24"/>
        </w:rPr>
        <w:t>Izvješće o istraživanju aktualnog stanja i izazova u pogledu djelovanja centara karijera i profesionalnog usmjeravanja na visokim učilištima</w:t>
      </w:r>
      <w:r w:rsidRPr="005D3E24">
        <w:rPr>
          <w:rFonts w:ascii="Times New Roman" w:hAnsi="Times New Roman" w:cs="Times New Roman"/>
          <w:sz w:val="24"/>
          <w:szCs w:val="24"/>
        </w:rPr>
        <w:t xml:space="preserve">. Zagreb: Agencija za znanost i visoko  obrazovanje. </w:t>
      </w:r>
    </w:p>
    <w:p w14:paraId="771DE30D" w14:textId="1431CCA4" w:rsidR="003D0269" w:rsidRPr="005D3E24" w:rsidRDefault="00604D02" w:rsidP="005D3E24">
      <w:pPr>
        <w:pStyle w:val="Bibliography"/>
        <w:ind w:left="284" w:hanging="284"/>
        <w:rPr>
          <w:rFonts w:ascii="Times New Roman" w:hAnsi="Times New Roman" w:cs="Times New Roman"/>
          <w:sz w:val="24"/>
          <w:szCs w:val="24"/>
        </w:rPr>
      </w:pPr>
      <w:r w:rsidRPr="005D3E24">
        <w:rPr>
          <w:rFonts w:ascii="Times New Roman" w:hAnsi="Times New Roman" w:cs="Times New Roman"/>
          <w:sz w:val="24"/>
          <w:szCs w:val="24"/>
        </w:rPr>
        <w:t xml:space="preserve">Fioretos, O., Falleti, T. G., &amp; Sheingate, A. (2016). </w:t>
      </w:r>
      <w:r w:rsidRPr="005D3E24">
        <w:rPr>
          <w:rFonts w:ascii="Times New Roman" w:hAnsi="Times New Roman" w:cs="Times New Roman"/>
          <w:sz w:val="24"/>
          <w:szCs w:val="24"/>
          <w:lang w:eastAsia="en-GB"/>
        </w:rPr>
        <w:t>‘</w:t>
      </w:r>
      <w:r w:rsidRPr="005D3E24">
        <w:rPr>
          <w:rFonts w:ascii="Times New Roman" w:hAnsi="Times New Roman" w:cs="Times New Roman"/>
          <w:sz w:val="24"/>
          <w:szCs w:val="24"/>
        </w:rPr>
        <w:t>Historical Institutionalism in Political Science</w:t>
      </w:r>
      <w:r w:rsidRPr="005D3E24">
        <w:rPr>
          <w:rFonts w:ascii="Times New Roman" w:hAnsi="Times New Roman" w:cs="Times New Roman"/>
          <w:sz w:val="24"/>
          <w:szCs w:val="24"/>
          <w:lang w:eastAsia="en-GB"/>
        </w:rPr>
        <w:t>’</w:t>
      </w:r>
      <w:r w:rsidRPr="005D3E24">
        <w:rPr>
          <w:rFonts w:ascii="Times New Roman" w:hAnsi="Times New Roman" w:cs="Times New Roman"/>
          <w:sz w:val="24"/>
          <w:szCs w:val="24"/>
        </w:rPr>
        <w:t xml:space="preserve">. In O. Fioretos, T. G. Falleti &amp; A. Sheingate (eds) </w:t>
      </w:r>
      <w:r w:rsidRPr="005D3E24">
        <w:rPr>
          <w:rFonts w:ascii="Times New Roman" w:hAnsi="Times New Roman" w:cs="Times New Roman"/>
          <w:i/>
          <w:sz w:val="24"/>
          <w:szCs w:val="24"/>
        </w:rPr>
        <w:t>The Oxford Handbook of Historical Institutionalism,</w:t>
      </w:r>
      <w:r w:rsidRPr="005D3E24">
        <w:rPr>
          <w:rFonts w:ascii="Times New Roman" w:hAnsi="Times New Roman" w:cs="Times New Roman"/>
          <w:sz w:val="24"/>
          <w:szCs w:val="24"/>
        </w:rPr>
        <w:t xml:space="preserve"> Vol. 1, pp. 3–30. </w:t>
      </w:r>
      <w:r w:rsidR="00A33B42">
        <w:rPr>
          <w:rFonts w:ascii="Times New Roman" w:hAnsi="Times New Roman" w:cs="Times New Roman"/>
          <w:sz w:val="24"/>
          <w:szCs w:val="24"/>
        </w:rPr>
        <w:t xml:space="preserve">Oxford: </w:t>
      </w:r>
      <w:r w:rsidRPr="005D3E24">
        <w:rPr>
          <w:rFonts w:ascii="Times New Roman" w:hAnsi="Times New Roman" w:cs="Times New Roman"/>
          <w:sz w:val="24"/>
          <w:szCs w:val="24"/>
        </w:rPr>
        <w:t xml:space="preserve">Oxford University Press. </w:t>
      </w:r>
    </w:p>
    <w:p w14:paraId="509C6F9E" w14:textId="58677A4E" w:rsidR="003D0269" w:rsidRPr="005D3E24" w:rsidRDefault="00604D02" w:rsidP="005D3E24">
      <w:pPr>
        <w:pStyle w:val="Bibliography"/>
        <w:ind w:left="284" w:hanging="284"/>
        <w:rPr>
          <w:rFonts w:ascii="Times New Roman" w:hAnsi="Times New Roman" w:cs="Times New Roman"/>
          <w:sz w:val="24"/>
          <w:szCs w:val="24"/>
        </w:rPr>
      </w:pPr>
      <w:r w:rsidRPr="005D3E24">
        <w:rPr>
          <w:rFonts w:ascii="Times New Roman" w:hAnsi="Times New Roman" w:cs="Times New Roman"/>
          <w:sz w:val="24"/>
          <w:szCs w:val="24"/>
        </w:rPr>
        <w:lastRenderedPageBreak/>
        <w:t xml:space="preserve">Herceg, I. (2010). </w:t>
      </w:r>
      <w:r w:rsidRPr="005D3E24">
        <w:rPr>
          <w:rFonts w:ascii="Times New Roman" w:hAnsi="Times New Roman" w:cs="Times New Roman"/>
          <w:i/>
          <w:sz w:val="24"/>
          <w:szCs w:val="24"/>
        </w:rPr>
        <w:t>Survey on appropriateness of VET for craft occupations quality and employability. Report.</w:t>
      </w:r>
      <w:r w:rsidRPr="005D3E24">
        <w:rPr>
          <w:rFonts w:ascii="Times New Roman" w:hAnsi="Times New Roman" w:cs="Times New Roman"/>
          <w:sz w:val="24"/>
          <w:szCs w:val="24"/>
        </w:rPr>
        <w:t xml:space="preserve"> </w:t>
      </w:r>
      <w:r w:rsidR="00A33B42">
        <w:rPr>
          <w:rFonts w:ascii="Times New Roman" w:hAnsi="Times New Roman" w:cs="Times New Roman"/>
          <w:sz w:val="24"/>
          <w:szCs w:val="24"/>
        </w:rPr>
        <w:t xml:space="preserve">Torino: </w:t>
      </w:r>
      <w:r w:rsidRPr="005D3E24">
        <w:rPr>
          <w:rFonts w:ascii="Times New Roman" w:hAnsi="Times New Roman" w:cs="Times New Roman"/>
          <w:sz w:val="24"/>
          <w:szCs w:val="24"/>
        </w:rPr>
        <w:t xml:space="preserve">European Training Foundation and Hrvatska obrtnička komora. </w:t>
      </w:r>
    </w:p>
    <w:p w14:paraId="1C72F105" w14:textId="4B55413E" w:rsidR="003D0269" w:rsidRPr="005D3E24" w:rsidRDefault="00604D02" w:rsidP="005D3E24">
      <w:pPr>
        <w:spacing w:after="0" w:line="480" w:lineRule="auto"/>
        <w:ind w:left="284" w:hanging="284"/>
        <w:rPr>
          <w:rFonts w:ascii="Times New Roman" w:hAnsi="Times New Roman" w:cs="Times New Roman"/>
          <w:sz w:val="24"/>
          <w:szCs w:val="24"/>
        </w:rPr>
      </w:pPr>
      <w:r w:rsidRPr="005D3E24">
        <w:rPr>
          <w:rFonts w:ascii="Times New Roman" w:hAnsi="Times New Roman" w:cs="Times New Roman"/>
          <w:sz w:val="24"/>
          <w:szCs w:val="24"/>
        </w:rPr>
        <w:t xml:space="preserve">HOK (2019). </w:t>
      </w:r>
      <w:r w:rsidRPr="005D3E24">
        <w:rPr>
          <w:rFonts w:ascii="Times New Roman" w:hAnsi="Times New Roman" w:cs="Times New Roman"/>
          <w:i/>
          <w:sz w:val="24"/>
          <w:szCs w:val="24"/>
        </w:rPr>
        <w:t>Dualni model obrazovanja vs. Jedinstveni model obrazovanja</w:t>
      </w:r>
      <w:r w:rsidRPr="005D3E24">
        <w:rPr>
          <w:rFonts w:ascii="Times New Roman" w:hAnsi="Times New Roman" w:cs="Times New Roman"/>
          <w:sz w:val="24"/>
          <w:szCs w:val="24"/>
        </w:rPr>
        <w:t>. Working document. Zagreb: Hrvatska obrtnička komora.</w:t>
      </w:r>
    </w:p>
    <w:p w14:paraId="00950085" w14:textId="77777777" w:rsidR="003D0269" w:rsidRPr="005D3E24" w:rsidRDefault="00604D02" w:rsidP="005D3E24">
      <w:pPr>
        <w:spacing w:after="0" w:line="480" w:lineRule="auto"/>
        <w:ind w:left="284" w:hanging="284"/>
        <w:rPr>
          <w:rFonts w:ascii="Times New Roman" w:hAnsi="Times New Roman" w:cs="Times New Roman"/>
          <w:sz w:val="24"/>
          <w:szCs w:val="24"/>
        </w:rPr>
      </w:pPr>
      <w:r w:rsidRPr="005D3E24">
        <w:rPr>
          <w:rFonts w:ascii="Times New Roman" w:hAnsi="Times New Roman" w:cs="Times New Roman"/>
          <w:sz w:val="24"/>
          <w:szCs w:val="24"/>
        </w:rPr>
        <w:t xml:space="preserve">Hrvatski sabor (2014). </w:t>
      </w:r>
      <w:r w:rsidRPr="005D3E24">
        <w:rPr>
          <w:rFonts w:ascii="Times New Roman" w:hAnsi="Times New Roman" w:cs="Times New Roman"/>
          <w:i/>
          <w:iCs/>
          <w:sz w:val="24"/>
          <w:szCs w:val="24"/>
        </w:rPr>
        <w:t>Strategija znanosti, obrazovanja i tehnologije</w:t>
      </w:r>
      <w:r w:rsidRPr="005D3E24">
        <w:rPr>
          <w:rFonts w:ascii="Times New Roman" w:hAnsi="Times New Roman" w:cs="Times New Roman"/>
          <w:sz w:val="24"/>
          <w:szCs w:val="24"/>
        </w:rPr>
        <w:t xml:space="preserve">. Narodne novine, 124/2014. </w:t>
      </w:r>
    </w:p>
    <w:p w14:paraId="6F41AE87" w14:textId="558475D3" w:rsidR="003D0269" w:rsidRPr="005D3E24" w:rsidRDefault="00604D02" w:rsidP="005D3E24">
      <w:pPr>
        <w:pStyle w:val="Bibliography"/>
        <w:ind w:left="284" w:hanging="284"/>
        <w:rPr>
          <w:rFonts w:ascii="Times New Roman" w:hAnsi="Times New Roman" w:cs="Times New Roman"/>
          <w:sz w:val="24"/>
          <w:szCs w:val="24"/>
        </w:rPr>
      </w:pPr>
      <w:r w:rsidRPr="005D3E24">
        <w:rPr>
          <w:rFonts w:ascii="Times New Roman" w:hAnsi="Times New Roman" w:cs="Times New Roman"/>
          <w:sz w:val="24"/>
          <w:szCs w:val="24"/>
        </w:rPr>
        <w:t xml:space="preserve">Matković, T. (2009). </w:t>
      </w:r>
      <w:r w:rsidRPr="005D3E24">
        <w:rPr>
          <w:rFonts w:ascii="Times New Roman" w:hAnsi="Times New Roman" w:cs="Times New Roman"/>
          <w:sz w:val="24"/>
          <w:szCs w:val="24"/>
          <w:lang w:eastAsia="en-GB"/>
        </w:rPr>
        <w:t>‘</w:t>
      </w:r>
      <w:r w:rsidRPr="005D3E24">
        <w:rPr>
          <w:rFonts w:ascii="Times New Roman" w:hAnsi="Times New Roman" w:cs="Times New Roman"/>
          <w:sz w:val="24"/>
          <w:szCs w:val="24"/>
        </w:rPr>
        <w:t>Pregled statističkih pokazatelja participacije, prolaznosti i režima plaćanja studija u Republici Hrvatskoj 1991.-2007.</w:t>
      </w:r>
      <w:r w:rsidRPr="005D3E24">
        <w:rPr>
          <w:rFonts w:ascii="Times New Roman" w:hAnsi="Times New Roman" w:cs="Times New Roman"/>
          <w:sz w:val="24"/>
          <w:szCs w:val="24"/>
          <w:lang w:eastAsia="en-GB"/>
        </w:rPr>
        <w:t>’</w:t>
      </w:r>
      <w:r w:rsidRPr="005D3E24">
        <w:rPr>
          <w:rFonts w:ascii="Times New Roman" w:hAnsi="Times New Roman" w:cs="Times New Roman"/>
          <w:sz w:val="24"/>
          <w:szCs w:val="24"/>
        </w:rPr>
        <w:t xml:space="preserve"> </w:t>
      </w:r>
      <w:r w:rsidRPr="005D3E24">
        <w:rPr>
          <w:rFonts w:ascii="Times New Roman" w:hAnsi="Times New Roman" w:cs="Times New Roman"/>
          <w:i/>
          <w:sz w:val="24"/>
          <w:szCs w:val="24"/>
        </w:rPr>
        <w:t>Revija Za Socijalnu Politiku</w:t>
      </w:r>
      <w:r w:rsidRPr="005D3E24">
        <w:rPr>
          <w:rFonts w:ascii="Times New Roman" w:hAnsi="Times New Roman" w:cs="Times New Roman"/>
          <w:sz w:val="24"/>
          <w:szCs w:val="24"/>
        </w:rPr>
        <w:t>, 16</w:t>
      </w:r>
      <w:r w:rsidR="00A33B42">
        <w:rPr>
          <w:rFonts w:ascii="Times New Roman" w:hAnsi="Times New Roman" w:cs="Times New Roman"/>
          <w:sz w:val="24"/>
          <w:szCs w:val="24"/>
        </w:rPr>
        <w:t xml:space="preserve"> </w:t>
      </w:r>
      <w:r w:rsidRPr="005D3E24">
        <w:rPr>
          <w:rFonts w:ascii="Times New Roman" w:hAnsi="Times New Roman" w:cs="Times New Roman"/>
          <w:sz w:val="24"/>
          <w:szCs w:val="24"/>
        </w:rPr>
        <w:t>(2), 239–250.</w:t>
      </w:r>
    </w:p>
    <w:p w14:paraId="0D06D137" w14:textId="4D404684" w:rsidR="003D0269" w:rsidRPr="005D3E24" w:rsidRDefault="00604D02" w:rsidP="005D3E24">
      <w:pPr>
        <w:pStyle w:val="Bibliography"/>
        <w:ind w:left="284" w:hanging="284"/>
        <w:rPr>
          <w:rFonts w:ascii="Times New Roman" w:hAnsi="Times New Roman" w:cs="Times New Roman"/>
          <w:sz w:val="24"/>
          <w:szCs w:val="24"/>
        </w:rPr>
      </w:pPr>
      <w:r w:rsidRPr="005D3E24">
        <w:rPr>
          <w:rFonts w:ascii="Times New Roman" w:hAnsi="Times New Roman" w:cs="Times New Roman"/>
          <w:sz w:val="24"/>
          <w:szCs w:val="24"/>
          <w:lang w:eastAsia="en-GB"/>
        </w:rPr>
        <w:t>––––</w:t>
      </w:r>
      <w:r w:rsidRPr="005D3E24">
        <w:rPr>
          <w:rFonts w:ascii="Times New Roman" w:hAnsi="Times New Roman" w:cs="Times New Roman"/>
          <w:sz w:val="24"/>
          <w:szCs w:val="24"/>
        </w:rPr>
        <w:t xml:space="preserve"> (2011). </w:t>
      </w:r>
      <w:r w:rsidRPr="005D3E24">
        <w:rPr>
          <w:rFonts w:ascii="Times New Roman" w:hAnsi="Times New Roman" w:cs="Times New Roman"/>
          <w:sz w:val="24"/>
          <w:szCs w:val="24"/>
          <w:lang w:eastAsia="en-GB"/>
        </w:rPr>
        <w:t>‘</w:t>
      </w:r>
      <w:r w:rsidRPr="005D3E24">
        <w:rPr>
          <w:rFonts w:ascii="Times New Roman" w:hAnsi="Times New Roman" w:cs="Times New Roman"/>
          <w:sz w:val="24"/>
          <w:szCs w:val="24"/>
        </w:rPr>
        <w:t>Screens and credentials: Education and labor market entry in Croatia in the early 2000s</w:t>
      </w:r>
      <w:r w:rsidRPr="005D3E24">
        <w:rPr>
          <w:rFonts w:ascii="Times New Roman" w:hAnsi="Times New Roman" w:cs="Times New Roman"/>
          <w:sz w:val="24"/>
          <w:szCs w:val="24"/>
          <w:lang w:eastAsia="en-GB"/>
        </w:rPr>
        <w:t>’</w:t>
      </w:r>
      <w:r w:rsidRPr="005D3E24">
        <w:rPr>
          <w:rFonts w:ascii="Times New Roman" w:hAnsi="Times New Roman" w:cs="Times New Roman"/>
          <w:sz w:val="24"/>
          <w:szCs w:val="24"/>
        </w:rPr>
        <w:t xml:space="preserve">. In I. Kogan, C. Noelke, &amp; M. Gebel (eds) </w:t>
      </w:r>
      <w:r w:rsidRPr="005D3E24">
        <w:rPr>
          <w:rFonts w:ascii="Times New Roman" w:hAnsi="Times New Roman" w:cs="Times New Roman"/>
          <w:i/>
          <w:sz w:val="24"/>
          <w:szCs w:val="24"/>
        </w:rPr>
        <w:t>Making the Transition: Education and Labor Market Entry in Central and Eastern Europe</w:t>
      </w:r>
      <w:r w:rsidRPr="005D3E24">
        <w:rPr>
          <w:rFonts w:ascii="Times New Roman" w:hAnsi="Times New Roman" w:cs="Times New Roman"/>
          <w:sz w:val="24"/>
          <w:szCs w:val="24"/>
        </w:rPr>
        <w:t xml:space="preserve">, pp. 110–140. </w:t>
      </w:r>
      <w:r w:rsidR="001B34A7">
        <w:rPr>
          <w:rFonts w:ascii="Times New Roman" w:hAnsi="Times New Roman" w:cs="Times New Roman"/>
          <w:sz w:val="24"/>
          <w:szCs w:val="24"/>
        </w:rPr>
        <w:t xml:space="preserve">Stanford, CA: </w:t>
      </w:r>
      <w:r w:rsidRPr="005D3E24">
        <w:rPr>
          <w:rFonts w:ascii="Times New Roman" w:hAnsi="Times New Roman" w:cs="Times New Roman"/>
          <w:sz w:val="24"/>
          <w:szCs w:val="24"/>
        </w:rPr>
        <w:t>Stanford University Press.</w:t>
      </w:r>
    </w:p>
    <w:p w14:paraId="410CCA52" w14:textId="2189C202" w:rsidR="003D0269" w:rsidRPr="005D3E24" w:rsidRDefault="00604D02" w:rsidP="005D3E24">
      <w:pPr>
        <w:pStyle w:val="Bibliography"/>
        <w:ind w:left="284" w:hanging="284"/>
        <w:rPr>
          <w:rFonts w:ascii="Times New Roman" w:hAnsi="Times New Roman" w:cs="Times New Roman"/>
          <w:sz w:val="24"/>
          <w:szCs w:val="24"/>
        </w:rPr>
      </w:pPr>
      <w:r w:rsidRPr="005D3E24">
        <w:rPr>
          <w:rFonts w:ascii="Times New Roman" w:hAnsi="Times New Roman" w:cs="Times New Roman"/>
          <w:sz w:val="24"/>
          <w:szCs w:val="24"/>
          <w:lang w:eastAsia="en-GB"/>
        </w:rPr>
        <w:t>––––</w:t>
      </w:r>
      <w:r w:rsidRPr="005D3E24">
        <w:rPr>
          <w:rFonts w:ascii="Times New Roman" w:hAnsi="Times New Roman" w:cs="Times New Roman"/>
          <w:sz w:val="24"/>
          <w:szCs w:val="24"/>
        </w:rPr>
        <w:t xml:space="preserve"> (2020). </w:t>
      </w:r>
      <w:r w:rsidRPr="005D3E24">
        <w:rPr>
          <w:rFonts w:ascii="Times New Roman" w:hAnsi="Times New Roman" w:cs="Times New Roman"/>
          <w:sz w:val="24"/>
          <w:szCs w:val="24"/>
          <w:lang w:eastAsia="en-GB"/>
        </w:rPr>
        <w:t>‘</w:t>
      </w:r>
      <w:r w:rsidRPr="005D3E24">
        <w:rPr>
          <w:rFonts w:ascii="Times New Roman" w:hAnsi="Times New Roman" w:cs="Times New Roman"/>
          <w:sz w:val="24"/>
          <w:szCs w:val="24"/>
        </w:rPr>
        <w:t>Trendovi tržišta rada i javni sektor: Ponuda i potražnja radne snage u desetljetnoj perspektivi</w:t>
      </w:r>
      <w:r w:rsidRPr="005D3E24">
        <w:rPr>
          <w:rFonts w:ascii="Times New Roman" w:hAnsi="Times New Roman" w:cs="Times New Roman"/>
          <w:sz w:val="24"/>
          <w:szCs w:val="24"/>
          <w:lang w:eastAsia="en-GB"/>
        </w:rPr>
        <w:t>’</w:t>
      </w:r>
      <w:r w:rsidRPr="005D3E24">
        <w:rPr>
          <w:rFonts w:ascii="Times New Roman" w:hAnsi="Times New Roman" w:cs="Times New Roman"/>
          <w:sz w:val="24"/>
          <w:szCs w:val="24"/>
        </w:rPr>
        <w:t>. In M. Kroflin (</w:t>
      </w:r>
      <w:r w:rsidR="001B34A7">
        <w:rPr>
          <w:rFonts w:ascii="Times New Roman" w:hAnsi="Times New Roman" w:cs="Times New Roman"/>
          <w:sz w:val="24"/>
          <w:szCs w:val="24"/>
        </w:rPr>
        <w:t>e</w:t>
      </w:r>
      <w:r w:rsidRPr="005D3E24">
        <w:rPr>
          <w:rFonts w:ascii="Times New Roman" w:hAnsi="Times New Roman" w:cs="Times New Roman"/>
          <w:sz w:val="24"/>
          <w:szCs w:val="24"/>
        </w:rPr>
        <w:t xml:space="preserve">d.) </w:t>
      </w:r>
      <w:r w:rsidRPr="005D3E24">
        <w:rPr>
          <w:rFonts w:ascii="Times New Roman" w:hAnsi="Times New Roman" w:cs="Times New Roman"/>
          <w:i/>
          <w:sz w:val="24"/>
          <w:szCs w:val="24"/>
        </w:rPr>
        <w:t xml:space="preserve">Projekcije podudarnosti dostupne radne snage i potreba tržišta rada do 2030. Godine. Izazovi demografskih promjena i četvrte industrijske revolucije, </w:t>
      </w:r>
      <w:r w:rsidRPr="005D3E24">
        <w:rPr>
          <w:rFonts w:ascii="Times New Roman" w:hAnsi="Times New Roman" w:cs="Times New Roman"/>
          <w:sz w:val="24"/>
          <w:szCs w:val="24"/>
        </w:rPr>
        <w:t>pp. 12–39. Zagreb: Matica hrvatskih sindikata.</w:t>
      </w:r>
    </w:p>
    <w:p w14:paraId="22BA7F43" w14:textId="3CE49122" w:rsidR="003D0269" w:rsidRPr="005D3E24" w:rsidRDefault="00604D02" w:rsidP="005D3E24">
      <w:pPr>
        <w:pStyle w:val="Bibliography"/>
        <w:ind w:left="284" w:hanging="284"/>
        <w:rPr>
          <w:rFonts w:ascii="Times New Roman" w:hAnsi="Times New Roman" w:cs="Times New Roman"/>
          <w:sz w:val="24"/>
          <w:szCs w:val="24"/>
        </w:rPr>
      </w:pPr>
      <w:r w:rsidRPr="005D3E24">
        <w:rPr>
          <w:rFonts w:ascii="Times New Roman" w:hAnsi="Times New Roman" w:cs="Times New Roman"/>
          <w:sz w:val="24"/>
          <w:szCs w:val="24"/>
        </w:rPr>
        <w:t xml:space="preserve">Matković, T., Lukić, N., Buković, N., &amp; Doolan, K. (2013). </w:t>
      </w:r>
      <w:r w:rsidRPr="005D3E24">
        <w:rPr>
          <w:rFonts w:ascii="Times New Roman" w:hAnsi="Times New Roman" w:cs="Times New Roman"/>
          <w:i/>
          <w:sz w:val="24"/>
          <w:szCs w:val="24"/>
        </w:rPr>
        <w:t>Croatia — Destination uncertain? Trends, perspectives and challenges in strengthening vocational education for social inclusion and social cohesion</w:t>
      </w:r>
      <w:r w:rsidRPr="005D3E24">
        <w:rPr>
          <w:rFonts w:ascii="Times New Roman" w:hAnsi="Times New Roman" w:cs="Times New Roman"/>
          <w:sz w:val="24"/>
          <w:szCs w:val="24"/>
        </w:rPr>
        <w:t>. T</w:t>
      </w:r>
      <w:r w:rsidR="001B34A7">
        <w:rPr>
          <w:rFonts w:ascii="Times New Roman" w:hAnsi="Times New Roman" w:cs="Times New Roman"/>
          <w:sz w:val="24"/>
          <w:szCs w:val="24"/>
        </w:rPr>
        <w:t>orino</w:t>
      </w:r>
      <w:r w:rsidRPr="005D3E24">
        <w:rPr>
          <w:rFonts w:ascii="Times New Roman" w:hAnsi="Times New Roman" w:cs="Times New Roman"/>
          <w:sz w:val="24"/>
          <w:szCs w:val="24"/>
        </w:rPr>
        <w:t xml:space="preserve">: European Training Foundation. </w:t>
      </w:r>
    </w:p>
    <w:p w14:paraId="67B0EE27" w14:textId="77777777" w:rsidR="003D0269" w:rsidRPr="005D3E24" w:rsidRDefault="00604D02" w:rsidP="005D3E24">
      <w:pPr>
        <w:pStyle w:val="Bibliography"/>
        <w:ind w:left="284" w:hanging="284"/>
        <w:rPr>
          <w:rFonts w:ascii="Times New Roman" w:hAnsi="Times New Roman" w:cs="Times New Roman"/>
          <w:sz w:val="24"/>
          <w:szCs w:val="24"/>
        </w:rPr>
      </w:pPr>
      <w:r w:rsidRPr="005D3E24">
        <w:rPr>
          <w:rFonts w:ascii="Times New Roman" w:hAnsi="Times New Roman" w:cs="Times New Roman"/>
          <w:sz w:val="24"/>
          <w:szCs w:val="24"/>
        </w:rPr>
        <w:t xml:space="preserve">Meng, C., Wessling, K., Mühleck, K., &amp; Unger, M. (2020). </w:t>
      </w:r>
      <w:r w:rsidRPr="005D3E24">
        <w:rPr>
          <w:rFonts w:ascii="Times New Roman" w:hAnsi="Times New Roman" w:cs="Times New Roman"/>
          <w:i/>
          <w:sz w:val="24"/>
          <w:szCs w:val="24"/>
        </w:rPr>
        <w:t>Eurograduate pilot survey: Design and implementation of a pilot European graduate survey</w:t>
      </w:r>
      <w:r w:rsidRPr="005D3E24">
        <w:rPr>
          <w:rFonts w:ascii="Times New Roman" w:hAnsi="Times New Roman" w:cs="Times New Roman"/>
          <w:sz w:val="24"/>
          <w:szCs w:val="24"/>
        </w:rPr>
        <w:t xml:space="preserve">. Luxembourg: Publications Office of the European Union. </w:t>
      </w:r>
    </w:p>
    <w:p w14:paraId="09AD2C95" w14:textId="03F439AD" w:rsidR="003D0269" w:rsidRPr="005D3E24" w:rsidRDefault="00604D02" w:rsidP="005D3E24">
      <w:pPr>
        <w:pStyle w:val="Bibliography"/>
        <w:ind w:left="284" w:hanging="284"/>
        <w:rPr>
          <w:rFonts w:ascii="Times New Roman" w:hAnsi="Times New Roman" w:cs="Times New Roman"/>
          <w:sz w:val="24"/>
          <w:szCs w:val="24"/>
        </w:rPr>
      </w:pPr>
      <w:r w:rsidRPr="005D3E24">
        <w:rPr>
          <w:rFonts w:ascii="Times New Roman" w:hAnsi="Times New Roman" w:cs="Times New Roman"/>
          <w:sz w:val="24"/>
          <w:szCs w:val="24"/>
        </w:rPr>
        <w:t xml:space="preserve">Ministarstvo gospodarstva, poduzetništva i obrta (2020). </w:t>
      </w:r>
      <w:r w:rsidRPr="005D3E24">
        <w:rPr>
          <w:rFonts w:ascii="Times New Roman" w:hAnsi="Times New Roman" w:cs="Times New Roman"/>
          <w:i/>
          <w:sz w:val="24"/>
          <w:szCs w:val="24"/>
        </w:rPr>
        <w:t>Poduzetnički impuls. Objava dodjeljenih sredstava</w:t>
      </w:r>
      <w:r w:rsidRPr="005D3E24">
        <w:rPr>
          <w:rFonts w:ascii="Times New Roman" w:hAnsi="Times New Roman" w:cs="Times New Roman"/>
          <w:sz w:val="24"/>
          <w:szCs w:val="24"/>
        </w:rPr>
        <w:t>. Dataset. &lt;http://poticaji.mingo.hr/objava.aspx&gt;, accessed 2 October 2020.</w:t>
      </w:r>
    </w:p>
    <w:p w14:paraId="5393FE82" w14:textId="7228027C" w:rsidR="003D0269" w:rsidRPr="005D3E24" w:rsidRDefault="00604D02" w:rsidP="005D3E24">
      <w:pPr>
        <w:pStyle w:val="Bibliography"/>
        <w:ind w:left="284" w:hanging="284"/>
        <w:rPr>
          <w:rFonts w:ascii="Times New Roman" w:hAnsi="Times New Roman" w:cs="Times New Roman"/>
          <w:sz w:val="24"/>
          <w:szCs w:val="24"/>
        </w:rPr>
      </w:pPr>
      <w:r w:rsidRPr="005D3E24">
        <w:rPr>
          <w:rFonts w:ascii="Times New Roman" w:hAnsi="Times New Roman" w:cs="Times New Roman"/>
          <w:sz w:val="24"/>
          <w:szCs w:val="24"/>
        </w:rPr>
        <w:lastRenderedPageBreak/>
        <w:t xml:space="preserve">Ministatstvo znanosti i obrazovanja (2020). </w:t>
      </w:r>
      <w:r w:rsidRPr="005D3E24">
        <w:rPr>
          <w:rFonts w:ascii="Times New Roman" w:hAnsi="Times New Roman" w:cs="Times New Roman"/>
          <w:i/>
          <w:sz w:val="24"/>
          <w:szCs w:val="24"/>
        </w:rPr>
        <w:t>O projektima. HKO Portal</w:t>
      </w:r>
      <w:r w:rsidRPr="005D3E24">
        <w:rPr>
          <w:rFonts w:ascii="Times New Roman" w:hAnsi="Times New Roman" w:cs="Times New Roman"/>
          <w:sz w:val="24"/>
          <w:szCs w:val="24"/>
        </w:rPr>
        <w:t>. Web page. &lt;http://www.kvalifikacije.hr/hr/projekti/o-projektima&gt;, accessed 2 October 2020.</w:t>
      </w:r>
    </w:p>
    <w:p w14:paraId="6F97ABC6" w14:textId="77777777" w:rsidR="003D0269" w:rsidRPr="005D3E24" w:rsidRDefault="00604D02" w:rsidP="005D3E24">
      <w:pPr>
        <w:pStyle w:val="Bibliography"/>
        <w:ind w:left="284" w:hanging="284"/>
        <w:rPr>
          <w:rFonts w:ascii="Times New Roman" w:hAnsi="Times New Roman" w:cs="Times New Roman"/>
          <w:sz w:val="24"/>
          <w:szCs w:val="24"/>
        </w:rPr>
      </w:pPr>
      <w:r w:rsidRPr="005D3E24">
        <w:rPr>
          <w:rFonts w:ascii="Times New Roman" w:hAnsi="Times New Roman" w:cs="Times New Roman"/>
          <w:sz w:val="24"/>
          <w:szCs w:val="24"/>
        </w:rPr>
        <w:t xml:space="preserve">Mršić, A. (2018). </w:t>
      </w:r>
      <w:r w:rsidRPr="005D3E24">
        <w:rPr>
          <w:rFonts w:ascii="Times New Roman" w:hAnsi="Times New Roman" w:cs="Times New Roman"/>
          <w:i/>
          <w:sz w:val="24"/>
          <w:szCs w:val="24"/>
        </w:rPr>
        <w:t>Procesi definiranja problema i prioriteta u stvaranju inovacijske politike u Hrvatskoj iz perspektive diskurzivnog institucionalizma</w:t>
      </w:r>
      <w:r w:rsidRPr="005D3E24">
        <w:rPr>
          <w:rFonts w:ascii="Times New Roman" w:hAnsi="Times New Roman" w:cs="Times New Roman"/>
          <w:sz w:val="24"/>
          <w:szCs w:val="24"/>
        </w:rPr>
        <w:t>. Doctoral disertation. Zagreb: Sveučilište u Zagrebu, Fakultet političkih znanosti.</w:t>
      </w:r>
    </w:p>
    <w:p w14:paraId="28A5B002" w14:textId="77777777" w:rsidR="003D0269" w:rsidRPr="005D3E24" w:rsidRDefault="00604D02" w:rsidP="005D3E24">
      <w:pPr>
        <w:pStyle w:val="Bibliography"/>
        <w:ind w:left="284" w:hanging="284"/>
        <w:rPr>
          <w:rFonts w:ascii="Times New Roman" w:hAnsi="Times New Roman" w:cs="Times New Roman"/>
          <w:sz w:val="24"/>
          <w:szCs w:val="24"/>
        </w:rPr>
      </w:pPr>
      <w:r w:rsidRPr="005D3E24">
        <w:rPr>
          <w:rFonts w:ascii="Times New Roman" w:hAnsi="Times New Roman" w:cs="Times New Roman"/>
          <w:sz w:val="24"/>
          <w:szCs w:val="24"/>
        </w:rPr>
        <w:t xml:space="preserve">Petrušić, I. (2017). </w:t>
      </w:r>
      <w:r w:rsidRPr="005D3E24">
        <w:rPr>
          <w:rFonts w:ascii="Times New Roman" w:hAnsi="Times New Roman" w:cs="Times New Roman"/>
          <w:i/>
          <w:sz w:val="24"/>
          <w:szCs w:val="24"/>
        </w:rPr>
        <w:t>Analysis of the Five-year Cycle of Re-accreditation of Higher Education Institutions</w:t>
      </w:r>
      <w:r w:rsidRPr="005D3E24">
        <w:rPr>
          <w:rFonts w:ascii="Times New Roman" w:hAnsi="Times New Roman" w:cs="Times New Roman"/>
          <w:sz w:val="24"/>
          <w:szCs w:val="24"/>
        </w:rPr>
        <w:t xml:space="preserve">. Zagreb: Agencija za znanost i visoko  obrazovanje. </w:t>
      </w:r>
    </w:p>
    <w:p w14:paraId="775E17E9" w14:textId="77777777" w:rsidR="003D0269" w:rsidRPr="005D3E24" w:rsidRDefault="00604D02" w:rsidP="005D3E24">
      <w:pPr>
        <w:pStyle w:val="Bibliography"/>
        <w:ind w:left="284" w:hanging="284"/>
        <w:rPr>
          <w:rFonts w:ascii="Times New Roman" w:hAnsi="Times New Roman" w:cs="Times New Roman"/>
          <w:sz w:val="24"/>
          <w:szCs w:val="24"/>
        </w:rPr>
      </w:pPr>
      <w:r w:rsidRPr="005D3E24">
        <w:rPr>
          <w:rFonts w:ascii="Times New Roman" w:hAnsi="Times New Roman" w:cs="Times New Roman"/>
          <w:sz w:val="24"/>
          <w:szCs w:val="24"/>
        </w:rPr>
        <w:t xml:space="preserve">Poličnik, J., Sauli Miklavčič, A. L., Alupei-Durach, F., Nožica, Ž., Chrást, O., Voldánová, I., Karpíšek, M., Dinya, L., Medve, A., Wéber, G., Racsko, R., Perényi, P., &amp; Camilleri, A. F. (2017). </w:t>
      </w:r>
      <w:r w:rsidRPr="005D3E24">
        <w:rPr>
          <w:rFonts w:ascii="Times New Roman" w:hAnsi="Times New Roman" w:cs="Times New Roman"/>
          <w:i/>
          <w:sz w:val="24"/>
          <w:szCs w:val="24"/>
        </w:rPr>
        <w:t>Policy Challenges for Professional Higher Education in Central and South-Eastern Europe</w:t>
      </w:r>
      <w:r w:rsidRPr="005D3E24">
        <w:rPr>
          <w:rFonts w:ascii="Times New Roman" w:hAnsi="Times New Roman" w:cs="Times New Roman"/>
          <w:sz w:val="24"/>
          <w:szCs w:val="24"/>
        </w:rPr>
        <w:t xml:space="preserve">. PROCSEE Consortium. </w:t>
      </w:r>
    </w:p>
    <w:p w14:paraId="6FC84804" w14:textId="5467763E" w:rsidR="003D0269" w:rsidRPr="005D3E24" w:rsidRDefault="00604D02" w:rsidP="005D3E24">
      <w:pPr>
        <w:pStyle w:val="Bibliography"/>
        <w:ind w:left="284" w:hanging="284"/>
        <w:rPr>
          <w:rFonts w:ascii="Times New Roman" w:hAnsi="Times New Roman" w:cs="Times New Roman"/>
          <w:sz w:val="24"/>
          <w:szCs w:val="24"/>
        </w:rPr>
      </w:pPr>
      <w:r w:rsidRPr="005D3E24">
        <w:rPr>
          <w:rFonts w:ascii="Times New Roman" w:hAnsi="Times New Roman" w:cs="Times New Roman"/>
          <w:sz w:val="24"/>
          <w:szCs w:val="24"/>
        </w:rPr>
        <w:t xml:space="preserve">Powell, J. W., &amp; Trampusch, C. (2012). </w:t>
      </w:r>
      <w:r w:rsidRPr="005D3E24">
        <w:rPr>
          <w:rFonts w:ascii="Times New Roman" w:hAnsi="Times New Roman" w:cs="Times New Roman"/>
          <w:sz w:val="24"/>
          <w:szCs w:val="24"/>
          <w:lang w:eastAsia="en-GB"/>
        </w:rPr>
        <w:t>‘</w:t>
      </w:r>
      <w:r w:rsidRPr="005D3E24">
        <w:rPr>
          <w:rFonts w:ascii="Times New Roman" w:hAnsi="Times New Roman" w:cs="Times New Roman"/>
          <w:sz w:val="24"/>
          <w:szCs w:val="24"/>
        </w:rPr>
        <w:t>Europeanization and the Varying Responses in Collective Skill Regimes’. In R. M. Busemeyer &amp; C. Trampusch (eds)</w:t>
      </w:r>
      <w:r w:rsidRPr="005D3E24">
        <w:rPr>
          <w:rFonts w:ascii="Times New Roman" w:hAnsi="Times New Roman" w:cs="Times New Roman"/>
          <w:i/>
          <w:sz w:val="24"/>
          <w:szCs w:val="24"/>
        </w:rPr>
        <w:t xml:space="preserve"> The Political Economy of Collective Skill Formation, </w:t>
      </w:r>
      <w:r w:rsidRPr="005D3E24">
        <w:rPr>
          <w:rFonts w:ascii="Times New Roman" w:hAnsi="Times New Roman" w:cs="Times New Roman"/>
          <w:sz w:val="24"/>
          <w:szCs w:val="24"/>
        </w:rPr>
        <w:t xml:space="preserve">pp. 284–313. </w:t>
      </w:r>
      <w:r w:rsidR="001B34A7">
        <w:rPr>
          <w:rFonts w:ascii="Times New Roman" w:hAnsi="Times New Roman" w:cs="Times New Roman"/>
          <w:sz w:val="24"/>
          <w:szCs w:val="24"/>
        </w:rPr>
        <w:t xml:space="preserve">Oxford: </w:t>
      </w:r>
      <w:r w:rsidRPr="005D3E24">
        <w:rPr>
          <w:rFonts w:ascii="Times New Roman" w:hAnsi="Times New Roman" w:cs="Times New Roman"/>
          <w:sz w:val="24"/>
          <w:szCs w:val="24"/>
        </w:rPr>
        <w:t>Oxford University Press.</w:t>
      </w:r>
    </w:p>
    <w:p w14:paraId="717FC3C0" w14:textId="70C86E10" w:rsidR="003D0269" w:rsidRPr="005D3E24" w:rsidRDefault="00604D02" w:rsidP="005D3E24">
      <w:pPr>
        <w:pStyle w:val="Bibliography"/>
        <w:ind w:left="284" w:hanging="284"/>
        <w:rPr>
          <w:rFonts w:ascii="Times New Roman" w:hAnsi="Times New Roman" w:cs="Times New Roman"/>
          <w:sz w:val="24"/>
          <w:szCs w:val="24"/>
        </w:rPr>
      </w:pPr>
      <w:r w:rsidRPr="005D3E24">
        <w:rPr>
          <w:rFonts w:ascii="Times New Roman" w:hAnsi="Times New Roman" w:cs="Times New Roman"/>
          <w:sz w:val="24"/>
          <w:szCs w:val="24"/>
        </w:rPr>
        <w:t xml:space="preserve">Šabić, J. (2019). </w:t>
      </w:r>
      <w:r w:rsidRPr="005D3E24">
        <w:rPr>
          <w:rFonts w:ascii="Times New Roman" w:hAnsi="Times New Roman" w:cs="Times New Roman"/>
          <w:sz w:val="24"/>
          <w:szCs w:val="24"/>
          <w:lang w:eastAsia="en-GB"/>
        </w:rPr>
        <w:t>‘</w:t>
      </w:r>
      <w:r w:rsidRPr="005D3E24">
        <w:rPr>
          <w:rFonts w:ascii="Times New Roman" w:hAnsi="Times New Roman" w:cs="Times New Roman"/>
          <w:sz w:val="24"/>
          <w:szCs w:val="24"/>
        </w:rPr>
        <w:t xml:space="preserve">Populacijska perspektiva — Visokoškolski odabiri hrvatskih srednjoškolaca u razdoblju od 2010. Do 2017. godine’. In Z. Ristić Dedić &amp; B. Jokić (eds) </w:t>
      </w:r>
      <w:r w:rsidRPr="005D3E24">
        <w:rPr>
          <w:rFonts w:ascii="Times New Roman" w:hAnsi="Times New Roman" w:cs="Times New Roman"/>
          <w:i/>
          <w:sz w:val="24"/>
          <w:szCs w:val="24"/>
        </w:rPr>
        <w:t>Što nakon srednje? Želje, planovi i stavovi hrvatskih srednjoškolaca</w:t>
      </w:r>
      <w:r w:rsidRPr="005D3E24">
        <w:rPr>
          <w:rFonts w:ascii="Times New Roman" w:hAnsi="Times New Roman" w:cs="Times New Roman"/>
          <w:sz w:val="24"/>
          <w:szCs w:val="24"/>
        </w:rPr>
        <w:t>, pp. 136–185. Zagreb: Agencija za znanost i visoko obrazovanje.</w:t>
      </w:r>
    </w:p>
    <w:p w14:paraId="4D859828" w14:textId="44A7BDC5" w:rsidR="003D0269" w:rsidRPr="005D3E24" w:rsidRDefault="00604D02" w:rsidP="005D3E24">
      <w:pPr>
        <w:pStyle w:val="Bibliography"/>
        <w:ind w:left="284" w:hanging="284"/>
        <w:rPr>
          <w:rFonts w:ascii="Times New Roman" w:hAnsi="Times New Roman" w:cs="Times New Roman"/>
          <w:sz w:val="24"/>
          <w:szCs w:val="24"/>
        </w:rPr>
      </w:pPr>
      <w:r w:rsidRPr="005D3E24">
        <w:rPr>
          <w:rFonts w:ascii="Times New Roman" w:hAnsi="Times New Roman" w:cs="Times New Roman"/>
          <w:sz w:val="24"/>
          <w:szCs w:val="24"/>
        </w:rPr>
        <w:t>SRCE (2020). Standardi. Informacijski Sustav Hrvatskog Kvalifikacijskog Okvira.  Web page. &lt;https://hko.srce.hr/registar/standardi&gt;, accessed 2 October 2020.</w:t>
      </w:r>
    </w:p>
    <w:p w14:paraId="192B16AB" w14:textId="3FABCBD8" w:rsidR="003D0269" w:rsidRPr="005D3E24" w:rsidRDefault="00604D02" w:rsidP="005D3E24">
      <w:pPr>
        <w:pStyle w:val="Bibliography"/>
        <w:ind w:left="284" w:hanging="284"/>
        <w:rPr>
          <w:rFonts w:ascii="Times New Roman" w:hAnsi="Times New Roman" w:cs="Times New Roman"/>
          <w:sz w:val="24"/>
          <w:szCs w:val="24"/>
        </w:rPr>
      </w:pPr>
      <w:r w:rsidRPr="005D3E24">
        <w:rPr>
          <w:rFonts w:ascii="Times New Roman" w:hAnsi="Times New Roman" w:cs="Times New Roman"/>
          <w:sz w:val="24"/>
          <w:szCs w:val="24"/>
        </w:rPr>
        <w:t xml:space="preserve">Žiljak, T. (2013). </w:t>
      </w:r>
      <w:r w:rsidRPr="005D3E24">
        <w:rPr>
          <w:rFonts w:ascii="Times New Roman" w:hAnsi="Times New Roman" w:cs="Times New Roman"/>
          <w:sz w:val="24"/>
          <w:szCs w:val="24"/>
          <w:lang w:eastAsia="en-GB"/>
        </w:rPr>
        <w:t>‘</w:t>
      </w:r>
      <w:r w:rsidRPr="005D3E24">
        <w:rPr>
          <w:rFonts w:ascii="Times New Roman" w:hAnsi="Times New Roman" w:cs="Times New Roman"/>
          <w:sz w:val="24"/>
          <w:szCs w:val="24"/>
        </w:rPr>
        <w:t xml:space="preserve">Dvije faze obrazovne politike u Hrvatskoj nakon 1990. Godine’. </w:t>
      </w:r>
      <w:r w:rsidRPr="005D3E24">
        <w:rPr>
          <w:rFonts w:ascii="Times New Roman" w:hAnsi="Times New Roman" w:cs="Times New Roman"/>
          <w:i/>
          <w:sz w:val="24"/>
          <w:szCs w:val="24"/>
        </w:rPr>
        <w:t>Andragoški glasnik: glasilo Hrvatskog andragoškog društva</w:t>
      </w:r>
      <w:r w:rsidRPr="005D3E24">
        <w:rPr>
          <w:rFonts w:ascii="Times New Roman" w:hAnsi="Times New Roman" w:cs="Times New Roman"/>
          <w:sz w:val="24"/>
          <w:szCs w:val="24"/>
        </w:rPr>
        <w:t>, 17</w:t>
      </w:r>
      <w:r w:rsidR="001B34A7">
        <w:rPr>
          <w:rFonts w:ascii="Times New Roman" w:hAnsi="Times New Roman" w:cs="Times New Roman"/>
          <w:sz w:val="24"/>
          <w:szCs w:val="24"/>
        </w:rPr>
        <w:t xml:space="preserve"> </w:t>
      </w:r>
      <w:r w:rsidRPr="005D3E24">
        <w:rPr>
          <w:rFonts w:ascii="Times New Roman" w:hAnsi="Times New Roman" w:cs="Times New Roman"/>
          <w:sz w:val="24"/>
          <w:szCs w:val="24"/>
        </w:rPr>
        <w:t>(1), 7–23.</w:t>
      </w:r>
    </w:p>
    <w:p w14:paraId="25115352" w14:textId="0120F225" w:rsidR="003D0269" w:rsidRPr="005D3E24" w:rsidRDefault="00604D02" w:rsidP="005D3E24">
      <w:pPr>
        <w:pStyle w:val="Bibliography"/>
        <w:ind w:left="284" w:hanging="284"/>
        <w:rPr>
          <w:rFonts w:ascii="Times New Roman" w:hAnsi="Times New Roman" w:cs="Times New Roman"/>
          <w:sz w:val="24"/>
          <w:szCs w:val="24"/>
        </w:rPr>
      </w:pPr>
      <w:r w:rsidRPr="005D3E24">
        <w:rPr>
          <w:rFonts w:ascii="Times New Roman" w:hAnsi="Times New Roman" w:cs="Times New Roman"/>
          <w:sz w:val="24"/>
          <w:szCs w:val="24"/>
          <w:lang w:eastAsia="en-GB"/>
        </w:rPr>
        <w:t>––––</w:t>
      </w:r>
      <w:r w:rsidRPr="005D3E24">
        <w:rPr>
          <w:rFonts w:ascii="Times New Roman" w:hAnsi="Times New Roman" w:cs="Times New Roman"/>
          <w:sz w:val="24"/>
          <w:szCs w:val="24"/>
        </w:rPr>
        <w:t xml:space="preserve"> (2018). </w:t>
      </w:r>
      <w:r w:rsidRPr="005D3E24">
        <w:rPr>
          <w:rFonts w:ascii="Times New Roman" w:hAnsi="Times New Roman" w:cs="Times New Roman"/>
          <w:sz w:val="24"/>
          <w:szCs w:val="24"/>
          <w:lang w:eastAsia="en-GB"/>
        </w:rPr>
        <w:t>‘</w:t>
      </w:r>
      <w:r w:rsidRPr="005D3E24">
        <w:rPr>
          <w:rFonts w:ascii="Times New Roman" w:hAnsi="Times New Roman" w:cs="Times New Roman"/>
          <w:sz w:val="24"/>
          <w:szCs w:val="24"/>
        </w:rPr>
        <w:t>Adult education in Croatia after 1990’</w:t>
      </w:r>
      <w:r w:rsidR="001B34A7">
        <w:rPr>
          <w:rFonts w:ascii="Times New Roman" w:hAnsi="Times New Roman" w:cs="Times New Roman"/>
          <w:sz w:val="24"/>
          <w:szCs w:val="24"/>
        </w:rPr>
        <w:t>,</w:t>
      </w:r>
      <w:r w:rsidRPr="005D3E24">
        <w:rPr>
          <w:rFonts w:ascii="Times New Roman" w:hAnsi="Times New Roman" w:cs="Times New Roman"/>
          <w:sz w:val="24"/>
          <w:szCs w:val="24"/>
        </w:rPr>
        <w:t xml:space="preserve"> </w:t>
      </w:r>
      <w:r w:rsidRPr="005D3E24">
        <w:rPr>
          <w:rFonts w:ascii="Times New Roman" w:hAnsi="Times New Roman" w:cs="Times New Roman"/>
          <w:i/>
          <w:sz w:val="24"/>
          <w:szCs w:val="24"/>
        </w:rPr>
        <w:t>Andragoška spoznanja,</w:t>
      </w:r>
      <w:r w:rsidRPr="005D3E24">
        <w:rPr>
          <w:rFonts w:ascii="Times New Roman" w:hAnsi="Times New Roman" w:cs="Times New Roman"/>
          <w:sz w:val="24"/>
          <w:szCs w:val="24"/>
        </w:rPr>
        <w:t xml:space="preserve"> 24</w:t>
      </w:r>
      <w:r w:rsidR="001B34A7">
        <w:rPr>
          <w:rFonts w:ascii="Times New Roman" w:hAnsi="Times New Roman" w:cs="Times New Roman"/>
          <w:sz w:val="24"/>
          <w:szCs w:val="24"/>
        </w:rPr>
        <w:t xml:space="preserve"> </w:t>
      </w:r>
      <w:r w:rsidRPr="005D3E24">
        <w:rPr>
          <w:rFonts w:ascii="Times New Roman" w:hAnsi="Times New Roman" w:cs="Times New Roman"/>
          <w:sz w:val="24"/>
          <w:szCs w:val="24"/>
        </w:rPr>
        <w:t xml:space="preserve">(4), 53–68. </w:t>
      </w:r>
    </w:p>
    <w:p w14:paraId="24B64948" w14:textId="67F62D43" w:rsidR="003D0269" w:rsidRPr="005D3E24" w:rsidRDefault="00604D02" w:rsidP="005D3E24">
      <w:pPr>
        <w:pStyle w:val="Bibliography"/>
        <w:ind w:left="284" w:hanging="284"/>
        <w:rPr>
          <w:rFonts w:ascii="Times New Roman" w:hAnsi="Times New Roman" w:cs="Times New Roman"/>
          <w:sz w:val="24"/>
          <w:szCs w:val="24"/>
        </w:rPr>
      </w:pPr>
      <w:r w:rsidRPr="005D3E24">
        <w:rPr>
          <w:rFonts w:ascii="Times New Roman" w:hAnsi="Times New Roman" w:cs="Times New Roman"/>
          <w:sz w:val="24"/>
          <w:szCs w:val="24"/>
        </w:rPr>
        <w:lastRenderedPageBreak/>
        <w:t xml:space="preserve">Žiljak, T., &amp; Molnar, T. (2015). </w:t>
      </w:r>
      <w:r w:rsidRPr="005D3E24">
        <w:rPr>
          <w:rFonts w:ascii="Times New Roman" w:hAnsi="Times New Roman" w:cs="Times New Roman"/>
          <w:sz w:val="24"/>
          <w:szCs w:val="24"/>
          <w:lang w:eastAsia="en-GB"/>
        </w:rPr>
        <w:t>‘</w:t>
      </w:r>
      <w:r w:rsidRPr="005D3E24">
        <w:rPr>
          <w:rFonts w:ascii="Times New Roman" w:hAnsi="Times New Roman" w:cs="Times New Roman"/>
          <w:sz w:val="24"/>
          <w:szCs w:val="24"/>
        </w:rPr>
        <w:t xml:space="preserve">Croatian Education Policy in the EU Context’. In Z. Petak (ed.) </w:t>
      </w:r>
      <w:r w:rsidRPr="005D3E24">
        <w:rPr>
          <w:rFonts w:ascii="Times New Roman" w:hAnsi="Times New Roman" w:cs="Times New Roman"/>
          <w:i/>
          <w:sz w:val="24"/>
          <w:szCs w:val="24"/>
        </w:rPr>
        <w:t>EU Public Policies Seen from a National Perspective: Slovenia and Croatia in the European Union</w:t>
      </w:r>
      <w:r w:rsidRPr="005D3E24">
        <w:rPr>
          <w:rFonts w:ascii="Times New Roman" w:hAnsi="Times New Roman" w:cs="Times New Roman"/>
          <w:sz w:val="24"/>
          <w:szCs w:val="24"/>
        </w:rPr>
        <w:t>, pp. 279–297. Ljubljana: Faculty of Social Sciences.</w:t>
      </w:r>
    </w:p>
    <w:p w14:paraId="0026167E" w14:textId="77777777" w:rsidR="003D0269" w:rsidRPr="005D3E24" w:rsidRDefault="003D0269">
      <w:pPr>
        <w:tabs>
          <w:tab w:val="left" w:pos="6375"/>
        </w:tabs>
        <w:spacing w:after="120" w:line="240" w:lineRule="auto"/>
        <w:rPr>
          <w:rFonts w:ascii="Times New Roman" w:hAnsi="Times New Roman" w:cs="Times New Roman"/>
          <w:sz w:val="24"/>
          <w:szCs w:val="24"/>
        </w:rPr>
      </w:pPr>
    </w:p>
    <w:sectPr w:rsidR="003D0269" w:rsidRPr="005D3E24">
      <w:footerReference w:type="default" r:id="rId10"/>
      <w:pgSz w:w="12240" w:h="15840"/>
      <w:pgMar w:top="1417" w:right="1417" w:bottom="1417" w:left="1417" w:header="0" w:footer="0" w:gutter="0"/>
      <w:cols w:space="720"/>
      <w:formProt w:val="0"/>
      <w:docGrid w:linePitch="360" w:charSpace="-204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F5B836" w16cex:dateUtc="2021-07-30T12: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829847E" w16cid:durableId="24F5B83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1EDB6E" w14:textId="77777777" w:rsidR="009C7BE9" w:rsidRDefault="009C7BE9">
      <w:pPr>
        <w:spacing w:after="0" w:line="240" w:lineRule="auto"/>
      </w:pPr>
      <w:r>
        <w:separator/>
      </w:r>
    </w:p>
  </w:endnote>
  <w:endnote w:type="continuationSeparator" w:id="0">
    <w:p w14:paraId="0CC7F041" w14:textId="77777777" w:rsidR="009C7BE9" w:rsidRDefault="009C7B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Times New Roman">
    <w:altName w:val="Times New Roman"/>
    <w:panose1 w:val="00000000000000000000"/>
    <w:charset w:val="00"/>
    <w:family w:val="roman"/>
    <w:notTrueType/>
    <w:pitch w:val="default"/>
  </w:font>
  <w:font w:name="AR PL SungtiL GB">
    <w:panose1 w:val="00000000000000000000"/>
    <w:charset w:val="00"/>
    <w:family w:val="roman"/>
    <w:notTrueType/>
    <w:pitch w:val="default"/>
  </w:font>
  <w:font w:name="Lohit Hindi">
    <w:altName w:val="Times New Roman"/>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1430361"/>
      <w:docPartObj>
        <w:docPartGallery w:val="Page Numbers (Bottom of Page)"/>
        <w:docPartUnique/>
      </w:docPartObj>
    </w:sdtPr>
    <w:sdtEndPr>
      <w:rPr>
        <w:noProof/>
      </w:rPr>
    </w:sdtEndPr>
    <w:sdtContent>
      <w:p w14:paraId="0F35F215" w14:textId="3F070674" w:rsidR="005D3E24" w:rsidRDefault="005D3E24">
        <w:pPr>
          <w:pStyle w:val="Footer"/>
          <w:jc w:val="center"/>
        </w:pPr>
        <w:r>
          <w:fldChar w:fldCharType="begin"/>
        </w:r>
        <w:r>
          <w:instrText xml:space="preserve"> PAGE   \* MERGEFORMAT </w:instrText>
        </w:r>
        <w:r>
          <w:fldChar w:fldCharType="separate"/>
        </w:r>
        <w:r w:rsidR="000925E9">
          <w:rPr>
            <w:noProof/>
          </w:rPr>
          <w:t>20</w:t>
        </w:r>
        <w:r>
          <w:rPr>
            <w:noProof/>
          </w:rPr>
          <w:fldChar w:fldCharType="end"/>
        </w:r>
      </w:p>
    </w:sdtContent>
  </w:sdt>
  <w:p w14:paraId="2F254261" w14:textId="77777777" w:rsidR="005D3E24" w:rsidRDefault="005D3E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13E56D" w14:textId="77777777" w:rsidR="009C7BE9" w:rsidRDefault="009C7BE9">
      <w:r>
        <w:separator/>
      </w:r>
    </w:p>
  </w:footnote>
  <w:footnote w:type="continuationSeparator" w:id="0">
    <w:p w14:paraId="21CB530C" w14:textId="77777777" w:rsidR="009C7BE9" w:rsidRDefault="009C7B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6823A1"/>
    <w:multiLevelType w:val="multilevel"/>
    <w:tmpl w:val="341C6F7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42D77B3D"/>
    <w:multiLevelType w:val="multilevel"/>
    <w:tmpl w:val="291EBC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DD17E06"/>
    <w:multiLevelType w:val="multilevel"/>
    <w:tmpl w:val="E528BC9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269"/>
    <w:rsid w:val="0000612A"/>
    <w:rsid w:val="0001165F"/>
    <w:rsid w:val="00015214"/>
    <w:rsid w:val="00015B25"/>
    <w:rsid w:val="000246F1"/>
    <w:rsid w:val="00056373"/>
    <w:rsid w:val="00063853"/>
    <w:rsid w:val="0006578F"/>
    <w:rsid w:val="000925E9"/>
    <w:rsid w:val="000A7D81"/>
    <w:rsid w:val="000C0E12"/>
    <w:rsid w:val="000C393D"/>
    <w:rsid w:val="00126A71"/>
    <w:rsid w:val="00150844"/>
    <w:rsid w:val="001651FF"/>
    <w:rsid w:val="0017499C"/>
    <w:rsid w:val="00184324"/>
    <w:rsid w:val="001B34A7"/>
    <w:rsid w:val="001C1F16"/>
    <w:rsid w:val="001C6971"/>
    <w:rsid w:val="001E2F26"/>
    <w:rsid w:val="001F73FB"/>
    <w:rsid w:val="00216E0B"/>
    <w:rsid w:val="00217395"/>
    <w:rsid w:val="00225D70"/>
    <w:rsid w:val="00234DCC"/>
    <w:rsid w:val="00240459"/>
    <w:rsid w:val="00246EA6"/>
    <w:rsid w:val="00251DF1"/>
    <w:rsid w:val="002613EB"/>
    <w:rsid w:val="00267C54"/>
    <w:rsid w:val="00270BEC"/>
    <w:rsid w:val="00293DA1"/>
    <w:rsid w:val="002B35CB"/>
    <w:rsid w:val="002B3E5E"/>
    <w:rsid w:val="002D18EC"/>
    <w:rsid w:val="002D62F7"/>
    <w:rsid w:val="00303D7E"/>
    <w:rsid w:val="00314551"/>
    <w:rsid w:val="00317A8D"/>
    <w:rsid w:val="00317FE3"/>
    <w:rsid w:val="00331ECF"/>
    <w:rsid w:val="00333FF3"/>
    <w:rsid w:val="00345EF9"/>
    <w:rsid w:val="003569B2"/>
    <w:rsid w:val="003A3551"/>
    <w:rsid w:val="003B06E5"/>
    <w:rsid w:val="003C3F2E"/>
    <w:rsid w:val="003D0269"/>
    <w:rsid w:val="003D424E"/>
    <w:rsid w:val="003E172C"/>
    <w:rsid w:val="003F260F"/>
    <w:rsid w:val="0040302C"/>
    <w:rsid w:val="004036FC"/>
    <w:rsid w:val="00413EA5"/>
    <w:rsid w:val="00437AE4"/>
    <w:rsid w:val="00437F11"/>
    <w:rsid w:val="00445C3B"/>
    <w:rsid w:val="0044730E"/>
    <w:rsid w:val="00464222"/>
    <w:rsid w:val="00466C74"/>
    <w:rsid w:val="00480ED3"/>
    <w:rsid w:val="00482B27"/>
    <w:rsid w:val="00491E49"/>
    <w:rsid w:val="004A2D13"/>
    <w:rsid w:val="004A2DDA"/>
    <w:rsid w:val="004A751C"/>
    <w:rsid w:val="004B09BE"/>
    <w:rsid w:val="004B0BE5"/>
    <w:rsid w:val="004D607B"/>
    <w:rsid w:val="004D73BA"/>
    <w:rsid w:val="004E2330"/>
    <w:rsid w:val="004E4FEB"/>
    <w:rsid w:val="004E525B"/>
    <w:rsid w:val="004F610B"/>
    <w:rsid w:val="005004D7"/>
    <w:rsid w:val="00517329"/>
    <w:rsid w:val="0052701C"/>
    <w:rsid w:val="00541C66"/>
    <w:rsid w:val="00544453"/>
    <w:rsid w:val="005669FD"/>
    <w:rsid w:val="00566CBB"/>
    <w:rsid w:val="005A1753"/>
    <w:rsid w:val="005A2F4C"/>
    <w:rsid w:val="005A620F"/>
    <w:rsid w:val="005A6789"/>
    <w:rsid w:val="005D2C02"/>
    <w:rsid w:val="005D3E24"/>
    <w:rsid w:val="005D6B8A"/>
    <w:rsid w:val="005F4E68"/>
    <w:rsid w:val="00604D02"/>
    <w:rsid w:val="006055C5"/>
    <w:rsid w:val="00644F67"/>
    <w:rsid w:val="00645386"/>
    <w:rsid w:val="00657379"/>
    <w:rsid w:val="00657BAD"/>
    <w:rsid w:val="0066114F"/>
    <w:rsid w:val="006641C2"/>
    <w:rsid w:val="0067066E"/>
    <w:rsid w:val="00677F3F"/>
    <w:rsid w:val="00693A8A"/>
    <w:rsid w:val="006A4356"/>
    <w:rsid w:val="006A594E"/>
    <w:rsid w:val="006A7E88"/>
    <w:rsid w:val="006B5176"/>
    <w:rsid w:val="006B7EA9"/>
    <w:rsid w:val="006E1351"/>
    <w:rsid w:val="006E3594"/>
    <w:rsid w:val="006E542C"/>
    <w:rsid w:val="00702B9D"/>
    <w:rsid w:val="00703532"/>
    <w:rsid w:val="00722A27"/>
    <w:rsid w:val="00745BFE"/>
    <w:rsid w:val="007513D7"/>
    <w:rsid w:val="00786782"/>
    <w:rsid w:val="007B7CE6"/>
    <w:rsid w:val="007C1E2F"/>
    <w:rsid w:val="007C3DA3"/>
    <w:rsid w:val="007E3FCB"/>
    <w:rsid w:val="00811C6E"/>
    <w:rsid w:val="00824260"/>
    <w:rsid w:val="00830106"/>
    <w:rsid w:val="00830CBD"/>
    <w:rsid w:val="00854B31"/>
    <w:rsid w:val="00863665"/>
    <w:rsid w:val="008A354C"/>
    <w:rsid w:val="008B621E"/>
    <w:rsid w:val="008D2DBE"/>
    <w:rsid w:val="00903362"/>
    <w:rsid w:val="0091539B"/>
    <w:rsid w:val="00921C2B"/>
    <w:rsid w:val="00922BBC"/>
    <w:rsid w:val="0093593A"/>
    <w:rsid w:val="009417DD"/>
    <w:rsid w:val="00942401"/>
    <w:rsid w:val="0096050F"/>
    <w:rsid w:val="009637DD"/>
    <w:rsid w:val="00977090"/>
    <w:rsid w:val="00982287"/>
    <w:rsid w:val="009A5C73"/>
    <w:rsid w:val="009A7DCA"/>
    <w:rsid w:val="009C71DC"/>
    <w:rsid w:val="009C7BE9"/>
    <w:rsid w:val="009D01A2"/>
    <w:rsid w:val="009E3C05"/>
    <w:rsid w:val="00A33B42"/>
    <w:rsid w:val="00A35BEF"/>
    <w:rsid w:val="00A3619B"/>
    <w:rsid w:val="00A36A65"/>
    <w:rsid w:val="00A40DBB"/>
    <w:rsid w:val="00A650ED"/>
    <w:rsid w:val="00A83677"/>
    <w:rsid w:val="00AA5898"/>
    <w:rsid w:val="00AB4324"/>
    <w:rsid w:val="00AC0740"/>
    <w:rsid w:val="00AC5EB5"/>
    <w:rsid w:val="00AD1C93"/>
    <w:rsid w:val="00AE0EFD"/>
    <w:rsid w:val="00B0057C"/>
    <w:rsid w:val="00B2023A"/>
    <w:rsid w:val="00B2407B"/>
    <w:rsid w:val="00B33528"/>
    <w:rsid w:val="00B42910"/>
    <w:rsid w:val="00B43385"/>
    <w:rsid w:val="00B51188"/>
    <w:rsid w:val="00B550AB"/>
    <w:rsid w:val="00B72671"/>
    <w:rsid w:val="00B74021"/>
    <w:rsid w:val="00B9071A"/>
    <w:rsid w:val="00B94C96"/>
    <w:rsid w:val="00BB338E"/>
    <w:rsid w:val="00BC516E"/>
    <w:rsid w:val="00BD18ED"/>
    <w:rsid w:val="00BD29B5"/>
    <w:rsid w:val="00BE2E00"/>
    <w:rsid w:val="00BE4296"/>
    <w:rsid w:val="00C0261F"/>
    <w:rsid w:val="00C0627B"/>
    <w:rsid w:val="00C07A26"/>
    <w:rsid w:val="00C23245"/>
    <w:rsid w:val="00C43C0B"/>
    <w:rsid w:val="00C51FEE"/>
    <w:rsid w:val="00C5265F"/>
    <w:rsid w:val="00C75949"/>
    <w:rsid w:val="00C921C2"/>
    <w:rsid w:val="00C93B4D"/>
    <w:rsid w:val="00CB48E9"/>
    <w:rsid w:val="00CC0BD7"/>
    <w:rsid w:val="00CC7AEB"/>
    <w:rsid w:val="00CE02FE"/>
    <w:rsid w:val="00CE0BC4"/>
    <w:rsid w:val="00CE37A1"/>
    <w:rsid w:val="00D14D92"/>
    <w:rsid w:val="00D5690A"/>
    <w:rsid w:val="00D61CB2"/>
    <w:rsid w:val="00D7666E"/>
    <w:rsid w:val="00D9665B"/>
    <w:rsid w:val="00DA7585"/>
    <w:rsid w:val="00DB1865"/>
    <w:rsid w:val="00DE1C99"/>
    <w:rsid w:val="00DE7A93"/>
    <w:rsid w:val="00DE7EDE"/>
    <w:rsid w:val="00DF1E59"/>
    <w:rsid w:val="00E255C9"/>
    <w:rsid w:val="00E27BE1"/>
    <w:rsid w:val="00E354F1"/>
    <w:rsid w:val="00E5736F"/>
    <w:rsid w:val="00E57C8B"/>
    <w:rsid w:val="00E609DA"/>
    <w:rsid w:val="00E62E45"/>
    <w:rsid w:val="00EA1770"/>
    <w:rsid w:val="00EB06E0"/>
    <w:rsid w:val="00EB7EBD"/>
    <w:rsid w:val="00EC437C"/>
    <w:rsid w:val="00ED106F"/>
    <w:rsid w:val="00F221C5"/>
    <w:rsid w:val="00F44D53"/>
    <w:rsid w:val="00F512E7"/>
    <w:rsid w:val="00F717C9"/>
    <w:rsid w:val="00FA1121"/>
    <w:rsid w:val="00FA7D86"/>
    <w:rsid w:val="00FC09A6"/>
    <w:rsid w:val="00FE2644"/>
    <w:rsid w:val="00FF4E7E"/>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698A8C"/>
  <w15:docId w15:val="{B2E6D7DE-A12C-4CC7-AA50-B6460016C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55F0"/>
    <w:pPr>
      <w:spacing w:after="160" w:line="259" w:lineRule="auto"/>
    </w:pPr>
    <w:rPr>
      <w:color w:val="00000A"/>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8255F0"/>
    <w:rPr>
      <w:rFonts w:ascii="Segoe UI" w:hAnsi="Segoe UI" w:cs="Segoe UI"/>
      <w:sz w:val="18"/>
      <w:szCs w:val="18"/>
    </w:rPr>
  </w:style>
  <w:style w:type="character" w:customStyle="1" w:styleId="CommentTextChar">
    <w:name w:val="Comment Text Char"/>
    <w:basedOn w:val="DefaultParagraphFont"/>
    <w:link w:val="CommentText"/>
    <w:uiPriority w:val="99"/>
    <w:qFormat/>
    <w:rsid w:val="00E05B16"/>
    <w:rPr>
      <w:rFonts w:ascii="Calibri" w:eastAsia="Calibri" w:hAnsi="Calibri" w:cs="Calibri"/>
      <w:sz w:val="20"/>
      <w:szCs w:val="20"/>
      <w:lang w:val="en-GB"/>
    </w:rPr>
  </w:style>
  <w:style w:type="character" w:styleId="CommentReference">
    <w:name w:val="annotation reference"/>
    <w:uiPriority w:val="99"/>
    <w:semiHidden/>
    <w:qFormat/>
    <w:rsid w:val="00E05B16"/>
    <w:rPr>
      <w:rFonts w:cs="Times New Roman"/>
      <w:sz w:val="16"/>
      <w:szCs w:val="16"/>
    </w:rPr>
  </w:style>
  <w:style w:type="character" w:customStyle="1" w:styleId="FootnoteTextChar">
    <w:name w:val="Footnote Text Char"/>
    <w:basedOn w:val="DefaultParagraphFont"/>
    <w:link w:val="FootnoteText"/>
    <w:uiPriority w:val="99"/>
    <w:semiHidden/>
    <w:qFormat/>
    <w:rsid w:val="007D0882"/>
    <w:rPr>
      <w:sz w:val="20"/>
      <w:szCs w:val="20"/>
    </w:rPr>
  </w:style>
  <w:style w:type="character" w:styleId="FootnoteReference">
    <w:name w:val="footnote reference"/>
    <w:basedOn w:val="DefaultParagraphFont"/>
    <w:uiPriority w:val="99"/>
    <w:semiHidden/>
    <w:unhideWhenUsed/>
    <w:qFormat/>
    <w:rsid w:val="007D0882"/>
    <w:rPr>
      <w:vertAlign w:val="superscript"/>
    </w:rPr>
  </w:style>
  <w:style w:type="character" w:customStyle="1" w:styleId="InternetLink">
    <w:name w:val="Internet Link"/>
    <w:uiPriority w:val="99"/>
    <w:rsid w:val="007D0882"/>
    <w:rPr>
      <w:color w:val="548DD4"/>
    </w:rPr>
  </w:style>
  <w:style w:type="character" w:customStyle="1" w:styleId="CommentSubjectChar">
    <w:name w:val="Comment Subject Char"/>
    <w:basedOn w:val="CommentTextChar"/>
    <w:link w:val="CommentSubject"/>
    <w:uiPriority w:val="99"/>
    <w:semiHidden/>
    <w:qFormat/>
    <w:rsid w:val="007D0882"/>
    <w:rPr>
      <w:rFonts w:ascii="Calibri" w:eastAsia="Calibri" w:hAnsi="Calibri" w:cs="Calibri"/>
      <w:b/>
      <w:bCs/>
      <w:sz w:val="20"/>
      <w:szCs w:val="20"/>
      <w:lang w:val="en-GB"/>
    </w:rPr>
  </w:style>
  <w:style w:type="character" w:styleId="EndnoteReference">
    <w:name w:val="endnote reference"/>
    <w:basedOn w:val="DefaultParagraphFont"/>
    <w:uiPriority w:val="99"/>
    <w:semiHidden/>
    <w:unhideWhenUsed/>
    <w:qFormat/>
    <w:rsid w:val="00CB4E61"/>
    <w:rPr>
      <w:vertAlign w:val="superscript"/>
    </w:rPr>
  </w:style>
  <w:style w:type="character" w:customStyle="1" w:styleId="data-product-info-title">
    <w:name w:val="data-product-info-title"/>
    <w:basedOn w:val="DefaultParagraphFont"/>
    <w:qFormat/>
    <w:rsid w:val="000A3F1E"/>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i/>
    </w:rPr>
  </w:style>
  <w:style w:type="character" w:customStyle="1" w:styleId="FootnoteCharacters">
    <w:name w:val="Footnote Characters"/>
    <w:qFormat/>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character" w:customStyle="1" w:styleId="ListLabel5">
    <w:name w:val="ListLabel 5"/>
    <w:qFormat/>
    <w:rPr>
      <w:rFonts w:cs="Symbol"/>
    </w:rPr>
  </w:style>
  <w:style w:type="character" w:customStyle="1" w:styleId="ListLabel6">
    <w:name w:val="ListLabel 6"/>
    <w:qFormat/>
    <w:rPr>
      <w:rFonts w:cs="Courier New"/>
    </w:rPr>
  </w:style>
  <w:style w:type="character" w:customStyle="1" w:styleId="ListLabel7">
    <w:name w:val="ListLabel 7"/>
    <w:qFormat/>
    <w:rPr>
      <w:rFonts w:cs="Wingdings"/>
    </w:rPr>
  </w:style>
  <w:style w:type="character" w:customStyle="1" w:styleId="ListLabel8">
    <w:name w:val="ListLabel 8"/>
    <w:qFormat/>
    <w:rPr>
      <w:rFonts w:cs="Symbol"/>
    </w:rPr>
  </w:style>
  <w:style w:type="character" w:customStyle="1" w:styleId="ListLabel9">
    <w:name w:val="ListLabel 9"/>
    <w:qFormat/>
    <w:rPr>
      <w:rFonts w:cs="Courier New"/>
    </w:rPr>
  </w:style>
  <w:style w:type="character" w:customStyle="1" w:styleId="ListLabel10">
    <w:name w:val="ListLabel 10"/>
    <w:qFormat/>
    <w:rPr>
      <w:rFonts w:cs="Wingdings"/>
    </w:rPr>
  </w:style>
  <w:style w:type="character" w:customStyle="1" w:styleId="ListLabel11">
    <w:name w:val="ListLabel 11"/>
    <w:qFormat/>
    <w:rPr>
      <w:rFonts w:cs="Symbol"/>
    </w:rPr>
  </w:style>
  <w:style w:type="character" w:customStyle="1" w:styleId="ListLabel12">
    <w:name w:val="ListLabel 12"/>
    <w:qFormat/>
    <w:rPr>
      <w:rFonts w:cs="Courier New"/>
    </w:rPr>
  </w:style>
  <w:style w:type="character" w:customStyle="1" w:styleId="ListLabel13">
    <w:name w:val="ListLabel 13"/>
    <w:qFormat/>
    <w:rPr>
      <w:rFonts w:cs="Wingdings"/>
    </w:rPr>
  </w:style>
  <w:style w:type="character" w:customStyle="1" w:styleId="ListLabel14">
    <w:name w:val="ListLabel 14"/>
    <w:qFormat/>
    <w:rPr>
      <w:rFonts w:cs="Symbol"/>
    </w:rPr>
  </w:style>
  <w:style w:type="character" w:customStyle="1" w:styleId="ListLabel15">
    <w:name w:val="ListLabel 15"/>
    <w:qFormat/>
    <w:rPr>
      <w:rFonts w:cs="Courier New"/>
    </w:rPr>
  </w:style>
  <w:style w:type="character" w:customStyle="1" w:styleId="ListLabel16">
    <w:name w:val="ListLabel 16"/>
    <w:qFormat/>
    <w:rPr>
      <w:rFonts w:cs="Wingdings"/>
    </w:rPr>
  </w:style>
  <w:style w:type="character" w:customStyle="1" w:styleId="ListLabel17">
    <w:name w:val="ListLabel 17"/>
    <w:qFormat/>
    <w:rPr>
      <w:rFonts w:cs="Symbol"/>
    </w:rPr>
  </w:style>
  <w:style w:type="character" w:customStyle="1" w:styleId="ListLabel18">
    <w:name w:val="ListLabel 18"/>
    <w:qFormat/>
    <w:rPr>
      <w:rFonts w:cs="Courier New"/>
    </w:rPr>
  </w:style>
  <w:style w:type="character" w:customStyle="1" w:styleId="ListLabel19">
    <w:name w:val="ListLabel 19"/>
    <w:qFormat/>
    <w:rPr>
      <w:rFonts w:cs="Wingdings"/>
    </w:rPr>
  </w:style>
  <w:style w:type="character" w:customStyle="1" w:styleId="ListLabel20">
    <w:name w:val="ListLabel 20"/>
    <w:qFormat/>
    <w:rPr>
      <w:rFonts w:cs="Symbol"/>
    </w:rPr>
  </w:style>
  <w:style w:type="character" w:customStyle="1" w:styleId="ListLabel21">
    <w:name w:val="ListLabel 21"/>
    <w:qFormat/>
    <w:rPr>
      <w:rFonts w:cs="Courier New"/>
    </w:rPr>
  </w:style>
  <w:style w:type="character" w:customStyle="1" w:styleId="ListLabel22">
    <w:name w:val="ListLabel 22"/>
    <w:qFormat/>
    <w:rPr>
      <w:rFonts w:cs="Wingdings"/>
    </w:rPr>
  </w:style>
  <w:style w:type="character" w:customStyle="1" w:styleId="ListLabel23">
    <w:name w:val="ListLabel 23"/>
    <w:qFormat/>
    <w:rPr>
      <w:rFonts w:cs="Symbol"/>
    </w:rPr>
  </w:style>
  <w:style w:type="character" w:customStyle="1" w:styleId="ListLabel24">
    <w:name w:val="ListLabel 24"/>
    <w:qFormat/>
    <w:rPr>
      <w:rFonts w:cs="Courier New"/>
    </w:rPr>
  </w:style>
  <w:style w:type="character" w:customStyle="1" w:styleId="ListLabel25">
    <w:name w:val="ListLabel 25"/>
    <w:qFormat/>
    <w:rPr>
      <w:rFonts w:cs="Wingdings"/>
    </w:rPr>
  </w:style>
  <w:style w:type="character" w:customStyle="1" w:styleId="ListLabel26">
    <w:name w:val="ListLabel 26"/>
    <w:qFormat/>
    <w:rPr>
      <w:rFonts w:cs="Symbol"/>
    </w:rPr>
  </w:style>
  <w:style w:type="character" w:customStyle="1" w:styleId="ListLabel27">
    <w:name w:val="ListLabel 27"/>
    <w:qFormat/>
    <w:rPr>
      <w:rFonts w:cs="Courier New"/>
    </w:rPr>
  </w:style>
  <w:style w:type="character" w:customStyle="1" w:styleId="ListLabel28">
    <w:name w:val="ListLabel 28"/>
    <w:qFormat/>
    <w:rPr>
      <w:rFonts w:cs="Wingdings"/>
    </w:rPr>
  </w:style>
  <w:style w:type="character" w:customStyle="1" w:styleId="ListLabel29">
    <w:name w:val="ListLabel 29"/>
    <w:qFormat/>
    <w:rPr>
      <w:rFonts w:cs="Symbol"/>
    </w:rPr>
  </w:style>
  <w:style w:type="character" w:customStyle="1" w:styleId="ListLabel30">
    <w:name w:val="ListLabel 30"/>
    <w:qFormat/>
    <w:rPr>
      <w:rFonts w:cs="Courier New"/>
    </w:rPr>
  </w:style>
  <w:style w:type="character" w:customStyle="1" w:styleId="ListLabel31">
    <w:name w:val="ListLabel 31"/>
    <w:qFormat/>
    <w:rPr>
      <w:rFonts w:cs="Wingdings"/>
    </w:rPr>
  </w:style>
  <w:style w:type="paragraph" w:customStyle="1" w:styleId="Heading">
    <w:name w:val="Heading"/>
    <w:basedOn w:val="Normal"/>
    <w:next w:val="TextBody"/>
    <w:qFormat/>
    <w:pPr>
      <w:keepNext/>
      <w:spacing w:before="240" w:after="120"/>
    </w:pPr>
    <w:rPr>
      <w:rFonts w:ascii="Times;Times New Roman" w:eastAsia="AR PL SungtiL GB" w:hAnsi="Times;Times New Roman" w:cs="Lohit Hindi"/>
      <w:sz w:val="28"/>
      <w:szCs w:val="28"/>
    </w:rPr>
  </w:style>
  <w:style w:type="paragraph" w:customStyle="1" w:styleId="TextBody">
    <w:name w:val="Text Body"/>
    <w:basedOn w:val="Normal"/>
    <w:pPr>
      <w:spacing w:after="140" w:line="288" w:lineRule="auto"/>
    </w:pPr>
  </w:style>
  <w:style w:type="paragraph" w:styleId="List">
    <w:name w:val="List"/>
    <w:basedOn w:val="TextBody"/>
    <w:rPr>
      <w:rFonts w:ascii="Times;Times New Roman" w:hAnsi="Times;Times New Roman" w:cs="Lohit Hindi"/>
    </w:rPr>
  </w:style>
  <w:style w:type="paragraph" w:styleId="Caption">
    <w:name w:val="caption"/>
    <w:basedOn w:val="Normal"/>
    <w:qFormat/>
    <w:pPr>
      <w:suppressLineNumbers/>
      <w:spacing w:before="120" w:after="120"/>
    </w:pPr>
    <w:rPr>
      <w:rFonts w:ascii="Times;Times New Roman" w:hAnsi="Times;Times New Roman" w:cs="Lohit Hindi"/>
      <w:i/>
      <w:iCs/>
      <w:sz w:val="24"/>
      <w:szCs w:val="24"/>
    </w:rPr>
  </w:style>
  <w:style w:type="paragraph" w:customStyle="1" w:styleId="Index">
    <w:name w:val="Index"/>
    <w:basedOn w:val="Normal"/>
    <w:qFormat/>
    <w:pPr>
      <w:suppressLineNumbers/>
    </w:pPr>
    <w:rPr>
      <w:rFonts w:ascii="Times;Times New Roman" w:hAnsi="Times;Times New Roman" w:cs="Lohit Hindi"/>
    </w:rPr>
  </w:style>
  <w:style w:type="paragraph" w:styleId="BalloonText">
    <w:name w:val="Balloon Text"/>
    <w:basedOn w:val="Normal"/>
    <w:link w:val="BalloonTextChar"/>
    <w:uiPriority w:val="99"/>
    <w:semiHidden/>
    <w:unhideWhenUsed/>
    <w:qFormat/>
    <w:rsid w:val="008255F0"/>
    <w:pPr>
      <w:spacing w:after="0" w:line="240" w:lineRule="auto"/>
    </w:pPr>
    <w:rPr>
      <w:rFonts w:ascii="Segoe UI" w:hAnsi="Segoe UI" w:cs="Segoe UI"/>
      <w:sz w:val="18"/>
      <w:szCs w:val="18"/>
    </w:rPr>
  </w:style>
  <w:style w:type="paragraph" w:styleId="CommentText">
    <w:name w:val="annotation text"/>
    <w:basedOn w:val="Normal"/>
    <w:link w:val="CommentTextChar"/>
    <w:uiPriority w:val="99"/>
    <w:qFormat/>
    <w:rsid w:val="00E05B16"/>
    <w:pPr>
      <w:spacing w:line="240" w:lineRule="auto"/>
    </w:pPr>
    <w:rPr>
      <w:rFonts w:ascii="Calibri" w:eastAsia="Calibri" w:hAnsi="Calibri" w:cs="Calibri"/>
      <w:sz w:val="20"/>
      <w:szCs w:val="20"/>
    </w:rPr>
  </w:style>
  <w:style w:type="paragraph" w:styleId="FootnoteText">
    <w:name w:val="footnote text"/>
    <w:basedOn w:val="Normal"/>
    <w:link w:val="FootnoteTextChar"/>
    <w:uiPriority w:val="99"/>
    <w:semiHidden/>
    <w:unhideWhenUsed/>
    <w:qFormat/>
    <w:rsid w:val="007D0882"/>
    <w:pPr>
      <w:spacing w:after="0" w:line="240" w:lineRule="auto"/>
    </w:pPr>
    <w:rPr>
      <w:sz w:val="20"/>
      <w:szCs w:val="20"/>
    </w:rPr>
  </w:style>
  <w:style w:type="paragraph" w:styleId="ListParagraph">
    <w:name w:val="List Paragraph"/>
    <w:basedOn w:val="Normal"/>
    <w:uiPriority w:val="34"/>
    <w:qFormat/>
    <w:rsid w:val="007D0882"/>
    <w:pPr>
      <w:ind w:left="720"/>
      <w:contextualSpacing/>
    </w:pPr>
  </w:style>
  <w:style w:type="paragraph" w:styleId="CommentSubject">
    <w:name w:val="annotation subject"/>
    <w:basedOn w:val="CommentText"/>
    <w:link w:val="CommentSubjectChar"/>
    <w:uiPriority w:val="99"/>
    <w:semiHidden/>
    <w:unhideWhenUsed/>
    <w:qFormat/>
    <w:rsid w:val="007D0882"/>
    <w:rPr>
      <w:rFonts w:asciiTheme="minorHAnsi" w:eastAsiaTheme="minorHAnsi" w:hAnsiTheme="minorHAnsi" w:cstheme="minorBidi"/>
      <w:b/>
      <w:bCs/>
      <w:lang w:val="en-US"/>
    </w:rPr>
  </w:style>
  <w:style w:type="paragraph" w:styleId="Bibliography">
    <w:name w:val="Bibliography"/>
    <w:basedOn w:val="Normal"/>
    <w:next w:val="Normal"/>
    <w:uiPriority w:val="37"/>
    <w:unhideWhenUsed/>
    <w:qFormat/>
    <w:rsid w:val="00144032"/>
    <w:pPr>
      <w:spacing w:after="0" w:line="480" w:lineRule="auto"/>
      <w:ind w:left="720" w:hanging="720"/>
    </w:pPr>
  </w:style>
  <w:style w:type="paragraph" w:styleId="Revision">
    <w:name w:val="Revision"/>
    <w:uiPriority w:val="99"/>
    <w:semiHidden/>
    <w:qFormat/>
    <w:rsid w:val="00F51488"/>
    <w:rPr>
      <w:color w:val="00000A"/>
      <w:sz w:val="22"/>
    </w:rPr>
  </w:style>
  <w:style w:type="paragraph" w:customStyle="1" w:styleId="Footnote">
    <w:name w:val="Footnote"/>
    <w:basedOn w:val="Normal"/>
  </w:style>
  <w:style w:type="table" w:styleId="TableGrid">
    <w:name w:val="Table Grid"/>
    <w:basedOn w:val="TableNormal"/>
    <w:uiPriority w:val="39"/>
    <w:rsid w:val="002527E0"/>
    <w:rPr>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E4F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4FEB"/>
    <w:rPr>
      <w:color w:val="00000A"/>
      <w:sz w:val="22"/>
    </w:rPr>
  </w:style>
  <w:style w:type="paragraph" w:styleId="Footer">
    <w:name w:val="footer"/>
    <w:basedOn w:val="Normal"/>
    <w:link w:val="FooterChar"/>
    <w:uiPriority w:val="99"/>
    <w:unhideWhenUsed/>
    <w:rsid w:val="004E4F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4FEB"/>
    <w:rPr>
      <w:color w:val="00000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2A6FCF-CFBF-4EB9-8D92-49D22F121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9318</Words>
  <Characters>53119</Characters>
  <Application>Microsoft Office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Author 2</dc:creator>
  <cp:lastModifiedBy>Teo Matkovic</cp:lastModifiedBy>
  <cp:revision>3</cp:revision>
  <cp:lastPrinted>2020-11-09T09:41:00Z</cp:lastPrinted>
  <dcterms:created xsi:type="dcterms:W3CDTF">2022-07-19T13:54:00Z</dcterms:created>
  <dcterms:modified xsi:type="dcterms:W3CDTF">2022-07-19T13:55:00Z</dcterms:modified>
  <dc:language>hr-HR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ZOTERO_PREF_1">
    <vt:lpwstr>&lt;data data-version="3" zotero-version="5.0.96"&gt;&lt;session id="kXvX6ft7"/&gt;&lt;style id="http://www.zotero.org/styles/apa" locale="en-GB" hasBibliography="1" bibliographyStyleHasBeenSet="1"/&gt;&lt;prefs&gt;&lt;pref name="fieldType" value="Field"/&gt;&lt;pref name="automaticJourn</vt:lpwstr>
  </property>
  <property fmtid="{D5CDD505-2E9C-101B-9397-08002B2CF9AE}" pid="9" name="ZOTERO_PREF_2">
    <vt:lpwstr>alAbbreviations" value="true"/&gt;&lt;/prefs&gt;&lt;/data&gt;</vt:lpwstr>
  </property>
</Properties>
</file>