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557" w:rsidRPr="003E3557" w:rsidRDefault="003E3557" w:rsidP="003E3557">
      <w:pPr>
        <w:spacing w:after="0" w:line="240" w:lineRule="auto"/>
        <w:rPr>
          <w:rFonts w:ascii="Arial" w:eastAsia="Times New Roman" w:hAnsi="Arial" w:cs="Arial"/>
          <w:sz w:val="24"/>
          <w:szCs w:val="24"/>
          <w:lang w:eastAsia="hr-HR"/>
        </w:rPr>
      </w:pPr>
      <w:bookmarkStart w:id="0" w:name="_GoBack"/>
      <w:bookmarkEnd w:id="0"/>
      <w:r w:rsidRPr="003E3557">
        <w:rPr>
          <w:rFonts w:ascii="Arial" w:eastAsia="Times New Roman" w:hAnsi="Arial" w:cs="Arial"/>
          <w:sz w:val="24"/>
          <w:szCs w:val="24"/>
          <w:lang w:eastAsia="hr-HR"/>
        </w:rPr>
        <w:t>EUROPEAN SPATIAL RESEARCH AND POLICY</w:t>
      </w:r>
      <w:r w:rsidRPr="003E3557">
        <w:rPr>
          <w:rFonts w:ascii="Arial" w:eastAsia="Times New Roman" w:hAnsi="Arial" w:cs="Arial"/>
          <w:sz w:val="24"/>
          <w:szCs w:val="24"/>
          <w:lang w:eastAsia="hr-HR"/>
        </w:rPr>
        <w:br/>
        <w:t>Volume 33, 2026, Number 2</w:t>
      </w:r>
    </w:p>
    <w:p w:rsidR="003E3557" w:rsidRPr="003E3557" w:rsidRDefault="003E3557" w:rsidP="003E3557">
      <w:pPr>
        <w:spacing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DOI: </w:t>
      </w:r>
      <w:hyperlink r:id="rId5" w:history="1">
        <w:r w:rsidRPr="003E3557">
          <w:rPr>
            <w:rFonts w:ascii="Arial" w:eastAsia="Times New Roman" w:hAnsi="Arial" w:cs="Arial"/>
            <w:color w:val="006164"/>
            <w:sz w:val="24"/>
            <w:szCs w:val="24"/>
            <w:u w:val="single"/>
            <w:lang w:eastAsia="hr-HR"/>
          </w:rPr>
          <w:t>https://doi.org/10.18778/1231-1952.33.2.02</w:t>
        </w:r>
      </w:hyperlink>
      <w:r w:rsidRPr="003E3557">
        <w:rPr>
          <w:rFonts w:ascii="Arial" w:eastAsia="Times New Roman" w:hAnsi="Arial" w:cs="Arial"/>
          <w:sz w:val="24"/>
          <w:szCs w:val="24"/>
          <w:lang w:eastAsia="hr-HR"/>
        </w:rPr>
        <w:br/>
      </w:r>
      <w:r w:rsidRPr="003E3557">
        <w:rPr>
          <w:rFonts w:ascii="Arial" w:eastAsia="Times New Roman" w:hAnsi="Arial" w:cs="Arial"/>
          <w:noProof/>
          <w:color w:val="006164"/>
          <w:sz w:val="24"/>
          <w:szCs w:val="24"/>
          <w:lang w:eastAsia="hr-HR"/>
        </w:rPr>
        <w:drawing>
          <wp:inline distT="0" distB="0" distL="0" distR="0">
            <wp:extent cx="2943225" cy="561975"/>
            <wp:effectExtent l="0" t="0" r="9525" b="9525"/>
            <wp:docPr id="5" name="Picture 5" descr="Check for update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 for updates">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3225" cy="561975"/>
                    </a:xfrm>
                    <a:prstGeom prst="rect">
                      <a:avLst/>
                    </a:prstGeom>
                    <a:noFill/>
                    <a:ln>
                      <a:noFill/>
                    </a:ln>
                  </pic:spPr>
                </pic:pic>
              </a:graphicData>
            </a:graphic>
          </wp:inline>
        </w:drawing>
      </w:r>
    </w:p>
    <w:p w:rsidR="003E3557" w:rsidRPr="003E3557" w:rsidRDefault="003E3557" w:rsidP="003E3557">
      <w:pPr>
        <w:spacing w:before="100" w:beforeAutospacing="1" w:after="100" w:afterAutospacing="1" w:line="240" w:lineRule="auto"/>
        <w:jc w:val="center"/>
        <w:outlineLvl w:val="0"/>
        <w:rPr>
          <w:rFonts w:ascii="Arial" w:eastAsia="Times New Roman" w:hAnsi="Arial" w:cs="Arial"/>
          <w:b/>
          <w:bCs/>
          <w:kern w:val="36"/>
          <w:sz w:val="48"/>
          <w:szCs w:val="48"/>
          <w:lang w:eastAsia="hr-HR"/>
        </w:rPr>
      </w:pPr>
      <w:r w:rsidRPr="003E3557">
        <w:rPr>
          <w:rFonts w:ascii="Arial" w:eastAsia="Times New Roman" w:hAnsi="Arial" w:cs="Arial"/>
          <w:b/>
          <w:bCs/>
          <w:kern w:val="36"/>
          <w:sz w:val="48"/>
          <w:szCs w:val="48"/>
          <w:lang w:eastAsia="hr-HR"/>
        </w:rPr>
        <w:t>Housing affordability in Croatian large housing estates in the light of energy renovation and green transition</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Anamaria KLASIĆ </w:t>
      </w:r>
      <w:r w:rsidRPr="003E3557">
        <w:rPr>
          <w:rFonts w:ascii="Arial" w:eastAsia="Times New Roman" w:hAnsi="Arial" w:cs="Arial"/>
          <w:noProof/>
          <w:color w:val="006164"/>
          <w:sz w:val="24"/>
          <w:szCs w:val="24"/>
          <w:lang w:eastAsia="hr-HR"/>
        </w:rPr>
        <w:drawing>
          <wp:inline distT="0" distB="0" distL="0" distR="0">
            <wp:extent cx="228600" cy="228600"/>
            <wp:effectExtent l="0" t="0" r="0" b="0"/>
            <wp:docPr id="4" name="Picture 4" descr="logo ORCID">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ORCID">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hyperlink r:id="rId10" w:anchor="footnote-0" w:history="1">
        <w:r w:rsidRPr="003E3557">
          <w:rPr>
            <w:rFonts w:ascii="Arial" w:eastAsia="Times New Roman" w:hAnsi="Arial" w:cs="Arial"/>
            <w:color w:val="006164"/>
            <w:sz w:val="24"/>
            <w:szCs w:val="24"/>
            <w:u w:val="single"/>
            <w:vertAlign w:val="superscript"/>
            <w:lang w:eastAsia="hr-HR"/>
          </w:rPr>
          <w:t>*</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Anđelina SVIRČIĆ GOTOVAC </w:t>
      </w:r>
      <w:r w:rsidRPr="003E3557">
        <w:rPr>
          <w:rFonts w:ascii="Arial" w:eastAsia="Times New Roman" w:hAnsi="Arial" w:cs="Arial"/>
          <w:noProof/>
          <w:color w:val="006164"/>
          <w:sz w:val="24"/>
          <w:szCs w:val="24"/>
          <w:lang w:eastAsia="hr-HR"/>
        </w:rPr>
        <w:drawing>
          <wp:inline distT="0" distB="0" distL="0" distR="0">
            <wp:extent cx="228600" cy="228600"/>
            <wp:effectExtent l="0" t="0" r="0" b="0"/>
            <wp:docPr id="3" name="Picture 3" descr="logo ORCID">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RCID">
                      <a:hlinkClick r:id="rId11"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hyperlink r:id="rId12" w:anchor="footnote-1" w:history="1">
        <w:r w:rsidRPr="003E3557">
          <w:rPr>
            <w:rFonts w:ascii="Arial" w:eastAsia="Times New Roman" w:hAnsi="Arial" w:cs="Arial"/>
            <w:color w:val="006164"/>
            <w:sz w:val="24"/>
            <w:szCs w:val="24"/>
            <w:u w:val="single"/>
            <w:vertAlign w:val="superscript"/>
            <w:lang w:eastAsia="hr-HR"/>
          </w:rPr>
          <w:t>*</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b/>
          <w:bCs/>
          <w:sz w:val="24"/>
          <w:szCs w:val="24"/>
          <w:lang w:eastAsia="hr-HR"/>
        </w:rPr>
        <w:t>Abstract.</w:t>
      </w:r>
      <w:r w:rsidRPr="003E3557">
        <w:rPr>
          <w:rFonts w:ascii="Arial" w:eastAsia="Times New Roman" w:hAnsi="Arial" w:cs="Arial"/>
          <w:sz w:val="24"/>
          <w:szCs w:val="24"/>
          <w:lang w:eastAsia="hr-HR"/>
        </w:rPr>
        <w:t xml:space="preserve"> This paper examines housing affordability in Croatia’s large housing estates in the context of energy renovation. Drawing on survey data, focus groups, and expert interviews, the study highlights challenges in both socialist and post-socialist buildings. Residents report lower satisfaction with buildings’ energy efficiency, interior and exterior appearance, especially in socialist estates. Over 40% of households spend more than 30% of income on housing costs, with affordability risks higher for tenants, low-income households, the mortgage-indebted, single-person households, and the elderly. Experts agree that current renovation efforts of private stock lack a systematic approach. The findings underscore the need for targeted national policy and financial support.</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b/>
          <w:bCs/>
          <w:sz w:val="24"/>
          <w:szCs w:val="24"/>
          <w:lang w:eastAsia="hr-HR"/>
        </w:rPr>
        <w:t>Key words:</w:t>
      </w:r>
      <w:r w:rsidRPr="003E3557">
        <w:rPr>
          <w:rFonts w:ascii="Arial" w:eastAsia="Times New Roman" w:hAnsi="Arial" w:cs="Arial"/>
          <w:sz w:val="24"/>
          <w:szCs w:val="24"/>
          <w:lang w:eastAsia="hr-HR"/>
        </w:rPr>
        <w:t xml:space="preserve"> energy renovation of multi-family buildings, housing affordability, quality of life, socialist and post-socialist housing estates, urban green transition, Croatia.</w: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1. Introduction</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The energy renovation of buildings is recognised as important in Croatia, and is emphasised in key national strategic documents, such as the </w:t>
      </w:r>
      <w:r w:rsidRPr="003E3557">
        <w:rPr>
          <w:rFonts w:ascii="Arial" w:eastAsia="Times New Roman" w:hAnsi="Arial" w:cs="Arial"/>
          <w:i/>
          <w:iCs/>
          <w:sz w:val="24"/>
          <w:szCs w:val="24"/>
          <w:lang w:eastAsia="hr-HR"/>
        </w:rPr>
        <w:t xml:space="preserve">Long-Term Renovation Strategy of the National Building Stock by 2050, Low-Carbon Development Strategy of The Republic of Croatia Until 2030 with a View to 2050, Integrated National Energy and Climate Plan for the Republic of Croatia for the Period 2021–2030, </w:t>
      </w:r>
      <w:r w:rsidRPr="003E3557">
        <w:rPr>
          <w:rFonts w:ascii="Arial" w:eastAsia="Times New Roman" w:hAnsi="Arial" w:cs="Arial"/>
          <w:sz w:val="24"/>
          <w:szCs w:val="24"/>
          <w:lang w:eastAsia="hr-HR"/>
        </w:rPr>
        <w:t xml:space="preserve">etc. In line with broader UN and EU goals and directives, these documents highlight the building sector’s crucial role in meeting urban and climate objectives. According to the European Commission (2020), buildings across the European Union collectively account for around 40% of total energy consumption and approximately 36% of greenhouse gas emissions, primarily arising from construction, operation, renovation, and demolition. According to the EDGAR – Emissions Database for Global Atmospheric Research (European Commission, 2021), in the period between 1990 and 2020 the amount of CO2 attributed to the building sector decreased by 32% in the EU27, while in Croatia the decrease was below the EU average – 26%. There is </w:t>
      </w:r>
      <w:r w:rsidRPr="003E3557">
        <w:rPr>
          <w:rFonts w:ascii="Arial" w:eastAsia="Times New Roman" w:hAnsi="Arial" w:cs="Arial"/>
          <w:sz w:val="24"/>
          <w:szCs w:val="24"/>
          <w:lang w:eastAsia="hr-HR"/>
        </w:rPr>
        <w:lastRenderedPageBreak/>
        <w:t>no additional data for specific types of buildings, but particularly crucial in this context is the renovation of the older housing stock, which in Croatia constitutes a large share of the overall housing stock. Enhancing energy efficiency in the building sector is thus essential for meeting the EU’s target of carbon neutrality by 2050, as outlined in the European Green Deal. By installing modern heating and cooling systems with a focus on renewable energy sources, and by renovating the external building envelope (facade), it is, thereby, possible to contribute to decarbonisation, environmental sustainability and green transition in urban and housing environments. By improving the energy efficiency of multi-family buildings, there is also a considerable potential for enhancing residents’ quality of life through long-term energy savings, improved urban design of neighbourhoods, and greater satisfaction with their buildings. Croatia’s average annual renovation rate of 0.7% of the building stock between 2014 and 2020 (Ministry of Physical Planning, Construction and State Assets, 2020) remains however below EU’s targets: the annual renovation rate should at least double from around 1% to 2% to meet the targeted climate goals (European Commission, 2020).</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This paper focuses on socialist (old estates, built in 1945–1990) and post-socialist housing estates (new estates, built between 1991 and today, i.e., in the last three decades) and their renovation, examined through the lens of quality of life and housing affordability. This research builds upon a substantial body of literature examining the challenges of maintaining and renovating of socialist housing estates (Hess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2018; Nedučin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2019; Sendi and Kerbler, 2021; Svirčić Gotovac and Đokić, 2023, etc.) Previous studies have highlighted affordability as one of the key issues in this context, particularly due to the high maintenance and renovation costs associated with ageing residential buildings, which are often in poor physical condition. The present study further contributes to this literature by introducing the context of the green transition, and examining renovation within the broader process of adopting sustainability-oriented policies at the European level. Nevertheless, while questions of physical deterioration and post-socialist housing transformation have been widely discussed, the relationship between housing affordability, renovation, and emerging sustainability agendas has received comparatively less attention in the existing literature (e.g., Grossmann, 2019; Busà, 2025), especially in the post-socialist context.</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analysis is based on the data from two long-term research projects addressing housing issues, quality of life, urban sustainability, and the green transition in urban areas, with a particular focus on large Croatian cities. The aim of this paper is to explore, through a mixed-methods approach, the affordability of housing in the investigated housing estates, resident satisfaction with the physical condition of the buildings, as well as the barriers to their renovation. An additional objective is to identify vulnerable groups for whom the renovation of their residential buildings may negatively affect housing affordability, thereby highlighting the need for targeted policy measures and financial support mechanisms.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remainder of the paper is structured as follows. Section 2 presents the li</w:t>
      </w:r>
      <w:r w:rsidRPr="003E3557">
        <w:rPr>
          <w:rFonts w:ascii="Arial" w:eastAsia="Times New Roman" w:hAnsi="Arial" w:cs="Arial"/>
          <w:sz w:val="24"/>
          <w:szCs w:val="24"/>
          <w:lang w:eastAsia="hr-HR"/>
        </w:rPr>
        <w:softHyphen/>
        <w:t xml:space="preserve">terature and a legislative framework review related to housing affordability, building maintenance, and renovation processes in the context of the green transition process in the EU and Croatia. Section 3 provides the contextual background on the maintenance and affordability of socialist and post-socialist housing estates in </w:t>
      </w:r>
      <w:r w:rsidRPr="003E3557">
        <w:rPr>
          <w:rFonts w:ascii="Arial" w:eastAsia="Times New Roman" w:hAnsi="Arial" w:cs="Arial"/>
          <w:sz w:val="24"/>
          <w:szCs w:val="24"/>
          <w:lang w:eastAsia="hr-HR"/>
        </w:rPr>
        <w:lastRenderedPageBreak/>
        <w:t>Croatia, the two types of housing estates explored in this study. Section 4 outlines the methodology and data sources used, as well as the limitations of the study. Section 5 presents the results through three subsections organised according to the research questions. Finally, the last section discusses the findings and concludes the paper by highlighting the main implications.</w: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2. Literature and legislative framework review</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Studies indicate that apartments with high energy efficiency achieve higher sale prices, rent prices and occupancy rates compared to those with low energy efficiency (Chegut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2016). Some macroeconomic predictions in Slovenia show that, although small, the effects of additional investment in energy efficiency (such as reduced energy consumption) would all in all be positive. Authors, nevertheless, warn that sustainable decarbonisation of the building sector has to be discussed with regard to energy poverty of low-income groups (Slabe-Erker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2022). Although at first glance the energy renovation of residential buildings appears to align with greater affordability through long-term savings in energy costs, some critiques suggest the opposite may be the case. For example, investment costs are frequently transferred to tenants through higher rents, under the premise that energy savings will offset the additional financial burden. However, empirical studies have challenged this assumption, showing that increased rents are not necessarily balanced by the anticipated reductions in energy expenses (Broers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2022). Homeowners in the lowest income quartile, who are actually the most vulnerable to energy poverty</w:t>
      </w:r>
      <w:hyperlink r:id="rId13" w:anchor="footnote-000" w:history="1">
        <w:r w:rsidRPr="003E3557">
          <w:rPr>
            <w:rFonts w:ascii="Arial" w:eastAsia="Times New Roman" w:hAnsi="Arial" w:cs="Arial"/>
            <w:color w:val="006164"/>
            <w:sz w:val="24"/>
            <w:szCs w:val="24"/>
            <w:u w:val="single"/>
            <w:vertAlign w:val="superscript"/>
            <w:lang w:eastAsia="hr-HR"/>
          </w:rPr>
          <w:t>1</w:t>
        </w:r>
      </w:hyperlink>
      <w:r w:rsidRPr="003E3557">
        <w:rPr>
          <w:rFonts w:ascii="Arial" w:eastAsia="Times New Roman" w:hAnsi="Arial" w:cs="Arial"/>
          <w:sz w:val="24"/>
          <w:szCs w:val="24"/>
          <w:lang w:eastAsia="hr-HR"/>
        </w:rPr>
        <w:t xml:space="preserve">, demonstrate a statistically significantly lower willingness to undertake retrofitting compared to those in the highest quartile. This is closely linked to their constrained financial capacity (Schleich, 2019). Grossmann (2019) has found that retrofitting measures often prompt the relocation of low-income residents. As a result, these households are frequently displaced into a less energy-efficient housing stock. Due to these proportionally higher financial burdens for low-income groups, Cavicchia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(2023) highlight that these trends carry significant implications for social inequality, as they may foster processes of low-carbon gentrification, displacement, and uneven distribution of wealth (Bouzarovski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2018). Another term, </w:t>
      </w:r>
      <w:r w:rsidRPr="003E3557">
        <w:rPr>
          <w:rFonts w:ascii="Arial" w:eastAsia="Times New Roman" w:hAnsi="Arial" w:cs="Arial"/>
          <w:i/>
          <w:iCs/>
          <w:sz w:val="24"/>
          <w:szCs w:val="24"/>
          <w:lang w:eastAsia="hr-HR"/>
        </w:rPr>
        <w:t>‘renoviction’,</w:t>
      </w:r>
      <w:r w:rsidRPr="003E3557">
        <w:rPr>
          <w:rFonts w:ascii="Arial" w:eastAsia="Times New Roman" w:hAnsi="Arial" w:cs="Arial"/>
          <w:sz w:val="24"/>
          <w:szCs w:val="24"/>
          <w:lang w:eastAsia="hr-HR"/>
        </w:rPr>
        <w:t xml:space="preserve"> has been introduced in li</w:t>
      </w:r>
      <w:r w:rsidRPr="003E3557">
        <w:rPr>
          <w:rFonts w:ascii="Arial" w:eastAsia="Times New Roman" w:hAnsi="Arial" w:cs="Arial"/>
          <w:sz w:val="24"/>
          <w:szCs w:val="24"/>
          <w:lang w:eastAsia="hr-HR"/>
        </w:rPr>
        <w:softHyphen/>
        <w:t xml:space="preserve">terature to describe such outcomes of urban renovation projects, highlighting how renovation investments can serve as instruments of speculation and consequently lead to the displacement of low-income residents (Baeten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2017, as cited in Grossmann, 2019). These examples show that although commonly present as a policy goal, “ecological claims often reveal an imbalance between, on the one hand, those who can and want to afford ecological measures and, on the other, those for whom high environmental standards are not affordable or may even come to pose existential threats” (Heindl, 2022, p. 220).</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The literature on post-socialist contexts highlights also the opposite problem faced by residents with limited economic means – namely, the inability to move to another dwelling, which then undermines the building’s renovation process. As Musterd and van Kempen (2007) have underlined, this is also caused by the rigidity of the local housing markets due to the dominance of owner-occupation. Since socialist estates are older and often in poor physical condition, a potentially vicious cycle emerges: residents cannot move elsewhere, and many of them remain dissatisfied with their living environment. Furthermore, the buildings cannot be renovated to a greater extent, and, due to their deteriorated state, potentially fail to attract new, younger and </w:t>
      </w:r>
      <w:r w:rsidRPr="003E3557">
        <w:rPr>
          <w:rFonts w:ascii="Arial" w:eastAsia="Times New Roman" w:hAnsi="Arial" w:cs="Arial"/>
          <w:sz w:val="24"/>
          <w:szCs w:val="24"/>
          <w:lang w:eastAsia="hr-HR"/>
        </w:rPr>
        <w:lastRenderedPageBreak/>
        <w:t xml:space="preserve">more affluent inhabitants. Several authors, therefore, warn that the socialist-era housing estates may face an increased risk of segregation in the future (Herfert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2013; Sendi and Kerbler, 2021;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2023). For this reason, Müller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(2024) advocated the need to design multi-dimensional energy efficiency strategies in the residential sector, integrating the principles of equity and accessibility for all income groups.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In the Croatian legislative framework, an integration of energy renovation with urban sustainability and climate change resilience is also emphasised, which should additionally improve the quality of living for all residents. Nevertheless, its implementation is slow and exists only declaratively. The key priorities for Croatia’s sustainable spatial development are outlined in the </w:t>
      </w:r>
      <w:r w:rsidRPr="003E3557">
        <w:rPr>
          <w:rFonts w:ascii="Arial" w:eastAsia="Times New Roman" w:hAnsi="Arial" w:cs="Arial"/>
          <w:i/>
          <w:iCs/>
          <w:sz w:val="24"/>
          <w:szCs w:val="24"/>
          <w:lang w:eastAsia="hr-HR"/>
        </w:rPr>
        <w:t>National Development Strategy 2030,</w:t>
      </w:r>
      <w:r w:rsidRPr="003E3557">
        <w:rPr>
          <w:rFonts w:ascii="Arial" w:eastAsia="Times New Roman" w:hAnsi="Arial" w:cs="Arial"/>
          <w:sz w:val="24"/>
          <w:szCs w:val="24"/>
          <w:lang w:eastAsia="hr-HR"/>
        </w:rPr>
        <w:t xml:space="preserve"> in which particular emphasis is placed on the energy renovation of the housing sector, highlighting the importance of building renewal for the achievement of low-carbon development goals. The Strategy notes that “the existing building stock is relatively old and energy inefficient, while Croatian cities are among the least green in Europe” (</w:t>
      </w:r>
      <w:r w:rsidRPr="003E3557">
        <w:rPr>
          <w:rFonts w:ascii="Arial" w:eastAsia="Times New Roman" w:hAnsi="Arial" w:cs="Arial"/>
          <w:i/>
          <w:iCs/>
          <w:sz w:val="24"/>
          <w:szCs w:val="24"/>
          <w:lang w:eastAsia="hr-HR"/>
        </w:rPr>
        <w:t>National Development Strategy 2030</w:t>
      </w:r>
      <w:r w:rsidRPr="003E3557">
        <w:rPr>
          <w:rFonts w:ascii="Arial" w:eastAsia="Times New Roman" w:hAnsi="Arial" w:cs="Arial"/>
          <w:sz w:val="24"/>
          <w:szCs w:val="24"/>
          <w:lang w:eastAsia="hr-HR"/>
        </w:rPr>
        <w:t>, 2021).</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Furthermore, the Strategy explicitly aligns national development priorities with the objectives of the European Green Deal and the Territorial Agenda 2030. The achievement of the objectives described in the Strategy and other national documents can further be facilitated through the access to substantial EU funding. This is one of the examples of urban policy transfer from the level of the European Union to the national level of its member states, which can be encompassed by the broader term of the urban Europeanisation process (Carpenter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2020). Europeanisation is not to be seen simply as policy alignment, but as a multidimensional process involving the restructuring of governance, spatial organisation, economic relations, and collective identities in interaction with multiple European frameworks (Pajvančić-Cizelj and Jano, 2025), but with directives and regulations (such as the aforementioned European Green Deal) and funding instruments being the main ‘catalysts of Europeanisation’ (Berisha and Cotella, 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Although Croatia’s EU Membership (since 2013) has put urban development policy back into focus after years of dominance of speculative development led by profit-driven private investors (Bežovan and Horvat, 2024), the implementation of these policies in Croatia is slow and delayed in comparison with other Central and Eastern European EU Member States (Stubbs and Zrinščak, 2016), which have joined the EU earlier (such as Slovenia or Poland). Also, at the national level there is a differentiated and uneven situation in the following of European principles and EU funding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2025), depending on various factors such as the political structure, professional and institutional capacities, path dependencies, etc. In this regard, the capital Zagreb and the largest Croatian cities have their own path/plan of renovation and progress in the housing stock renewal, especially for public institutions, while for private apartments and houses the use of the allocated funds from the national level, from the Environmental Protection and Energy Efficiency Fund, and EU funds is expected, as well as greater involvement of the owners themselves.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 xml:space="preserve">However, the </w:t>
      </w:r>
      <w:r w:rsidRPr="003E3557">
        <w:rPr>
          <w:rFonts w:ascii="Arial" w:eastAsia="Times New Roman" w:hAnsi="Arial" w:cs="Arial"/>
          <w:i/>
          <w:iCs/>
          <w:sz w:val="24"/>
          <w:szCs w:val="24"/>
          <w:lang w:eastAsia="hr-HR"/>
        </w:rPr>
        <w:t>National Housing Policy Plan of the Republic of Croatia until 2030</w:t>
      </w:r>
      <w:r w:rsidRPr="003E3557">
        <w:rPr>
          <w:rFonts w:ascii="Arial" w:eastAsia="Times New Roman" w:hAnsi="Arial" w:cs="Arial"/>
          <w:sz w:val="24"/>
          <w:szCs w:val="24"/>
          <w:lang w:eastAsia="hr-HR"/>
        </w:rPr>
        <w:t>, adopted in 2025 as the first strategic document on housing in Croatia, envisions 65,000 households living in energy-renovated housing units by 2030 and, in line with the EU mission, the complete decarbonisation of the housing stock by 2050. In this context, to achieve housing affordability, the plan only briefly mentions the construction of new buildings using more rational methods within shorter timeframes, and the use of environmentally friendly materials. There is no mention of co-financing models for citizens that would help them in energy renovation, other than increasing funds at the national level through the assistance from EU funds. This leaves on open question on how the most vulnerable and endangered citizens and households will be effectively involved in the renovation process. The co-financing of building facade renovations is announced in a document only for culturally and historically protected urban areas. However, an even greater challenge in the process of housing stock renovation lies in the energy refurbishment of multi-family buildings, and it will still take some time before concrete implementation measures are put into practice.</w: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3. Maintenance and affordability of socialist and post-socialist housing estates in Croatia</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socialist housing estates in Croatia (former Yugoslavia) are those constructed after Second World War up until Croatia’s independency (1945–1990), but mostly between the 1950s and 1980s. Morphologically, they are similar to large housing estates (LHEs) found all across Europe, built according to the CIAM (</w:t>
      </w:r>
      <w:r w:rsidRPr="003E3557">
        <w:rPr>
          <w:rFonts w:ascii="Arial" w:eastAsia="Times New Roman" w:hAnsi="Arial" w:cs="Arial"/>
          <w:i/>
          <w:iCs/>
          <w:sz w:val="24"/>
          <w:szCs w:val="24"/>
          <w:lang w:eastAsia="hr-HR"/>
        </w:rPr>
        <w:t>Congrès internationaux d’architecture modern</w:t>
      </w:r>
      <w:r w:rsidRPr="003E3557">
        <w:rPr>
          <w:rFonts w:ascii="Arial" w:eastAsia="Times New Roman" w:hAnsi="Arial" w:cs="Arial"/>
          <w:sz w:val="24"/>
          <w:szCs w:val="24"/>
          <w:lang w:eastAsia="hr-HR"/>
        </w:rPr>
        <w:t xml:space="preserve">) construction principles of modernism and functionalism, widely spread after the 1960s. Characteristic for this type of housing is that they were planned as coherent groups of high-rise residential buildings and self-sufficient housing entities, equipped with fundamental urban and public infrastructure, including key social and commercial services (Van Kempen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2005; Wassenberg, 2018). Research on LHEs in post-socialist Central, Eastern and Southeast Europe shows that residents are more satisfied with them than residents from Western Europe, and that this form of housing maintains a stable residential status in post-socialist cities (Hefert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2013; Nedučin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2019;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2024).</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After Croatia’s transition to capitalism and democracy in the 1990s, the market economy and private ownership took complete dominance over the public type of housing (and long-term tenant-right contracts present in former socialist LHEs). Today, Croatia ranks among the leading EU Member States in terms of homeownership, with 91.2% of dwellings being privately owned or co-owned in 2023 (Eurostat, 2023). During the privatisation process (Mandič and Clapham, 1996; Hegedüs and Tosics, 1998; Svirčić Gotovac, 2020), apartments in large housing estates were predominantly purchased by their previous tenants. This process, often referred to as </w:t>
      </w:r>
      <w:r w:rsidRPr="003E3557">
        <w:rPr>
          <w:rFonts w:ascii="Arial" w:eastAsia="Times New Roman" w:hAnsi="Arial" w:cs="Arial"/>
          <w:i/>
          <w:iCs/>
          <w:sz w:val="24"/>
          <w:szCs w:val="24"/>
          <w:lang w:eastAsia="hr-HR"/>
        </w:rPr>
        <w:t>give-away privatisation</w:t>
      </w:r>
      <w:r w:rsidRPr="003E3557">
        <w:rPr>
          <w:rFonts w:ascii="Arial" w:eastAsia="Times New Roman" w:hAnsi="Arial" w:cs="Arial"/>
          <w:sz w:val="24"/>
          <w:szCs w:val="24"/>
          <w:lang w:eastAsia="hr-HR"/>
        </w:rPr>
        <w:t xml:space="preserve"> (Stephens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2015), was characterised by exceptionally low, and therefore quite affordable, purchase prices of the dwellings, below the real market value (Bežovan, 1993).</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Nevertheless, this privatisation also came with new obligations for owners in terms of managing and maintaining the common areas of residential buildings (roofs, doors, </w:t>
      </w:r>
      <w:r w:rsidRPr="003E3557">
        <w:rPr>
          <w:rFonts w:ascii="Arial" w:eastAsia="Times New Roman" w:hAnsi="Arial" w:cs="Arial"/>
          <w:sz w:val="24"/>
          <w:szCs w:val="24"/>
          <w:lang w:eastAsia="hr-HR"/>
        </w:rPr>
        <w:lastRenderedPageBreak/>
        <w:t xml:space="preserve">lifts, etc.), which was until that point an obligation of the state housing organisations. Researchers highlight that in post-socialist countries, these new homeowners did not have the necessary financial capacities to properly maintain and renovate their property (not even regular maintenance, let alone additional retrofitting costs) (Nedučin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2019;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2023). Today, these buildings and their population are getting older, and the maintenance of these estates becomes an even bigger challenge for its residents, especially considering the size of the buildings containing many entrances and dwellings. Due to the age and physical condition of these buildings, many authors suggest an urgent regeneration of socialist housing estates, especially their physical appearance (facades) and energy efficiency of the buildings (Hess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2018; Sendi and Kerbler, 2021;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2023).</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In the post-socialist period, in the context of a market economy, accompanied by the process of financialisation of housing (Rodik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2019), private investors and companies became the main actors in housing provision, whereas state intervention and urban planning lost much of their former importance (Svirčić Gotovac, 2020; Svirčić Gotovac and Đokić, 2023). Although they were built more recently, post-socialist residential buildings are already showing signs of physical deterioration. In line with profit-driven development and construction practices, many of these buildings were constructed rapidly, and by minimum quality standards. As a result, even newer buildings frequently face problems related to their physical condition and maintenance (although less to the aspect of energy efficiency). Since in both types of estates there is a high share of private homeowners who have to make common decisions regarding building renovation by a majority of votes, some challenges in renovation and upkeep are shared by both the socialist-era and post-socialist housing estates. These include legislative obstacles, issues with building managers, and difficulties in reaching agreements among residents and between residents and building managers, etc.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2023; Klasić and Đokić, 2023).</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With the presence of investors and global financial markets, not only does the quality of housing deteriorate, but the financialisation of housing is also one of the key factors affecting the rising housing unaffordability in advanced economies (Lee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2022). To fully understand the issues of housing affordability, it is also important to consider the population structure in these two types of housing estates. A key challenge in socialist-era housing estates is the ageing of a segment of the resident population (Gorczyca and Grabinski, 2018; Klasić and Svirčić Gotovac, 2024), which can lead to maintenance problems due to the reduced economic capacity of retirees. This occurs despite the influx of younger residents and a relatively favourable market position of these neighbourhoods (Svirčić Gotovac and Đokić, 2023). Although both types of housing estates can be broadly characterised as inhabited by (lower) middle-class populations, new housing estates and locations are able to attract more younger families from middle and higher social classes who are able to take out housing loans. Furthermore, the housing in new developments is generally more expensive – both for purchase and for rent (Klasić and Svirčić Gotovac, 2024). For the purposes of this article, it is nevertheless important to consider that the affordability of housing of lower and higher social classes is not discussed, since they mainly do not reside in the investigated socialist and post-socialist housing estates.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According to Eurostat (2024), Croatian households have spent on average 14.4% of their disposable household income on housing costs in 2023. Compared to the EU </w:t>
      </w:r>
      <w:r w:rsidRPr="003E3557">
        <w:rPr>
          <w:rFonts w:ascii="Arial" w:eastAsia="Times New Roman" w:hAnsi="Arial" w:cs="Arial"/>
          <w:sz w:val="24"/>
          <w:szCs w:val="24"/>
          <w:lang w:eastAsia="hr-HR"/>
        </w:rPr>
        <w:lastRenderedPageBreak/>
        <w:t xml:space="preserve">average of 19.7%, housing in Croatia could be interpreted as more affordable. This is interesting in the light of the fact that in Croatia there was a rise in housing prices of 124% in the period from 2015 to 2025 (compared to the EU average of 60%, Eurostat, Q2 2025), and the fact that Croatia is the country with the highest EU average age when people leave their parental home. The latter is also due to a lack of affordable housing solutions (European Parliament, 2025). Some other affordability measures, such as the House affordability Index (HAI), developed by Biljanovska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(2023), which “measures the extent to which a median-income household can qualify for a mortgage loan to purchase an average-priced home,” place Croatia “among the worst performers in the EU” (IMF, 2024, p. 38). Hence, looking only at the average is not informative enough, making it crucial to identify vulnerable groups in terms of affordability.</w: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4. Methodology</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study applies a mixed-methods approach, combining survey data from residents of socialist (built between 1945 and 1990) and post-socialist housing estates (built between 1990 and 2022) in Croatia’s four largest cities – Zagreb, Split, Rijeka, and Osijek (N = 1536), focus groups with residents (N = 31), and expert interviews (N = 10) in Zagreb. The following research questions are addressed:</w:t>
      </w:r>
    </w:p>
    <w:p w:rsidR="003E3557" w:rsidRPr="003E3557" w:rsidRDefault="003E3557" w:rsidP="003E3557">
      <w:pPr>
        <w:numPr>
          <w:ilvl w:val="0"/>
          <w:numId w:val="1"/>
        </w:num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How satisfied are residents with the physical condition of their multi-family buildings?</w:t>
      </w:r>
    </w:p>
    <w:p w:rsidR="003E3557" w:rsidRPr="003E3557" w:rsidRDefault="003E3557" w:rsidP="003E3557">
      <w:pPr>
        <w:numPr>
          <w:ilvl w:val="0"/>
          <w:numId w:val="1"/>
        </w:num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To what extent is housing affordable for residents of the investigated housing estates and which social groups are particularly vulnerable to housing unaffordability?</w:t>
      </w:r>
    </w:p>
    <w:p w:rsidR="003E3557" w:rsidRPr="003E3557" w:rsidRDefault="003E3557" w:rsidP="003E3557">
      <w:pPr>
        <w:numPr>
          <w:ilvl w:val="0"/>
          <w:numId w:val="1"/>
        </w:num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What barriers do residents and experts perceive in relation to the energy renovation of the buildings?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survey with residents was conducted in 2022 in 21 old (N = 961) and 18 new estates (N = 575). In each selected LHE, multistage probability sampling was implemented at several stages: (a) a multi-family building entrance, (b) a household within the building, and (c) a respondent within the household. The survey was predominantly administered face-to-face by a professional agency (CAPI method). Descriptive statistics of the sample are presented in Table 1, which includes socio-demographic variables relevant to the analyses. The survey comprised a set of questions covering various dimensions of residential satisfaction, environmental and ecological features of the estate, social interactions and community cohesion, and engagement in neighbourhood activities. For the purpose of this paper, variables on residential satisfaction with various aspects of the building, and the variable on affordability of housing are analysed using the software IBM SPSS Statistics 26. The affordability variable measured the self-reported share of household income needed to cover total housing costs (loan, rent, electricity, water, utilities, etc.) It was operationalised in four categories, according to the 30% threshold used, e.g., by the IMF, and in Croatian strategic documents, meaning that a household whose housing costs exceed 30% of their total monthly income is considered to be living in unaffordable conditions.</w:t>
      </w:r>
    </w:p>
    <w:tbl>
      <w:tblPr>
        <w:tblW w:w="14100" w:type="dxa"/>
        <w:tblCellMar>
          <w:top w:w="15" w:type="dxa"/>
          <w:left w:w="15" w:type="dxa"/>
          <w:bottom w:w="15" w:type="dxa"/>
          <w:right w:w="15" w:type="dxa"/>
        </w:tblCellMar>
        <w:tblLook w:val="04A0" w:firstRow="1" w:lastRow="0" w:firstColumn="1" w:lastColumn="0" w:noHBand="0" w:noVBand="1"/>
      </w:tblPr>
      <w:tblGrid>
        <w:gridCol w:w="10684"/>
        <w:gridCol w:w="1293"/>
        <w:gridCol w:w="2123"/>
      </w:tblGrid>
      <w:tr w:rsidR="003E3557" w:rsidRPr="003E3557" w:rsidTr="003E3557">
        <w:trPr>
          <w:tblHeader/>
        </w:trPr>
        <w:tc>
          <w:tcPr>
            <w:tcW w:w="0" w:type="auto"/>
            <w:gridSpan w:val="3"/>
            <w:tcBorders>
              <w:top w:val="nil"/>
              <w:left w:val="nil"/>
              <w:bottom w:val="nil"/>
              <w:right w:val="nil"/>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lastRenderedPageBreak/>
              <w:t>Table 1. Descriptive statistics of the relevant socio-demographic variables</w:t>
            </w:r>
          </w:p>
        </w:tc>
      </w:tr>
      <w:tr w:rsidR="003E3557" w:rsidRPr="003E3557" w:rsidTr="003E3557">
        <w:trPr>
          <w:tblHeader/>
        </w:trPr>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Variables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N</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valid %</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owners + ‚other’ (mostly owners’ relatives)</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1134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74.0</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tenants</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398</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26.0</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younger people (18−33)</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470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30.8</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middle-age (34−64)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871</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57.1</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older people (65+)</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185</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12.1</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mortgage</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322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21.4</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no mortgage</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1182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78.6</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single-person household</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402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26.2</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two-person household</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426</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27.7</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three-person household</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327</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21.3</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four-person household</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279</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18.2</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5+ person household</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102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6.6</w:t>
            </w:r>
          </w:p>
        </w:tc>
      </w:tr>
    </w:tbl>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Source: own work.</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focus group meetings were conducted after the survey in 2022, in the City of Zagreb (N groups = 4, N participants = 31, N housing estates = 15). Participants in the focus groups were mostly also the respondents in the quantitative part of the research. Each focus group aimed to ensure a heterogeneous composition of participants based on estate type, age, and gender. Each focus group consisted of 7 to 8 participants and lasted approximately 90 minutes on average. The protocol was semi-structured and covered similar topics as the survey, to complement the quantitative data (satisfaction with physical conditions of buildings and environmental surroundings, barriers for energy renovation, connection/relations with neighbours, willingness to move, etc.).</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interviews with experts were conducted in 2024 and 2025 (N = 10) in the capital Zagreb. The included experts were employed in different state and city offices, and different agencies. All of them are experts from professions related to the topics of urban development, urbanism and spatial planning (architects, landscape architects, civil engineers, geographers, etc.).</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In this paper, the quantitative results are complemented by findings from the qualitative analysis, primarily derived through thematic analysis (Braun and Clarke, 2022). Regarding the first and second research question, extracts from focus-groups were presented that shed light on certain gaps from quantitative insights or strengthen their conclusions. The results regarding the third research question were, conversely, derived primarily through qualitative insights, since the survey questions only covered the financial barrier for renovation. A limitation of the study is that housing affordability was not the main focus of the qualitative research; instead, it appeared only sporadically in the discussion. The quotations presented here were drawn from a smaller corpus of available statements concerning primarily building renovation, and only secondary affordability and their relationship. The qualitative results are, therefore, presented mainly as illustrations and have the aim of opening up a discussion on this topic, while future research should aim to explore this topic in a more targeted and in-depth manner. Another limitation is that, due to organisational </w:t>
      </w:r>
      <w:r w:rsidRPr="003E3557">
        <w:rPr>
          <w:rFonts w:ascii="Arial" w:eastAsia="Times New Roman" w:hAnsi="Arial" w:cs="Arial"/>
          <w:sz w:val="24"/>
          <w:szCs w:val="24"/>
          <w:lang w:eastAsia="hr-HR"/>
        </w:rPr>
        <w:lastRenderedPageBreak/>
        <w:t>challenges, the focus groups were only conducted in the capital, Zagreb, and not in the other three cities from the quantitative sample. Nevertheless, we think that the data from Zagreb, as the largest city, is indicative also for the processes in other major Croatian cities, since the size of the multi-family buildings and the nature of the relationships between residents are similar, as well as the identical legislative framework regarding the building sector.</w: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5. Results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results are structured as follows. The first subsection addresses the first research question concerning resident satisfaction with the physical aspects of buildings in socialist and post-socialist housing estates. The second subsection focuses on housing affordability overall and across different demographic groups in order to answer the second research question. This subsection also partly addresses the third research question related to financial barriers to building renovation, and other barriers are examined in greater detail in the third results subsection.</w:t>
      </w:r>
    </w:p>
    <w:p w:rsidR="003E3557" w:rsidRPr="003E3557" w:rsidRDefault="003E3557" w:rsidP="003E3557">
      <w:pPr>
        <w:spacing w:before="100" w:beforeAutospacing="1" w:after="100" w:afterAutospacing="1" w:line="240" w:lineRule="auto"/>
        <w:outlineLvl w:val="2"/>
        <w:rPr>
          <w:rFonts w:ascii="Arial" w:eastAsia="Times New Roman" w:hAnsi="Arial" w:cs="Arial"/>
          <w:b/>
          <w:bCs/>
          <w:sz w:val="27"/>
          <w:szCs w:val="27"/>
          <w:lang w:eastAsia="hr-HR"/>
        </w:rPr>
      </w:pPr>
      <w:r w:rsidRPr="003E3557">
        <w:rPr>
          <w:rFonts w:ascii="Arial" w:eastAsia="Times New Roman" w:hAnsi="Arial" w:cs="Arial"/>
          <w:b/>
          <w:bCs/>
          <w:sz w:val="27"/>
          <w:szCs w:val="27"/>
          <w:lang w:eastAsia="hr-HR"/>
        </w:rPr>
        <w:t>5.1. Resident satisfaction with multi-family buildings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Resident satisfaction was in the survey measured at the levels of the apartment, multi-family building and estate, with various variables on a scale from 1 (very unsatisfied) to 5 (very satisfied). While the general satisfaction with both the apartment and estate in both types of estates, socialist and post-socialist, exceeded the mean of 4 (</w:t>
      </w:r>
      <w:r w:rsidRPr="003E3557">
        <w:rPr>
          <w:rFonts w:ascii="Arial" w:eastAsia="Times New Roman" w:hAnsi="Arial" w:cs="Arial"/>
          <w:i/>
          <w:iCs/>
          <w:sz w:val="24"/>
          <w:szCs w:val="24"/>
          <w:lang w:eastAsia="hr-HR"/>
        </w:rPr>
        <w:t>Mean</w:t>
      </w:r>
      <w:r w:rsidRPr="003E3557">
        <w:rPr>
          <w:rFonts w:ascii="Arial" w:eastAsia="Times New Roman" w:hAnsi="Arial" w:cs="Arial"/>
          <w:sz w:val="24"/>
          <w:szCs w:val="24"/>
          <w:lang w:eastAsia="hr-HR"/>
        </w:rPr>
        <w:t xml:space="preserve"> (old and new estates; estate level) = 4.1; </w:t>
      </w:r>
      <w:r w:rsidRPr="003E3557">
        <w:rPr>
          <w:rFonts w:ascii="Arial" w:eastAsia="Times New Roman" w:hAnsi="Arial" w:cs="Arial"/>
          <w:i/>
          <w:iCs/>
          <w:sz w:val="24"/>
          <w:szCs w:val="24"/>
          <w:lang w:eastAsia="hr-HR"/>
        </w:rPr>
        <w:t>Mean</w:t>
      </w:r>
      <w:r w:rsidRPr="003E3557">
        <w:rPr>
          <w:rFonts w:ascii="Arial" w:eastAsia="Times New Roman" w:hAnsi="Arial" w:cs="Arial"/>
          <w:sz w:val="24"/>
          <w:szCs w:val="24"/>
          <w:lang w:eastAsia="hr-HR"/>
        </w:rPr>
        <w:t xml:space="preserve"> (old estates; apartment level) = 4.1, </w:t>
      </w:r>
      <w:r w:rsidRPr="003E3557">
        <w:rPr>
          <w:rFonts w:ascii="Arial" w:eastAsia="Times New Roman" w:hAnsi="Arial" w:cs="Arial"/>
          <w:i/>
          <w:iCs/>
          <w:sz w:val="24"/>
          <w:szCs w:val="24"/>
          <w:lang w:eastAsia="hr-HR"/>
        </w:rPr>
        <w:t>Mean</w:t>
      </w:r>
      <w:r w:rsidRPr="003E3557">
        <w:rPr>
          <w:rFonts w:ascii="Arial" w:eastAsia="Times New Roman" w:hAnsi="Arial" w:cs="Arial"/>
          <w:sz w:val="24"/>
          <w:szCs w:val="24"/>
          <w:lang w:eastAsia="hr-HR"/>
        </w:rPr>
        <w:t xml:space="preserve"> (new estates; apartment level) = 4.2), the satisfaction with multi-family buildings and their aspects was somewhat lower (Table 1). Although a bit lower, residents still mainly expressed relatively high satisfaction, with the median on all aspects, except the interior appearance of buildings in old estates, being a 4 (‘satisfied’). Such a high satisfaction rate despite some objective shortcomings of the buildings and estates is often present in the literature on residential satisfaction and quality of life, and already explained by various cognitive adaptive mechanisms like the </w:t>
      </w:r>
      <w:r w:rsidRPr="003E3557">
        <w:rPr>
          <w:rFonts w:ascii="Arial" w:eastAsia="Times New Roman" w:hAnsi="Arial" w:cs="Arial"/>
          <w:i/>
          <w:iCs/>
          <w:sz w:val="24"/>
          <w:szCs w:val="24"/>
          <w:lang w:eastAsia="hr-HR"/>
        </w:rPr>
        <w:t xml:space="preserve">well-being homeostasis </w:t>
      </w:r>
      <w:r w:rsidRPr="003E3557">
        <w:rPr>
          <w:rFonts w:ascii="Arial" w:eastAsia="Times New Roman" w:hAnsi="Arial" w:cs="Arial"/>
          <w:sz w:val="24"/>
          <w:szCs w:val="24"/>
          <w:lang w:eastAsia="hr-HR"/>
        </w:rPr>
        <w:t xml:space="preserve">that keeps subjective well-being within a positive and narrow range (Cummins, 2000). In the context of Croatian housing research, this phenomenon is also well known, from the early stages of research on quality of life in the 1980s. Seferagić in 1985 argued that residents’ satisfaction was influenced by their previous living conditions, the challenges involved in acquiring housing, and the subsequent process of adaptation or acceptance of the existing circumstances, rather than being determined exclusively by the functional or utilitarian value.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(2024) in newer research further suggested that the high satisfaction scores could partly stem from residents’ relatively low expectations, shaped by decades of living in older housing estates and adaptation to their existing housing standards. New developments, especially those in newly built residential areas, have not succeeded in delivering a ‘qualitative leap’ or providing higher levels of housing quality that would inspire residents to raise their expectations.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Nevertheless, in Table 2 it is visible that the satisfaction with all aspects except the construction quality is lower in socialist than in post-socialist estates, which is expected considering their older age (</w:t>
      </w:r>
      <w:r w:rsidRPr="003E3557">
        <w:rPr>
          <w:rFonts w:ascii="Arial" w:eastAsia="Times New Roman" w:hAnsi="Arial" w:cs="Arial"/>
          <w:i/>
          <w:iCs/>
          <w:sz w:val="24"/>
          <w:szCs w:val="24"/>
          <w:lang w:eastAsia="hr-HR"/>
        </w:rPr>
        <w:t>Mean</w:t>
      </w:r>
      <w:r w:rsidRPr="003E3557">
        <w:rPr>
          <w:rFonts w:ascii="Arial" w:eastAsia="Times New Roman" w:hAnsi="Arial" w:cs="Arial"/>
          <w:sz w:val="24"/>
          <w:szCs w:val="24"/>
          <w:lang w:eastAsia="hr-HR"/>
        </w:rPr>
        <w:t xml:space="preserve"> (building age, old LHEs) = 47.4; </w:t>
      </w:r>
      <w:r w:rsidRPr="003E3557">
        <w:rPr>
          <w:rFonts w:ascii="Arial" w:eastAsia="Times New Roman" w:hAnsi="Arial" w:cs="Arial"/>
          <w:i/>
          <w:iCs/>
          <w:sz w:val="24"/>
          <w:szCs w:val="24"/>
          <w:lang w:eastAsia="hr-HR"/>
        </w:rPr>
        <w:t>Mean</w:t>
      </w:r>
      <w:r w:rsidRPr="003E3557">
        <w:rPr>
          <w:rFonts w:ascii="Arial" w:eastAsia="Times New Roman" w:hAnsi="Arial" w:cs="Arial"/>
          <w:sz w:val="24"/>
          <w:szCs w:val="24"/>
          <w:lang w:eastAsia="hr-HR"/>
        </w:rPr>
        <w:t xml:space="preserve"> (building age, new LHEs) = 15.8) and a lack of renovation, but also due to the low </w:t>
      </w:r>
      <w:r w:rsidRPr="003E3557">
        <w:rPr>
          <w:rFonts w:ascii="Arial" w:eastAsia="Times New Roman" w:hAnsi="Arial" w:cs="Arial"/>
          <w:sz w:val="24"/>
          <w:szCs w:val="24"/>
          <w:lang w:eastAsia="hr-HR"/>
        </w:rPr>
        <w:lastRenderedPageBreak/>
        <w:t>level of maintenance during decades. Residents were the least satisfied exactly with the buildings’ aspects that the retrofitting measures could vastly improve: energy efficiency, external building appearance (facade) and interior building appearance (staircases, hallways, escalators, etc.).</w:t>
      </w:r>
    </w:p>
    <w:tbl>
      <w:tblPr>
        <w:tblW w:w="14100" w:type="dxa"/>
        <w:tblCellMar>
          <w:top w:w="15" w:type="dxa"/>
          <w:left w:w="15" w:type="dxa"/>
          <w:bottom w:w="15" w:type="dxa"/>
          <w:right w:w="15" w:type="dxa"/>
        </w:tblCellMar>
        <w:tblLook w:val="04A0" w:firstRow="1" w:lastRow="0" w:firstColumn="1" w:lastColumn="0" w:noHBand="0" w:noVBand="1"/>
      </w:tblPr>
      <w:tblGrid>
        <w:gridCol w:w="2497"/>
        <w:gridCol w:w="2263"/>
        <w:gridCol w:w="2263"/>
        <w:gridCol w:w="867"/>
        <w:gridCol w:w="924"/>
        <w:gridCol w:w="1764"/>
        <w:gridCol w:w="1764"/>
        <w:gridCol w:w="1758"/>
      </w:tblGrid>
      <w:tr w:rsidR="003E3557" w:rsidRPr="003E3557" w:rsidTr="003E3557">
        <w:trPr>
          <w:trHeight w:val="276"/>
          <w:tblHeader/>
        </w:trPr>
        <w:tc>
          <w:tcPr>
            <w:tcW w:w="0" w:type="auto"/>
            <w:gridSpan w:val="8"/>
            <w:vMerge w:val="restart"/>
            <w:tcBorders>
              <w:top w:val="nil"/>
              <w:left w:val="nil"/>
              <w:bottom w:val="nil"/>
              <w:right w:val="nil"/>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Table 2. Resident satisfaction with multi-family buildings</w:t>
            </w:r>
          </w:p>
        </w:tc>
      </w:tr>
      <w:tr w:rsidR="003E3557" w:rsidRPr="003E3557" w:rsidTr="003E3557">
        <w:trPr>
          <w:tblHeader/>
        </w:trPr>
        <w:tc>
          <w:tcPr>
            <w:tcW w:w="0" w:type="auto"/>
            <w:vMerge w:val="restart"/>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Aspect</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Mean and standard deviation</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Mean and standard deviation</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Me</w:t>
            </w:r>
            <w:r w:rsidRPr="003E3557">
              <w:rPr>
                <w:rFonts w:ascii="Times New Roman" w:eastAsia="Times New Roman" w:hAnsi="Times New Roman" w:cs="Times New Roman"/>
                <w:b/>
                <w:bCs/>
                <w:sz w:val="24"/>
                <w:szCs w:val="24"/>
                <w:lang w:eastAsia="hr-HR"/>
              </w:rPr>
              <w:softHyphen/>
              <w:t>dian</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Me</w:t>
            </w:r>
            <w:r w:rsidRPr="003E3557">
              <w:rPr>
                <w:rFonts w:ascii="Times New Roman" w:eastAsia="Times New Roman" w:hAnsi="Times New Roman" w:cs="Times New Roman"/>
                <w:b/>
                <w:bCs/>
                <w:sz w:val="24"/>
                <w:szCs w:val="24"/>
                <w:lang w:eastAsia="hr-HR"/>
              </w:rPr>
              <w:softHyphen/>
              <w:t>dian</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Interquartile range</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Interquartile range</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Mann-Whitney U-test</w:t>
            </w:r>
          </w:p>
        </w:tc>
      </w:tr>
      <w:tr w:rsidR="003E3557" w:rsidRPr="003E3557" w:rsidTr="003E3557">
        <w:trPr>
          <w:tblHeader/>
        </w:trPr>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rPr>
                <w:rFonts w:ascii="Times New Roman" w:eastAsia="Times New Roman" w:hAnsi="Times New Roman" w:cs="Times New Roman"/>
                <w:b/>
                <w:bCs/>
                <w:sz w:val="24"/>
                <w:szCs w:val="24"/>
                <w:lang w:eastAsia="hr-HR"/>
              </w:rPr>
            </w:pP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old LHEs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new LHEs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old LHEs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new LHEs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old LHEs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new LHEs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p</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Construction quality</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3.96 (.78)</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4.05 (.73)</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&gt;.05</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Maintenance</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3.72 (.88)</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3.90 (.87)</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&lt;.01</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Energy efficiency</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3.50 (1.01)</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3.95 (.81)</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&lt;.01</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External building appearance</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3.43 (.97)</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3.97 (.86)</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 – 5</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&lt;.01</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Interior building appearance</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3.39 (.94)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3.93 (.79)</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&lt;.01</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Overall satisfaction with building</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3.84 (.73)</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4.09 (.69)</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 – 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 – 5</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&lt;.01</w:t>
            </w:r>
          </w:p>
        </w:tc>
      </w:tr>
    </w:tbl>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Source: own work.</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Although residential satisfaction is higher for newer buildings, there is generally not a big difference between them. Even if the older ones are in a bigger need for renovation, results from focus groups complement and explain these findings and show that also a part of newer buildings have their problems:</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even though these are new buildings built by ‘Pionir’, […] there are problems. Not in all of them, but pipes burst, there have been floods, and there have been various issues with the roof as well... (FG participant, Pongračevo, new estate).</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perception of some residents is that these problems are mainly caused by a rapid construction of apartments:</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Resident, Travno (old estate): I think buildings today are constructed very quickly. They have to be completed within a short timeframe. Quickly – you know, as they say, just throw something together, sell the apartments, and move on.</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Moderator: Do you think that that automatically means lower quality?</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Resident, Travno: It depends, but some of them are really poor quality...</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Notably from this short excerpt, some participants expressed scepticism toward the quality of newly constructed residential buildings, emphasising the perception that they were built hastily and primarily for profit. They associated rapid construction processes especially with private investors. If this perception of the residents is in line with the objective state of the buildings, some new buildings may soon also be in line for renovation and retrofitting measures.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It is, therefore, important to consider the renovation possibilities for both types of estates, but especially for older, socialist housing estates. In the next passage, it is discussed whether such measures are affordable for its residents.</w:t>
      </w:r>
    </w:p>
    <w:p w:rsidR="003E3557" w:rsidRPr="003E3557" w:rsidRDefault="003E3557" w:rsidP="003E3557">
      <w:pPr>
        <w:spacing w:before="100" w:beforeAutospacing="1" w:after="100" w:afterAutospacing="1" w:line="240" w:lineRule="auto"/>
        <w:outlineLvl w:val="2"/>
        <w:rPr>
          <w:rFonts w:ascii="Arial" w:eastAsia="Times New Roman" w:hAnsi="Arial" w:cs="Arial"/>
          <w:b/>
          <w:bCs/>
          <w:sz w:val="27"/>
          <w:szCs w:val="27"/>
          <w:lang w:eastAsia="hr-HR"/>
        </w:rPr>
      </w:pPr>
      <w:r w:rsidRPr="003E3557">
        <w:rPr>
          <w:rFonts w:ascii="Arial" w:eastAsia="Times New Roman" w:hAnsi="Arial" w:cs="Arial"/>
          <w:b/>
          <w:bCs/>
          <w:sz w:val="27"/>
          <w:szCs w:val="27"/>
          <w:lang w:eastAsia="hr-HR"/>
        </w:rPr>
        <w:t>5.2. Affordability and identification of vulnerable groups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If we look at affordability in large cities, the situation is quite different from the Croatian average. According to Eurostat (2024), Croatia was in 2023 one of only 5 EU member countries in which the housing cost overburden rate is higher in rural areas (4.8%) than in cities (3.5%). These statistics are measured according to the 40% threshold for the definition of unaffordable housing, and in line with that the housing cost overburden rate is measured as the share of people living in households whose total housing costs represent more than 40% of disposable income. In our research the affordability variable was operationalised according to the also used 30% threshold. If we look at the data from our survey in 2022, the situation was worse in the largest four cities in Croatia and selected housing estates. Table 3 features the share of household income needed to cover total housing costs in our sample of residents in the largest cities (Zagreb, Split, Rijeka, and Osijek), divided by estate type. As visible in the table, approximately 37% of residents in old and 47% of residents in new LHEs spend more than 30% of their monthly household budget on the housing costs, and could, therefore, be classified as living in unaffordable housing conditions (an additional 10% of residents did not provide an answer to this question, refused to answer, did not know what to answer, etc.). According to the Chi-square test (</w:t>
      </w:r>
      <w:r w:rsidRPr="003E3557">
        <w:rPr>
          <w:rFonts w:ascii="Arial" w:eastAsia="Times New Roman" w:hAnsi="Arial" w:cs="Arial"/>
          <w:i/>
          <w:iCs/>
          <w:sz w:val="24"/>
          <w:szCs w:val="24"/>
          <w:lang w:eastAsia="hr-HR"/>
        </w:rPr>
        <w:t>X</w:t>
      </w:r>
      <w:r w:rsidRPr="003E3557">
        <w:rPr>
          <w:rFonts w:ascii="Arial" w:eastAsia="Times New Roman" w:hAnsi="Arial" w:cs="Arial"/>
          <w:sz w:val="24"/>
          <w:szCs w:val="24"/>
          <w:lang w:eastAsia="hr-HR"/>
        </w:rPr>
        <w:t>2), the distribution was significantly different (</w:t>
      </w:r>
      <w:r w:rsidRPr="003E3557">
        <w:rPr>
          <w:rFonts w:ascii="Arial" w:eastAsia="Times New Roman" w:hAnsi="Arial" w:cs="Arial"/>
          <w:i/>
          <w:iCs/>
          <w:sz w:val="24"/>
          <w:szCs w:val="24"/>
          <w:lang w:eastAsia="hr-HR"/>
        </w:rPr>
        <w:t>p</w:t>
      </w:r>
      <w:r w:rsidRPr="003E3557">
        <w:rPr>
          <w:rFonts w:ascii="Arial" w:eastAsia="Times New Roman" w:hAnsi="Arial" w:cs="Arial"/>
          <w:sz w:val="24"/>
          <w:szCs w:val="24"/>
          <w:lang w:eastAsia="hr-HR"/>
        </w:rPr>
        <w:t>&lt;.01) in old and new housing estates, indicating higher unaffordability in new estates, where there are higher rents and a higher percentage of residents with mortgages, which consequently take away a larger share of their household budget.</w:t>
      </w:r>
    </w:p>
    <w:tbl>
      <w:tblPr>
        <w:tblW w:w="14100" w:type="dxa"/>
        <w:tblCellMar>
          <w:top w:w="15" w:type="dxa"/>
          <w:left w:w="15" w:type="dxa"/>
          <w:bottom w:w="15" w:type="dxa"/>
          <w:right w:w="15" w:type="dxa"/>
        </w:tblCellMar>
        <w:tblLook w:val="04A0" w:firstRow="1" w:lastRow="0" w:firstColumn="1" w:lastColumn="0" w:noHBand="0" w:noVBand="1"/>
      </w:tblPr>
      <w:tblGrid>
        <w:gridCol w:w="10037"/>
        <w:gridCol w:w="1942"/>
        <w:gridCol w:w="2121"/>
      </w:tblGrid>
      <w:tr w:rsidR="003E3557" w:rsidRPr="003E3557" w:rsidTr="003E3557">
        <w:trPr>
          <w:tblHeader/>
        </w:trPr>
        <w:tc>
          <w:tcPr>
            <w:tcW w:w="0" w:type="auto"/>
            <w:gridSpan w:val="3"/>
            <w:tcBorders>
              <w:top w:val="nil"/>
              <w:left w:val="nil"/>
              <w:bottom w:val="nil"/>
              <w:right w:val="nil"/>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Table 3. Share of household income needed to cover total housing costs (loan, rent, electricity, water, utilities, etc.)</w:t>
            </w:r>
          </w:p>
        </w:tc>
      </w:tr>
      <w:tr w:rsidR="003E3557" w:rsidRPr="003E3557" w:rsidTr="003E3557">
        <w:trPr>
          <w:tblHeader/>
        </w:trPr>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 of housing costs in disposable household income</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old LHEs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new LHEs</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Below 10%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10.8%</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6.3%</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11–30 %</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42.2%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37.4%</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31–50 %</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26.6%</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33.6%</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Over 50%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10.2%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13.2%</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I don’t know</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10.1%</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9.6%</w:t>
            </w:r>
          </w:p>
        </w:tc>
      </w:tr>
    </w:tbl>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i/>
          <w:iCs/>
          <w:sz w:val="24"/>
          <w:szCs w:val="24"/>
          <w:lang w:eastAsia="hr-HR"/>
        </w:rPr>
        <w:t>X</w:t>
      </w:r>
      <w:r w:rsidRPr="003E3557">
        <w:rPr>
          <w:rFonts w:ascii="Arial" w:eastAsia="Times New Roman" w:hAnsi="Arial" w:cs="Arial"/>
          <w:i/>
          <w:iCs/>
          <w:sz w:val="24"/>
          <w:szCs w:val="24"/>
          <w:vertAlign w:val="superscript"/>
          <w:lang w:eastAsia="hr-HR"/>
        </w:rPr>
        <w:t>2</w:t>
      </w:r>
      <w:r w:rsidRPr="003E3557">
        <w:rPr>
          <w:rFonts w:ascii="Arial" w:eastAsia="Times New Roman" w:hAnsi="Arial" w:cs="Arial"/>
          <w:i/>
          <w:iCs/>
          <w:sz w:val="24"/>
          <w:szCs w:val="24"/>
          <w:lang w:eastAsia="hr-HR"/>
        </w:rPr>
        <w:t xml:space="preserve"> </w:t>
      </w:r>
      <w:r w:rsidRPr="003E3557">
        <w:rPr>
          <w:rFonts w:ascii="Arial" w:eastAsia="Times New Roman" w:hAnsi="Arial" w:cs="Arial"/>
          <w:sz w:val="24"/>
          <w:szCs w:val="24"/>
          <w:lang w:eastAsia="hr-HR"/>
        </w:rPr>
        <w:t xml:space="preserve">(4, </w:t>
      </w:r>
      <w:r w:rsidRPr="003E3557">
        <w:rPr>
          <w:rFonts w:ascii="Arial" w:eastAsia="Times New Roman" w:hAnsi="Arial" w:cs="Arial"/>
          <w:i/>
          <w:iCs/>
          <w:sz w:val="24"/>
          <w:szCs w:val="24"/>
          <w:lang w:eastAsia="hr-HR"/>
        </w:rPr>
        <w:t xml:space="preserve">N </w:t>
      </w:r>
      <w:r w:rsidRPr="003E3557">
        <w:rPr>
          <w:rFonts w:ascii="Arial" w:eastAsia="Times New Roman" w:hAnsi="Arial" w:cs="Arial"/>
          <w:sz w:val="24"/>
          <w:szCs w:val="24"/>
          <w:lang w:eastAsia="hr-HR"/>
        </w:rPr>
        <w:t xml:space="preserve">= 1536) = 19.211, </w:t>
      </w:r>
      <w:r w:rsidRPr="003E3557">
        <w:rPr>
          <w:rFonts w:ascii="Arial" w:eastAsia="Times New Roman" w:hAnsi="Arial" w:cs="Arial"/>
          <w:i/>
          <w:iCs/>
          <w:sz w:val="24"/>
          <w:szCs w:val="24"/>
          <w:lang w:eastAsia="hr-HR"/>
        </w:rPr>
        <w:t>p</w:t>
      </w:r>
      <w:r w:rsidRPr="003E3557">
        <w:rPr>
          <w:rFonts w:ascii="Arial" w:eastAsia="Times New Roman" w:hAnsi="Arial" w:cs="Arial"/>
          <w:sz w:val="24"/>
          <w:szCs w:val="24"/>
          <w:lang w:eastAsia="hr-HR"/>
        </w:rPr>
        <w:t>&lt;.01</w:t>
      </w:r>
      <w:r w:rsidRPr="003E3557">
        <w:rPr>
          <w:rFonts w:ascii="Arial" w:eastAsia="Times New Roman" w:hAnsi="Arial" w:cs="Arial"/>
          <w:sz w:val="24"/>
          <w:szCs w:val="24"/>
          <w:lang w:eastAsia="hr-HR"/>
        </w:rPr>
        <w:br/>
        <w:t>Source: own work.</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Since the topic of affordability emerged only sporadically in the focus group discussions, it was not possible to compare the financial burden of residents across different types of housing expenses. However, affordability was discussed in the context of energy-efficient building renovation. Some of the participants expressed concerns that the investment in energy renovation would not pay off in the form of reduced utility bills. For instance, a participant from an older housing estate in Zagreb indicated his perspective on the unaffordability of renovation in relation to the relatively modest energy savings it would generate according to current expensive costs of materials and labour:</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 in my building, for instance, the return on investment through savings from reduced energy costs would take about 50 years – maybe even longer. Since energy is relatively cheap, we don’t spend much on heating, while the price of facades has risen enormously. Everything – materials, labour – has become extremely expensive (FG participant, Trnsko, 1</w:t>
      </w:r>
      <w:r w:rsidRPr="003E3557">
        <w:rPr>
          <w:rFonts w:ascii="Arial" w:eastAsia="Times New Roman" w:hAnsi="Arial" w:cs="Arial"/>
          <w:sz w:val="24"/>
          <w:szCs w:val="24"/>
          <w:vertAlign w:val="superscript"/>
          <w:lang w:eastAsia="hr-HR"/>
        </w:rPr>
        <w:t>st</w:t>
      </w:r>
      <w:r w:rsidRPr="003E3557">
        <w:rPr>
          <w:rFonts w:ascii="Arial" w:eastAsia="Times New Roman" w:hAnsi="Arial" w:cs="Arial"/>
          <w:sz w:val="24"/>
          <w:szCs w:val="24"/>
          <w:lang w:eastAsia="hr-HR"/>
        </w:rPr>
        <w:t xml:space="preserve"> respondent, old estate).</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An additional factor mentioned here is the relatively low price of energy. According to Eurostat (2024), in 2023 the share of people unable to keep their home adequately warm was in Croatia lower than the EU average (6.2% in Croatia vs. 10.6% in the EU), and in the time span of the here presented research, the Croatian Government introduced a package of measures that limited the increase in electricity and gas prices for households (Croatian Government, 2022). This could possibly imply that the argument of renovation resulting in lower energy bills would not be persuasive enough to the average resident of multi-family buildings.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resident from this example considered applying for incentives from the Environmental Protection and Energy Efficiency Fund, which co-finances 80% of the costs of energy renovation from EU and other funds, while the remaining 20% of the costs are covered by the common reserve fund. However, these funds are not guaranteed – the call for proposals is not announced on a regular basis, but only occasionally and depending on the availability of funds. Without such co-financing opportunities, many residents and buildings are reluctant to engage in renovation, as financing the entire renovation represents a major financial burden. As this resident stated later in the conversation, these are some of the financial and procedural obstacles residents face in initiating energy renovation projects. Additionally, uncertainty surrounding the funding process and fear of potential financial liability – such as temporary increases in maintenance fees or misconceptions about mortgages – contribute to residents’ hesitation:</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Then some residents started worrying – whether their flats might be mortgaged if they couldn’t afford the payments, because they’d heard such stories. So quite a few people lost confidence. […] Then the Fund needs another three months to review the paperwork. So, for at least half a year, we’d have to pay a very high maintenance fee before getting reimbursed, after which it would return to normal (FG participant, Trnsko, 1</w:t>
      </w:r>
      <w:r w:rsidRPr="003E3557">
        <w:rPr>
          <w:rFonts w:ascii="Arial" w:eastAsia="Times New Roman" w:hAnsi="Arial" w:cs="Arial"/>
          <w:sz w:val="24"/>
          <w:szCs w:val="24"/>
          <w:vertAlign w:val="superscript"/>
          <w:lang w:eastAsia="hr-HR"/>
        </w:rPr>
        <w:t>st</w:t>
      </w:r>
      <w:r w:rsidRPr="003E3557">
        <w:rPr>
          <w:rFonts w:ascii="Arial" w:eastAsia="Times New Roman" w:hAnsi="Arial" w:cs="Arial"/>
          <w:sz w:val="24"/>
          <w:szCs w:val="24"/>
          <w:lang w:eastAsia="hr-HR"/>
        </w:rPr>
        <w:t xml:space="preserve"> respondent, old estate).</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These findings highlight the need for alternative strategies, a clearer communication of financial mechanisms and stronger systematic institutional support to build trust and encourage participation in renovation programmes.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The investment in building renovation could especially affect financially vulnerable groups of residents. Combining quantitative and qualitative insights we can in this context single out several vulnerable groups: low-income households, tenants, residents with housing loans, single-person households, and elderly residents.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In Table 4 we compared the housing affordability for the first income quartile to the fourth quartile (according to the monthly household income variable, measured on an ordinal level, grouped into classes). The difference in the distribution of the </w:t>
      </w:r>
      <w:r w:rsidRPr="003E3557">
        <w:rPr>
          <w:rFonts w:ascii="Arial" w:eastAsia="Times New Roman" w:hAnsi="Arial" w:cs="Arial"/>
          <w:i/>
          <w:iCs/>
          <w:sz w:val="24"/>
          <w:szCs w:val="24"/>
          <w:lang w:eastAsia="hr-HR"/>
        </w:rPr>
        <w:t xml:space="preserve">affordability </w:t>
      </w:r>
      <w:r w:rsidRPr="003E3557">
        <w:rPr>
          <w:rFonts w:ascii="Arial" w:eastAsia="Times New Roman" w:hAnsi="Arial" w:cs="Arial"/>
          <w:sz w:val="24"/>
          <w:szCs w:val="24"/>
          <w:lang w:eastAsia="hr-HR"/>
        </w:rPr>
        <w:t xml:space="preserve">variable among these two groups is most evident in the last category – only 4.5% of the 25% wealthiest residents spend more than 50% of their monthly </w:t>
      </w:r>
      <w:r w:rsidRPr="003E3557">
        <w:rPr>
          <w:rFonts w:ascii="Arial" w:eastAsia="Times New Roman" w:hAnsi="Arial" w:cs="Arial"/>
          <w:sz w:val="24"/>
          <w:szCs w:val="24"/>
          <w:lang w:eastAsia="hr-HR"/>
        </w:rPr>
        <w:lastRenderedPageBreak/>
        <w:t>income on housing costs, whereas more than every fifth participant from the first quartile spends more than 50% on housing costs.</w:t>
      </w:r>
    </w:p>
    <w:tbl>
      <w:tblPr>
        <w:tblW w:w="14100" w:type="dxa"/>
        <w:tblCellMar>
          <w:top w:w="15" w:type="dxa"/>
          <w:left w:w="15" w:type="dxa"/>
          <w:bottom w:w="15" w:type="dxa"/>
          <w:right w:w="15" w:type="dxa"/>
        </w:tblCellMar>
        <w:tblLook w:val="04A0" w:firstRow="1" w:lastRow="0" w:firstColumn="1" w:lastColumn="0" w:noHBand="0" w:noVBand="1"/>
      </w:tblPr>
      <w:tblGrid>
        <w:gridCol w:w="6852"/>
        <w:gridCol w:w="3449"/>
        <w:gridCol w:w="3799"/>
      </w:tblGrid>
      <w:tr w:rsidR="003E3557" w:rsidRPr="003E3557" w:rsidTr="003E3557">
        <w:trPr>
          <w:tblHeader/>
        </w:trPr>
        <w:tc>
          <w:tcPr>
            <w:tcW w:w="0" w:type="auto"/>
            <w:gridSpan w:val="3"/>
            <w:tcBorders>
              <w:top w:val="nil"/>
              <w:left w:val="nil"/>
              <w:bottom w:val="nil"/>
              <w:right w:val="nil"/>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Table 4. Housing affordability – 25% of poorest vs. 25% of wealthiest participants</w:t>
            </w:r>
          </w:p>
        </w:tc>
      </w:tr>
      <w:tr w:rsidR="003E3557" w:rsidRPr="003E3557" w:rsidTr="003E3557">
        <w:trPr>
          <w:tblHeader/>
        </w:trPr>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 of housing costs in disposable household income</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Q1 income</w:t>
            </w:r>
            <w:r w:rsidRPr="003E3557">
              <w:rPr>
                <w:rFonts w:ascii="Times New Roman" w:eastAsia="Times New Roman" w:hAnsi="Times New Roman" w:cs="Times New Roman"/>
                <w:b/>
                <w:bCs/>
                <w:sz w:val="24"/>
                <w:szCs w:val="24"/>
                <w:lang w:eastAsia="hr-HR"/>
              </w:rPr>
              <w:br/>
              <w:t>25% poorest participants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Q4 income</w:t>
            </w:r>
            <w:r w:rsidRPr="003E3557">
              <w:rPr>
                <w:rFonts w:ascii="Times New Roman" w:eastAsia="Times New Roman" w:hAnsi="Times New Roman" w:cs="Times New Roman"/>
                <w:b/>
                <w:bCs/>
                <w:sz w:val="24"/>
                <w:szCs w:val="24"/>
                <w:lang w:eastAsia="hr-HR"/>
              </w:rPr>
              <w:br/>
              <w:t>25% wealthiest participants</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Below 10%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86</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14.3</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11–30%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36.4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50.6</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31–50%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33.6</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30.7</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Over 50%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b/>
                <w:bCs/>
                <w:sz w:val="24"/>
                <w:szCs w:val="24"/>
                <w:lang w:eastAsia="hr-HR"/>
              </w:rPr>
              <w:t>21.4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b/>
                <w:bCs/>
                <w:sz w:val="24"/>
                <w:szCs w:val="24"/>
                <w:lang w:eastAsia="hr-HR"/>
              </w:rPr>
              <w:t>4.5</w:t>
            </w:r>
          </w:p>
        </w:tc>
      </w:tr>
    </w:tbl>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i/>
          <w:iCs/>
          <w:sz w:val="24"/>
          <w:szCs w:val="24"/>
          <w:lang w:eastAsia="hr-HR"/>
        </w:rPr>
        <w:t>X</w:t>
      </w:r>
      <w:r w:rsidRPr="003E3557">
        <w:rPr>
          <w:rFonts w:ascii="Arial" w:eastAsia="Times New Roman" w:hAnsi="Arial" w:cs="Arial"/>
          <w:i/>
          <w:iCs/>
          <w:sz w:val="24"/>
          <w:szCs w:val="24"/>
          <w:vertAlign w:val="superscript"/>
          <w:lang w:eastAsia="hr-HR"/>
        </w:rPr>
        <w:t xml:space="preserve">2 </w:t>
      </w:r>
      <w:r w:rsidRPr="003E3557">
        <w:rPr>
          <w:rFonts w:ascii="Arial" w:eastAsia="Times New Roman" w:hAnsi="Arial" w:cs="Arial"/>
          <w:sz w:val="24"/>
          <w:szCs w:val="24"/>
          <w:lang w:eastAsia="hr-HR"/>
        </w:rPr>
        <w:t xml:space="preserve">(all 4 quartiles compared; 9, </w:t>
      </w:r>
      <w:r w:rsidRPr="003E3557">
        <w:rPr>
          <w:rFonts w:ascii="Arial" w:eastAsia="Times New Roman" w:hAnsi="Arial" w:cs="Arial"/>
          <w:i/>
          <w:iCs/>
          <w:sz w:val="24"/>
          <w:szCs w:val="24"/>
          <w:lang w:eastAsia="hr-HR"/>
        </w:rPr>
        <w:t xml:space="preserve">N </w:t>
      </w:r>
      <w:r w:rsidRPr="003E3557">
        <w:rPr>
          <w:rFonts w:ascii="Arial" w:eastAsia="Times New Roman" w:hAnsi="Arial" w:cs="Arial"/>
          <w:sz w:val="24"/>
          <w:szCs w:val="24"/>
          <w:lang w:eastAsia="hr-HR"/>
        </w:rPr>
        <w:t xml:space="preserve">= 1190) = 59.470, </w:t>
      </w:r>
      <w:r w:rsidRPr="003E3557">
        <w:rPr>
          <w:rFonts w:ascii="Arial" w:eastAsia="Times New Roman" w:hAnsi="Arial" w:cs="Arial"/>
          <w:i/>
          <w:iCs/>
          <w:sz w:val="24"/>
          <w:szCs w:val="24"/>
          <w:lang w:eastAsia="hr-HR"/>
        </w:rPr>
        <w:t>p</w:t>
      </w:r>
      <w:r w:rsidRPr="003E3557">
        <w:rPr>
          <w:rFonts w:ascii="Arial" w:eastAsia="Times New Roman" w:hAnsi="Arial" w:cs="Arial"/>
          <w:sz w:val="24"/>
          <w:szCs w:val="24"/>
          <w:lang w:eastAsia="hr-HR"/>
        </w:rPr>
        <w:t>&lt;.01</w:t>
      </w:r>
      <w:r w:rsidRPr="003E3557">
        <w:rPr>
          <w:rFonts w:ascii="Arial" w:eastAsia="Times New Roman" w:hAnsi="Arial" w:cs="Arial"/>
          <w:sz w:val="24"/>
          <w:szCs w:val="24"/>
          <w:lang w:eastAsia="hr-HR"/>
        </w:rPr>
        <w:br/>
        <w:t>Source: own work.</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In the theoretical section we mentioned the danger that renovation costs would be transferred to tenants through higher rents. Tenants in Croatia are in an especially vulnerable position, since in Croatia tenant contracts are generally less regulated and more short-term than in some other European countries. However, a new Act on Lease of Apartments is expected to be adopted soon, which should regulate their situation better. As visible in Table 5, the share of tenants living in unaffordable housing conditions is higher than owners – more than 60% of tenants in our sample spend over 30% of their monthly income on housing costs.</w:t>
      </w:r>
    </w:p>
    <w:tbl>
      <w:tblPr>
        <w:tblW w:w="14100" w:type="dxa"/>
        <w:tblCellMar>
          <w:top w:w="15" w:type="dxa"/>
          <w:left w:w="15" w:type="dxa"/>
          <w:bottom w:w="15" w:type="dxa"/>
          <w:right w:w="15" w:type="dxa"/>
        </w:tblCellMar>
        <w:tblLook w:val="04A0" w:firstRow="1" w:lastRow="0" w:firstColumn="1" w:lastColumn="0" w:noHBand="0" w:noVBand="1"/>
      </w:tblPr>
      <w:tblGrid>
        <w:gridCol w:w="9842"/>
        <w:gridCol w:w="2066"/>
        <w:gridCol w:w="2192"/>
      </w:tblGrid>
      <w:tr w:rsidR="003E3557" w:rsidRPr="003E3557" w:rsidTr="003E3557">
        <w:trPr>
          <w:tblHeader/>
        </w:trPr>
        <w:tc>
          <w:tcPr>
            <w:tcW w:w="0" w:type="auto"/>
            <w:gridSpan w:val="3"/>
            <w:tcBorders>
              <w:top w:val="nil"/>
              <w:left w:val="nil"/>
              <w:bottom w:val="nil"/>
              <w:right w:val="nil"/>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Table 5. Housing affordability – owners vs. tenants</w:t>
            </w:r>
          </w:p>
        </w:tc>
      </w:tr>
      <w:tr w:rsidR="003E3557" w:rsidRPr="003E3557" w:rsidTr="003E3557">
        <w:trPr>
          <w:tblHeader/>
        </w:trPr>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 of housing costs in disposable household income</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OWNERS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TENANTS</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Below 10%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10.5</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6.3</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11–30%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49.4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33.0</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31–50%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29.2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b/>
                <w:bCs/>
                <w:sz w:val="24"/>
                <w:szCs w:val="24"/>
                <w:lang w:eastAsia="hr-HR"/>
              </w:rPr>
              <w:t>41.8</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Over 50%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b/>
                <w:bCs/>
                <w:sz w:val="24"/>
                <w:szCs w:val="24"/>
                <w:lang w:eastAsia="hr-HR"/>
              </w:rPr>
              <w:t>19.0</w:t>
            </w:r>
          </w:p>
        </w:tc>
      </w:tr>
    </w:tbl>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i/>
          <w:iCs/>
          <w:sz w:val="24"/>
          <w:szCs w:val="24"/>
          <w:lang w:eastAsia="hr-HR"/>
        </w:rPr>
        <w:t>X</w:t>
      </w:r>
      <w:r w:rsidRPr="003E3557">
        <w:rPr>
          <w:rFonts w:ascii="Arial" w:eastAsia="Times New Roman" w:hAnsi="Arial" w:cs="Arial"/>
          <w:i/>
          <w:iCs/>
          <w:sz w:val="24"/>
          <w:szCs w:val="24"/>
          <w:vertAlign w:val="superscript"/>
          <w:lang w:eastAsia="hr-HR"/>
        </w:rPr>
        <w:t>2</w:t>
      </w:r>
      <w:r w:rsidRPr="003E3557">
        <w:rPr>
          <w:rFonts w:ascii="Arial" w:eastAsia="Times New Roman" w:hAnsi="Arial" w:cs="Arial"/>
          <w:sz w:val="24"/>
          <w:szCs w:val="24"/>
          <w:lang w:eastAsia="hr-HR"/>
        </w:rPr>
        <w:t xml:space="preserve"> (3, </w:t>
      </w:r>
      <w:r w:rsidRPr="003E3557">
        <w:rPr>
          <w:rFonts w:ascii="Arial" w:eastAsia="Times New Roman" w:hAnsi="Arial" w:cs="Arial"/>
          <w:i/>
          <w:iCs/>
          <w:sz w:val="24"/>
          <w:szCs w:val="24"/>
          <w:lang w:eastAsia="hr-HR"/>
        </w:rPr>
        <w:t xml:space="preserve">N </w:t>
      </w:r>
      <w:r w:rsidRPr="003E3557">
        <w:rPr>
          <w:rFonts w:ascii="Arial" w:eastAsia="Times New Roman" w:hAnsi="Arial" w:cs="Arial"/>
          <w:sz w:val="24"/>
          <w:szCs w:val="24"/>
          <w:lang w:eastAsia="hr-HR"/>
        </w:rPr>
        <w:t xml:space="preserve">= 1182) = 43.794, </w:t>
      </w:r>
      <w:r w:rsidRPr="003E3557">
        <w:rPr>
          <w:rFonts w:ascii="Arial" w:eastAsia="Times New Roman" w:hAnsi="Arial" w:cs="Arial"/>
          <w:i/>
          <w:iCs/>
          <w:sz w:val="24"/>
          <w:szCs w:val="24"/>
          <w:lang w:eastAsia="hr-HR"/>
        </w:rPr>
        <w:t>p</w:t>
      </w:r>
      <w:r w:rsidRPr="003E3557">
        <w:rPr>
          <w:rFonts w:ascii="Arial" w:eastAsia="Times New Roman" w:hAnsi="Arial" w:cs="Arial"/>
          <w:sz w:val="24"/>
          <w:szCs w:val="24"/>
          <w:lang w:eastAsia="hr-HR"/>
        </w:rPr>
        <w:t>&lt;.01</w:t>
      </w:r>
      <w:r w:rsidRPr="003E3557">
        <w:rPr>
          <w:rFonts w:ascii="Arial" w:eastAsia="Times New Roman" w:hAnsi="Arial" w:cs="Arial"/>
          <w:sz w:val="24"/>
          <w:szCs w:val="24"/>
          <w:lang w:eastAsia="hr-HR"/>
        </w:rPr>
        <w:br/>
        <w:t>Source: own work.</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Such vulnerabilities may intersect, as in cases where residents are both tenants and members of low-income groups, e.g., young families, who work in precarious conditions and cannot take on loans to enter homeownership, as a desired housing status in Croatia (Rodik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2019).</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However, when comparing the distribution of the affordability variable between residents with and without mortgage, there is little difference in favour of those without mortgages (</w:t>
      </w:r>
      <w:r w:rsidRPr="003E3557">
        <w:rPr>
          <w:rFonts w:ascii="Arial" w:eastAsia="Times New Roman" w:hAnsi="Arial" w:cs="Arial"/>
          <w:i/>
          <w:iCs/>
          <w:sz w:val="24"/>
          <w:szCs w:val="24"/>
          <w:lang w:eastAsia="hr-HR"/>
        </w:rPr>
        <w:t xml:space="preserve">X2 </w:t>
      </w:r>
      <w:r w:rsidRPr="003E3557">
        <w:rPr>
          <w:rFonts w:ascii="Arial" w:eastAsia="Times New Roman" w:hAnsi="Arial" w:cs="Arial"/>
          <w:sz w:val="24"/>
          <w:szCs w:val="24"/>
          <w:lang w:eastAsia="hr-HR"/>
        </w:rPr>
        <w:t xml:space="preserve">(3, </w:t>
      </w:r>
      <w:r w:rsidRPr="003E3557">
        <w:rPr>
          <w:rFonts w:ascii="Arial" w:eastAsia="Times New Roman" w:hAnsi="Arial" w:cs="Arial"/>
          <w:i/>
          <w:iCs/>
          <w:sz w:val="24"/>
          <w:szCs w:val="24"/>
          <w:lang w:eastAsia="hr-HR"/>
        </w:rPr>
        <w:t xml:space="preserve">N </w:t>
      </w:r>
      <w:r w:rsidRPr="003E3557">
        <w:rPr>
          <w:rFonts w:ascii="Arial" w:eastAsia="Times New Roman" w:hAnsi="Arial" w:cs="Arial"/>
          <w:sz w:val="24"/>
          <w:szCs w:val="24"/>
          <w:lang w:eastAsia="hr-HR"/>
        </w:rPr>
        <w:t xml:space="preserve">= 1362) = 10.146, </w:t>
      </w:r>
      <w:r w:rsidRPr="003E3557">
        <w:rPr>
          <w:rFonts w:ascii="Arial" w:eastAsia="Times New Roman" w:hAnsi="Arial" w:cs="Arial"/>
          <w:i/>
          <w:iCs/>
          <w:sz w:val="24"/>
          <w:szCs w:val="24"/>
          <w:lang w:eastAsia="hr-HR"/>
        </w:rPr>
        <w:t>p</w:t>
      </w:r>
      <w:r w:rsidRPr="003E3557">
        <w:rPr>
          <w:rFonts w:ascii="Arial" w:eastAsia="Times New Roman" w:hAnsi="Arial" w:cs="Arial"/>
          <w:sz w:val="24"/>
          <w:szCs w:val="24"/>
          <w:lang w:eastAsia="hr-HR"/>
        </w:rPr>
        <w:t xml:space="preserve"> = .017), but it should further be investigated whether such existing obligations would present a psychological barrier for taking on another loan for the building renovation process.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When comparing affordability between different household sizes (Table 6), it stands out that, compared to other household types, single-person households more often spend over 50% of their monthly income on housing costs. With almost 50% of </w:t>
      </w:r>
      <w:r w:rsidRPr="003E3557">
        <w:rPr>
          <w:rFonts w:ascii="Arial" w:eastAsia="Times New Roman" w:hAnsi="Arial" w:cs="Arial"/>
          <w:sz w:val="24"/>
          <w:szCs w:val="24"/>
          <w:lang w:eastAsia="hr-HR"/>
        </w:rPr>
        <w:lastRenderedPageBreak/>
        <w:t>single-person households exceeding the 30% threshold for unaffordable housing, they could also be considered a vulnerable group.</w:t>
      </w:r>
    </w:p>
    <w:tbl>
      <w:tblPr>
        <w:tblW w:w="14100" w:type="dxa"/>
        <w:tblCellMar>
          <w:top w:w="15" w:type="dxa"/>
          <w:left w:w="15" w:type="dxa"/>
          <w:bottom w:w="15" w:type="dxa"/>
          <w:right w:w="15" w:type="dxa"/>
        </w:tblCellMar>
        <w:tblLook w:val="04A0" w:firstRow="1" w:lastRow="0" w:firstColumn="1" w:lastColumn="0" w:noHBand="0" w:noVBand="1"/>
      </w:tblPr>
      <w:tblGrid>
        <w:gridCol w:w="3859"/>
        <w:gridCol w:w="2142"/>
        <w:gridCol w:w="2025"/>
        <w:gridCol w:w="2132"/>
        <w:gridCol w:w="2061"/>
        <w:gridCol w:w="1881"/>
      </w:tblGrid>
      <w:tr w:rsidR="003E3557" w:rsidRPr="003E3557" w:rsidTr="003E3557">
        <w:trPr>
          <w:tblHeader/>
        </w:trPr>
        <w:tc>
          <w:tcPr>
            <w:tcW w:w="0" w:type="auto"/>
            <w:gridSpan w:val="6"/>
            <w:tcBorders>
              <w:top w:val="nil"/>
              <w:left w:val="nil"/>
              <w:bottom w:val="nil"/>
              <w:right w:val="nil"/>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Table 6. Housing affordability by household size</w:t>
            </w:r>
          </w:p>
        </w:tc>
      </w:tr>
      <w:tr w:rsidR="003E3557" w:rsidRPr="003E3557" w:rsidTr="003E3557">
        <w:trPr>
          <w:tblHeader/>
        </w:trPr>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 of housing costs in disposable household income</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Single-person households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Two-person households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Three-person households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Four-person households</w:t>
            </w: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3E3557" w:rsidRPr="003E3557" w:rsidRDefault="003E3557" w:rsidP="003E3557">
            <w:pPr>
              <w:spacing w:after="0" w:line="240" w:lineRule="auto"/>
              <w:jc w:val="center"/>
              <w:rPr>
                <w:rFonts w:ascii="Times New Roman" w:eastAsia="Times New Roman" w:hAnsi="Times New Roman" w:cs="Times New Roman"/>
                <w:b/>
                <w:bCs/>
                <w:sz w:val="24"/>
                <w:szCs w:val="24"/>
                <w:lang w:eastAsia="hr-HR"/>
              </w:rPr>
            </w:pPr>
            <w:r w:rsidRPr="003E3557">
              <w:rPr>
                <w:rFonts w:ascii="Times New Roman" w:eastAsia="Times New Roman" w:hAnsi="Times New Roman" w:cs="Times New Roman"/>
                <w:b/>
                <w:bCs/>
                <w:sz w:val="24"/>
                <w:szCs w:val="24"/>
                <w:lang w:eastAsia="hr-HR"/>
              </w:rPr>
              <w:t>5+ person households</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Below 10%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10.8</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8.1</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7.4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12.6</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17.9</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11–30%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40.0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51.0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44.9</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43.9</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40.5</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31–50%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30.3</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30.2</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36.0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36.4</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28.6</w:t>
            </w:r>
          </w:p>
        </w:tc>
      </w:tr>
      <w:tr w:rsidR="003E3557" w:rsidRPr="003E3557" w:rsidTr="003E3557">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Over 50%</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b/>
                <w:bCs/>
                <w:sz w:val="24"/>
                <w:szCs w:val="24"/>
                <w:lang w:eastAsia="hr-HR"/>
              </w:rPr>
              <w:t>18.9</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10.7</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11.7</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7.1</w:t>
            </w:r>
          </w:p>
        </w:tc>
        <w:tc>
          <w:tcPr>
            <w:tcW w:w="0" w:type="auto"/>
            <w:tcBorders>
              <w:top w:val="single" w:sz="6" w:space="0" w:color="DDDDDD"/>
              <w:left w:val="single" w:sz="6" w:space="0" w:color="DDDDDD"/>
              <w:bottom w:val="single" w:sz="6" w:space="0" w:color="DDDDDD"/>
              <w:right w:val="single" w:sz="6" w:space="0" w:color="DDDDDD"/>
            </w:tcBorders>
            <w:hideMark/>
          </w:tcPr>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t>13.1</w:t>
            </w:r>
          </w:p>
        </w:tc>
      </w:tr>
    </w:tbl>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i/>
          <w:iCs/>
          <w:sz w:val="24"/>
          <w:szCs w:val="24"/>
          <w:lang w:eastAsia="hr-HR"/>
        </w:rPr>
        <w:t>X</w:t>
      </w:r>
      <w:r w:rsidRPr="003E3557">
        <w:rPr>
          <w:rFonts w:ascii="Arial" w:eastAsia="Times New Roman" w:hAnsi="Arial" w:cs="Arial"/>
          <w:i/>
          <w:iCs/>
          <w:sz w:val="24"/>
          <w:szCs w:val="24"/>
          <w:vertAlign w:val="superscript"/>
          <w:lang w:eastAsia="hr-HR"/>
        </w:rPr>
        <w:t>2</w:t>
      </w:r>
      <w:r w:rsidRPr="003E3557">
        <w:rPr>
          <w:rFonts w:ascii="Arial" w:eastAsia="Times New Roman" w:hAnsi="Arial" w:cs="Arial"/>
          <w:i/>
          <w:iCs/>
          <w:sz w:val="24"/>
          <w:szCs w:val="24"/>
          <w:lang w:eastAsia="hr-HR"/>
        </w:rPr>
        <w:t xml:space="preserve"> </w:t>
      </w:r>
      <w:r w:rsidRPr="003E3557">
        <w:rPr>
          <w:rFonts w:ascii="Arial" w:eastAsia="Times New Roman" w:hAnsi="Arial" w:cs="Arial"/>
          <w:sz w:val="24"/>
          <w:szCs w:val="24"/>
          <w:lang w:eastAsia="hr-HR"/>
        </w:rPr>
        <w:t xml:space="preserve">(12, </w:t>
      </w:r>
      <w:r w:rsidRPr="003E3557">
        <w:rPr>
          <w:rFonts w:ascii="Arial" w:eastAsia="Times New Roman" w:hAnsi="Arial" w:cs="Arial"/>
          <w:i/>
          <w:iCs/>
          <w:sz w:val="24"/>
          <w:szCs w:val="24"/>
          <w:lang w:eastAsia="hr-HR"/>
        </w:rPr>
        <w:t xml:space="preserve">N </w:t>
      </w:r>
      <w:r w:rsidRPr="003E3557">
        <w:rPr>
          <w:rFonts w:ascii="Arial" w:eastAsia="Times New Roman" w:hAnsi="Arial" w:cs="Arial"/>
          <w:sz w:val="24"/>
          <w:szCs w:val="24"/>
          <w:lang w:eastAsia="hr-HR"/>
        </w:rPr>
        <w:t xml:space="preserve">= 1384) = 39.092, </w:t>
      </w:r>
      <w:r w:rsidRPr="003E3557">
        <w:rPr>
          <w:rFonts w:ascii="Arial" w:eastAsia="Times New Roman" w:hAnsi="Arial" w:cs="Arial"/>
          <w:i/>
          <w:iCs/>
          <w:sz w:val="24"/>
          <w:szCs w:val="24"/>
          <w:lang w:eastAsia="hr-HR"/>
        </w:rPr>
        <w:t>p</w:t>
      </w:r>
      <w:r w:rsidRPr="003E3557">
        <w:rPr>
          <w:rFonts w:ascii="Arial" w:eastAsia="Times New Roman" w:hAnsi="Arial" w:cs="Arial"/>
          <w:sz w:val="24"/>
          <w:szCs w:val="24"/>
          <w:lang w:eastAsia="hr-HR"/>
        </w:rPr>
        <w:t>&lt;.01</w:t>
      </w:r>
      <w:r w:rsidRPr="003E3557">
        <w:rPr>
          <w:rFonts w:ascii="Arial" w:eastAsia="Times New Roman" w:hAnsi="Arial" w:cs="Arial"/>
          <w:sz w:val="24"/>
          <w:szCs w:val="24"/>
          <w:lang w:eastAsia="hr-HR"/>
        </w:rPr>
        <w:br/>
        <w:t>Source: own work.</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Among single-person households we additionally want to highlight the position of elderly residents. When focusing specifically on older single-person households (65+; </w:t>
      </w:r>
      <w:r w:rsidRPr="003E3557">
        <w:rPr>
          <w:rFonts w:ascii="Arial" w:eastAsia="Times New Roman" w:hAnsi="Arial" w:cs="Arial"/>
          <w:i/>
          <w:iCs/>
          <w:sz w:val="24"/>
          <w:szCs w:val="24"/>
          <w:lang w:eastAsia="hr-HR"/>
        </w:rPr>
        <w:t>N</w:t>
      </w:r>
      <w:r w:rsidRPr="003E3557">
        <w:rPr>
          <w:rFonts w:ascii="Arial" w:eastAsia="Times New Roman" w:hAnsi="Arial" w:cs="Arial"/>
          <w:sz w:val="24"/>
          <w:szCs w:val="24"/>
          <w:lang w:eastAsia="hr-HR"/>
        </w:rPr>
        <w:t xml:space="preserve"> = 88), it becomes evident that their total monthly incomes are considerably lower than those of the younger single-person households:</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Median income category (single-person elderly households) = 266–531 euros</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Median income category (rest of the single person households) = 797–1,062 euros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Since renovation often entails a substantial increase in the reserve fund, high one-time expenses, and other unforeseen costs, older residents with low pensions living alone may simply not be unable to afford them. This conclusion also emerged in the focus group discussions, highlighting the quantitative findings, as illustrated by the following statement:</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Resident, Sopot (old estate): Yes. But when we asked about water meters or facade renovation, they said there wasn’t enough interest in any of it.</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Moderator: Okay. I assume it’s again a financial issue?</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Resident, Sopot: Exactly. The elderly residents don’t want to raise the reserve fund, and they don’t want to touch anything.</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A resident from another old estate in Zagreb points out the worse financial situation of the older population:</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We older people no longer ‘swim’ in money, and it would be difficult to set aside several thousand euros per apartment in order to build such two-person elevators (FG participant, Trnsko, 2</w:t>
      </w:r>
      <w:r w:rsidRPr="003E3557">
        <w:rPr>
          <w:rFonts w:ascii="Arial" w:eastAsia="Times New Roman" w:hAnsi="Arial" w:cs="Arial"/>
          <w:sz w:val="24"/>
          <w:szCs w:val="24"/>
          <w:vertAlign w:val="superscript"/>
          <w:lang w:eastAsia="hr-HR"/>
        </w:rPr>
        <w:t>nd</w:t>
      </w:r>
      <w:r w:rsidRPr="003E3557">
        <w:rPr>
          <w:rFonts w:ascii="Arial" w:eastAsia="Times New Roman" w:hAnsi="Arial" w:cs="Arial"/>
          <w:sz w:val="24"/>
          <w:szCs w:val="24"/>
          <w:lang w:eastAsia="hr-HR"/>
        </w:rPr>
        <w:t xml:space="preserve"> respondent, old estate).</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When this limited financial capacity of the elderly is combined with the fact that there is a higher proportion of elderly residents in older housing estates (Klasić and Svirčić Gotovac, 2024), which are in a worse physical condition, it is clear that the elderly are in a vulnerable position, and that this position creates significant obstacles to initiating renovation processes. This indicates a strong need for the involvement of state and municipal authorities through co-financing schemes and targeted support measures.</w:t>
      </w:r>
    </w:p>
    <w:p w:rsidR="003E3557" w:rsidRPr="003E3557" w:rsidRDefault="003E3557" w:rsidP="003E3557">
      <w:pPr>
        <w:spacing w:before="100" w:beforeAutospacing="1" w:after="100" w:afterAutospacing="1" w:line="240" w:lineRule="auto"/>
        <w:outlineLvl w:val="2"/>
        <w:rPr>
          <w:rFonts w:ascii="Arial" w:eastAsia="Times New Roman" w:hAnsi="Arial" w:cs="Arial"/>
          <w:b/>
          <w:bCs/>
          <w:sz w:val="27"/>
          <w:szCs w:val="27"/>
          <w:lang w:eastAsia="hr-HR"/>
        </w:rPr>
      </w:pPr>
      <w:r w:rsidRPr="003E3557">
        <w:rPr>
          <w:rFonts w:ascii="Arial" w:eastAsia="Times New Roman" w:hAnsi="Arial" w:cs="Arial"/>
          <w:b/>
          <w:bCs/>
          <w:sz w:val="27"/>
          <w:szCs w:val="27"/>
          <w:lang w:eastAsia="hr-HR"/>
        </w:rPr>
        <w:lastRenderedPageBreak/>
        <w:t>5.3. Other renovation barriers – resident and expert perspectives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From the residents’ perspective in focus groups, it can be concluded that insufficient personal financial and other resources constitute a significant barrier to building renovation and pose a risk to the general affordability of housing for some social groups. This factor is also combined with the high cost of renovation and insufficient finances at the building level (the common reserve fund). In addition to that, there are many other, non-financial barriers to building renovation, which were identified through focus groups and expert interviews. Because of complex interpersonal dynamics between residents and low engagement of the co-owners, it is hard to come to an agreement at the building level. The following statement from a resident of a socialist estate illustrates the difficulties residents face in reaching consensus within multi-family buildings regarding renovation and maintenance decisions. It highlights how decision-making processes can become prolonged and conflictual, with disagreements emerging over both financial contributions, as well as aesthetic or other choices (e.g., complete or partial renovation), ultimately delaying collective action on building upkeep:</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By the time they agreed, by the time they managed to meet, and then everyone started arguing, why something should or should not be done, what colour it should be… It was a disaster (FG participant, Dugave, old estate).</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Also, many residents express dissatisfaction with cooperation with co-owners’ representatives and building managers. The process of building renovation is from the residents’ perspective legally and bureaucratically complex – together with the inactivity and low cooperation between residents and other actors, this can lead to confusion and lack of information, and in the end to unsuccessful or non-operational renovation:</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I don’t know what my co-owners’ representative is waiting for. I only asked him whether it is possible to access EU funds for renovating the building. He said he doesn’t know and that it is not that simple. Now, how much of this depends on him, on the building manager, or on the official letters that need to be written and the documentation required – I don’t get involved in that. That is his job and the job of the building manager, but the fact is that our garages are deteriorating and water is leaking from all sides… (FG participant, Travno, old estate).</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This statement further illustrates the procedural barriers perceived by residents in the process of building renovation. It highlights not only a lack of clarity regarding the roles and responsibilities among key actors (such as co-owners’ representatives and building managers), but also the residents’ and co-owners’ representatives’ limited understanding of the administrative and financial mechanisms involved, including access to potential EU funding. At the same time, it reflects a sense of disengagement from decision-making processes, where responsibility is largely delegated to intermediaries, while tangible problems of building deterioration remain unresolved.</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These barriers at the level of individual multi-family buildings are also symptoms that at the level of cites and the state energy and urban renewal are not implemented adequately or systematically enough, which is also highlighted by the experts. </w:t>
      </w:r>
      <w:r w:rsidRPr="003E3557">
        <w:rPr>
          <w:rFonts w:ascii="Arial" w:eastAsia="Times New Roman" w:hAnsi="Arial" w:cs="Arial"/>
          <w:sz w:val="24"/>
          <w:szCs w:val="24"/>
          <w:lang w:eastAsia="hr-HR"/>
        </w:rPr>
        <w:lastRenderedPageBreak/>
        <w:t>Because of lacking a systematic approach at the national level, large cities, especially Zagreb and Split, try to have their own energy renovation plan and path to climate-neutrality, particularly for public institutions (and less for private buildings). This kind of separation from the national level, mostly financial, but also in terms of vision and terminology, is a sign of a divided and uneven Europeanisation process, through which cities try to find additional resources from EU funds and some other sources. An expert from the city agency REGEA, which offers solutions and implements projects in the field of energy, infrastructure and climate protection, points out that the City of Zagreb is systematically developing regeneration and climate-resilience measures that are above the standard envisioned at the national level:</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In Zagreb, we are really taking a systematic approach in terms of integrating climate and energy into spatial planning, into budget planning. […] Nobody knows today that any school or kindergarten that has been newly built or renovated no longer uses gas. They are now structurally safe for earthquakes of magnitude 7 or even 8, depending on the building, and they have green roofs, photovoltaic panels, LED lighting… […] We have gone beyond the national level in Zagreb […], at least for the beginning, with public facilities (Expert, REGEA).</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In the context of this paper, there is thus a long way to go in developing a systematic and national level approach to the renovation of multi-family buildings. Although the European Union provides important guidelines as well as financial opportunities and incentives through its funding programmes, one expert, an architect, also warned about the negative aspects of relying just on EU sources of financing and their effect on renovation costs/affordability:</w:t>
      </w:r>
    </w:p>
    <w:p w:rsidR="003E3557" w:rsidRPr="003E3557" w:rsidRDefault="003E3557" w:rsidP="003E3557">
      <w:pPr>
        <w:spacing w:after="100"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Given that Europe provides a huge amount of money for energy renovation projects, contractors charge two to three times more than the actual market price for these works. […] As soon as contractors hear that the funding is coming from EU programmes, the price automatically doubles. So, this has become a negative trend (Expert, architect).</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This quotation illustrates the complexity of energy renovation. The Europeanisation and funding process taking place both at the legislative and financial levels can stimulate renovation efforts and help bring cities closer to sustainability and climate-neutrality goals, while also improving residents’ everyday quality of life. However, this process may also produce unintended consequences, such as increased construction costs and broader distortions in the housing market. Therefore, any measure implemented at the city or state level must be carefully designed to ensure that renovation is conducted in a manageable and transparent, but also affordable manner.</w: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6. Discussion and conclusion</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The findings from this and other studies (Hess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2018; Nedučin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2019; Sendi and Kerbler, 2021; Svirčić Gotovac and Đokić, 2023, etc.) point to the need for a discussion on the possibilities for improving multi-family buildings in the post-socialist context. The results show that among various physical aspects of the buildings, lower level of satisfaction was reported regarding the exterior and interior </w:t>
      </w:r>
      <w:r w:rsidRPr="003E3557">
        <w:rPr>
          <w:rFonts w:ascii="Arial" w:eastAsia="Times New Roman" w:hAnsi="Arial" w:cs="Arial"/>
          <w:sz w:val="24"/>
          <w:szCs w:val="24"/>
          <w:lang w:eastAsia="hr-HR"/>
        </w:rPr>
        <w:lastRenderedPageBreak/>
        <w:t>condition of buildings and their energy performance, especially in the older housing stock. This finding is in line with the conclusion from the National Development Strategy 2030, which highlights that the building stock is relatively old and energy inefficient. From the perspective of residents’ quality of life, energy renovation is therefore essential. It is equally crucial as a strategic priority for Croatia in meeting the EU decarbonisation and green transition targets.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However, these goals raise an important question: do they conflict with the principle of housing affordability in the examined estates? While housing in Croatia appears affordable when assessed at the national average (as discussed in the third chapter), our research in the largest Croatian cities shows that many residents in socialist and post-socialist housing estates in fact live under unaffordable housing conditions, exceeding the threshold of 30% of monthly household income spent on housing costs. This finding reflects a limitation of relying solely on national averages when assessing housing affordability. Additionally, energy renovation, which typically requires substantial increases in the reserve fund and higher monthly contributions, may place significant pressure on household bud</w:t>
      </w:r>
      <w:r w:rsidRPr="003E3557">
        <w:rPr>
          <w:rFonts w:ascii="Arial" w:eastAsia="Times New Roman" w:hAnsi="Arial" w:cs="Arial"/>
          <w:sz w:val="24"/>
          <w:szCs w:val="24"/>
          <w:lang w:eastAsia="hr-HR"/>
        </w:rPr>
        <w:softHyphen/>
        <w:t xml:space="preserve">gets. This is particularly true for vulnerable groups such as low-income households, mortgage holders, single-person households (especially older single-person households), and tenants who may face higher rents as a result of increased building maintenance fees. For most multi-family buildings, energy renovation is a huge burden because of the high share of private owners, and very rare state subsidies, which mostly depend on EU funds, so they cannot cover all the necessary renovations. Without such co-financing from funds, private buildings can only be renovated by taking out a commercial loan through the building manager, and financed through the common reserve fund (that is, the co-owners themselves). This is very disadvantageous for many older residents or low-income households. For many buildings this means hesitation regarding renovation and maintaining of the status quo. Thus, the privatisation of housing and apartment ownership in the early 1990s made it more difficult to perform certain housing maintenance activities, and especially energy renovation. The state has been involved only very partially, leaving this process largely on the shoulders of individual owners. These results show an individualisation of caring for energy renovation combined with a very sporadic engagement of individual owners, who mostly depend on themselves, or on waiting for an inadequate allocation by the state funds. The findings are in line with previous research on management and maintenance of multi-family buildings in Croatia, which was conducted from the perspective of co-owners’ representatives (Svirčić Gotovac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2023). It emphasised similar issues of stagnation in energy renovation and green transition processes, placing Croatia in a worse position than some other post-socialist countries with a higher share of renovated housing stock (Slovenia, Poland, Slovakia, etc.).</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Beyond financial barriers, residents also perceive energy renovation and the associated co-financing mechanisms as a legally and procedurally complex task for them. Building management practices, such as coordination between residents, co-owners’ representatives, and managers, as well as a general lack of responsibility for collective ownership in multi-family buildings (Klasić and Đokić, 2023), can further slow down or even obstruct renovation processes. Experts also point out that energy renovation is not implemented in a comprehensive and strategic way at the national level, and that there are not enough supportive mechanisms for energy renovation of private buildings.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 xml:space="preserve">Rather than representing an isolated case, the Croatian example highlighted in this paper reflects broader challenges of maintaining and renovating socialist housing estates that are shared across many post-socialist countries (Hess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xml:space="preserve">, 2018; Nedučin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2019). Also, the findings contribute to the growing international literature on housing estate renovation by further emphasising the connection between the renewal of the housing stock and wider processes of transfer of Europeanisation practices. In Croatia, as in several other Central and Eastern European countries, these processes often remain primarily declarative in nature. Following Szelényi and Csillag (2015), this can be understood as a pattern of symbolic compliance with EU norms that has limited practical effects. As a result, ambitions related to sustainable urban transformation and housing renovation are frequently constrained by market-oriented urban policies and by the privatisation of housing and property, which shifts responsibility for building maintenance and renovation largely onto individual owners and co-owners. The Croatian case thus illustrates how housing affordability and renovation are deeply interconnected, particularly in the contexts where ageing housing estates require substantial investment, while institutional and financial support mechanisms remain insufficiently developed.</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Looking ahead, broader assessments of the social impacts of energy-efficiency legislation and renovation programmes are needed, along with the development of targeted measures to protect vulnerable households (Müller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2024). Possible solutions include, for example, support measures such as broader models of co-financing and subsidisation, or more innovative solutions like the development of energy cooperatives. Ultimately, improving the energy performance of buildings should constitute only one component of a more holistic approach to estate-scale renovation, especially in socialist housing estates, which were designed and built as coherent entities. Nevertheless, they apply for renovation according to the current rules as a separate building or a separate building entrance, not as a whole estate. This model is slow and depends on the financial capabilities of the owners, which leads to unequal development of estates, and some residents being and remaining in unfavourable conditions. Thus, a comprehensive renovation of residential building blocks is also one possible solution. This should primarily mean greater involvement of the state, and a higher share of national funds invested in this sector than it is today, in addition to sometimes uncertain EU funding. Finally, future housing policies and renovation strategies should also draw on examples of good practice (Busà, 2025) in which large housing estates have been comprehensively renovated and revitalised, while achieving a balance between cost-effective energy retrofitting, the creation of inclusive green public spaces, and effective measures aimed at protecting housing tenure rights, and preventing the social exclusion of vulnerable residents.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b/>
          <w:bCs/>
          <w:sz w:val="24"/>
          <w:szCs w:val="24"/>
          <w:lang w:eastAsia="hr-HR"/>
        </w:rPr>
        <w:t>Acknowledgments.</w:t>
      </w:r>
      <w:r w:rsidRPr="003E3557">
        <w:rPr>
          <w:rFonts w:ascii="Arial" w:eastAsia="Times New Roman" w:hAnsi="Arial" w:cs="Arial"/>
          <w:sz w:val="24"/>
          <w:szCs w:val="24"/>
          <w:lang w:eastAsia="hr-HR"/>
        </w:rPr>
        <w:t xml:space="preserve"> This paper is a result of the project </w:t>
      </w:r>
      <w:r w:rsidRPr="003E3557">
        <w:rPr>
          <w:rFonts w:ascii="Arial" w:eastAsia="Times New Roman" w:hAnsi="Arial" w:cs="Arial"/>
          <w:i/>
          <w:iCs/>
          <w:sz w:val="24"/>
          <w:szCs w:val="24"/>
          <w:lang w:eastAsia="hr-HR"/>
        </w:rPr>
        <w:t xml:space="preserve">Quality of living in the Housing Estates of the socialist and post-socialist era: a comparative analysis between Slovenia and Croatia </w:t>
      </w:r>
      <w:r w:rsidRPr="003E3557">
        <w:rPr>
          <w:rFonts w:ascii="Arial" w:eastAsia="Times New Roman" w:hAnsi="Arial" w:cs="Arial"/>
          <w:sz w:val="24"/>
          <w:szCs w:val="24"/>
          <w:lang w:eastAsia="hr-HR"/>
        </w:rPr>
        <w:t>/ Research projects/Slovenian-Croatian bilateral projects (IPS-2020-01-7036) financed by the Croatian Science Foundation, as well as the project Effects of the Europeanization Process in Selected Urban-Rural Areas of Croatia financed by the ISRZ (Institute for Social Research in Zagreb) Research Programme – Ministry of Science, Education and Youth via the NextGenerationEU Fund, European Commission (HREUURBRUR – 001/IDIZ).</w:t>
      </w:r>
    </w:p>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lastRenderedPageBreak/>
        <w:pict>
          <v:rect id="_x0000_i1028" style="width:0;height:1.5pt" o:hralign="center" o:hrstd="t" o:hr="t" fillcolor="#a0a0a0" stroked="f"/>
        </w:pict>
      </w:r>
    </w:p>
    <w:p w:rsidR="003E3557" w:rsidRPr="003E3557" w:rsidRDefault="003E3557" w:rsidP="003E3557">
      <w:pPr>
        <w:spacing w:after="0" w:line="240" w:lineRule="auto"/>
        <w:ind w:left="-15" w:right="-15"/>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Autorzy</w:t>
      </w:r>
    </w:p>
    <w:p w:rsidR="003E3557" w:rsidRPr="003E3557" w:rsidRDefault="003E3557" w:rsidP="003E3557">
      <w:pPr>
        <w:spacing w:after="100" w:afterAutospacing="1" w:line="240" w:lineRule="auto"/>
        <w:rPr>
          <w:rFonts w:ascii="Arial" w:eastAsia="Times New Roman" w:hAnsi="Arial" w:cs="Arial"/>
          <w:sz w:val="24"/>
          <w:szCs w:val="24"/>
          <w:lang w:eastAsia="hr-HR"/>
        </w:rPr>
      </w:pPr>
      <w:hyperlink r:id="rId14" w:anchor="footnote-ref-0" w:history="1">
        <w:r w:rsidRPr="003E3557">
          <w:rPr>
            <w:rFonts w:ascii="Arial" w:eastAsia="Times New Roman" w:hAnsi="Arial" w:cs="Arial"/>
            <w:b/>
            <w:bCs/>
            <w:color w:val="006164"/>
            <w:sz w:val="24"/>
            <w:szCs w:val="24"/>
            <w:u w:val="single"/>
            <w:vertAlign w:val="superscript"/>
            <w:lang w:eastAsia="hr-HR"/>
          </w:rPr>
          <w:t>*</w:t>
        </w:r>
      </w:hyperlink>
      <w:r w:rsidRPr="003E3557">
        <w:rPr>
          <w:rFonts w:ascii="Arial" w:eastAsia="Times New Roman" w:hAnsi="Arial" w:cs="Arial"/>
          <w:b/>
          <w:bCs/>
          <w:sz w:val="24"/>
          <w:szCs w:val="24"/>
          <w:lang w:eastAsia="hr-HR"/>
        </w:rPr>
        <w:t xml:space="preserve"> Anamaria KLASIĆ</w:t>
      </w:r>
      <w:r w:rsidRPr="003E3557">
        <w:rPr>
          <w:rFonts w:ascii="Arial" w:eastAsia="Times New Roman" w:hAnsi="Arial" w:cs="Arial"/>
          <w:sz w:val="24"/>
          <w:szCs w:val="24"/>
          <w:lang w:eastAsia="hr-HR"/>
        </w:rPr>
        <w:t xml:space="preserve">, Institute for Social Research in Zagreb, Frankopanska 22/I, Zagreb, Croatia; e-mails: </w:t>
      </w:r>
      <w:hyperlink r:id="rId15" w:history="1">
        <w:r w:rsidRPr="003E3557">
          <w:rPr>
            <w:rFonts w:ascii="Arial" w:eastAsia="Times New Roman" w:hAnsi="Arial" w:cs="Arial"/>
            <w:color w:val="006164"/>
            <w:sz w:val="24"/>
            <w:szCs w:val="24"/>
            <w:u w:val="single"/>
            <w:lang w:eastAsia="hr-HR"/>
          </w:rPr>
          <w:t>anamaria@idi.hr</w:t>
        </w:r>
      </w:hyperlink>
      <w:r w:rsidRPr="003E3557">
        <w:rPr>
          <w:rFonts w:ascii="Arial" w:eastAsia="Times New Roman" w:hAnsi="Arial" w:cs="Arial"/>
          <w:sz w:val="24"/>
          <w:szCs w:val="24"/>
          <w:lang w:eastAsia="hr-HR"/>
        </w:rPr>
        <w:t xml:space="preserve">, ORCID: </w:t>
      </w:r>
      <w:hyperlink r:id="rId16" w:history="1">
        <w:r w:rsidRPr="003E3557">
          <w:rPr>
            <w:rFonts w:ascii="Arial" w:eastAsia="Times New Roman" w:hAnsi="Arial" w:cs="Arial"/>
            <w:color w:val="006164"/>
            <w:sz w:val="24"/>
            <w:szCs w:val="24"/>
            <w:u w:val="single"/>
            <w:lang w:eastAsia="hr-HR"/>
          </w:rPr>
          <w:t>https://orcid.org/0000-0002-2902-1476</w:t>
        </w:r>
      </w:hyperlink>
    </w:p>
    <w:p w:rsidR="003E3557" w:rsidRPr="003E3557" w:rsidRDefault="003E3557" w:rsidP="003E3557">
      <w:pPr>
        <w:spacing w:after="100" w:afterAutospacing="1" w:line="240" w:lineRule="auto"/>
        <w:rPr>
          <w:rFonts w:ascii="Arial" w:eastAsia="Times New Roman" w:hAnsi="Arial" w:cs="Arial"/>
          <w:sz w:val="24"/>
          <w:szCs w:val="24"/>
          <w:lang w:eastAsia="hr-HR"/>
        </w:rPr>
      </w:pPr>
      <w:hyperlink r:id="rId17" w:anchor="footnote-ref-1" w:history="1">
        <w:r w:rsidRPr="003E3557">
          <w:rPr>
            <w:rFonts w:ascii="Arial" w:eastAsia="Times New Roman" w:hAnsi="Arial" w:cs="Arial"/>
            <w:b/>
            <w:bCs/>
            <w:color w:val="006164"/>
            <w:sz w:val="24"/>
            <w:szCs w:val="24"/>
            <w:u w:val="single"/>
            <w:vertAlign w:val="superscript"/>
            <w:lang w:eastAsia="hr-HR"/>
          </w:rPr>
          <w:t>*</w:t>
        </w:r>
      </w:hyperlink>
      <w:r w:rsidRPr="003E3557">
        <w:rPr>
          <w:rFonts w:ascii="Arial" w:eastAsia="Times New Roman" w:hAnsi="Arial" w:cs="Arial"/>
          <w:b/>
          <w:bCs/>
          <w:sz w:val="24"/>
          <w:szCs w:val="24"/>
          <w:lang w:eastAsia="hr-HR"/>
        </w:rPr>
        <w:t xml:space="preserve"> Anđelina SVIRČIĆ GOTOVAC</w:t>
      </w:r>
      <w:r w:rsidRPr="003E3557">
        <w:rPr>
          <w:rFonts w:ascii="Arial" w:eastAsia="Times New Roman" w:hAnsi="Arial" w:cs="Arial"/>
          <w:sz w:val="24"/>
          <w:szCs w:val="24"/>
          <w:lang w:eastAsia="hr-HR"/>
        </w:rPr>
        <w:t xml:space="preserve">, Institute for Social Research in Zagreb, Frankopanska 22/I, Zagreb, Croatia; e-mails: </w:t>
      </w:r>
      <w:hyperlink r:id="rId18" w:history="1">
        <w:r w:rsidRPr="003E3557">
          <w:rPr>
            <w:rFonts w:ascii="Arial" w:eastAsia="Times New Roman" w:hAnsi="Arial" w:cs="Arial"/>
            <w:color w:val="006164"/>
            <w:sz w:val="24"/>
            <w:szCs w:val="24"/>
            <w:u w:val="single"/>
            <w:lang w:eastAsia="hr-HR"/>
          </w:rPr>
          <w:t>svircic@idi.hr</w:t>
        </w:r>
      </w:hyperlink>
      <w:r w:rsidRPr="003E3557">
        <w:rPr>
          <w:rFonts w:ascii="Arial" w:eastAsia="Times New Roman" w:hAnsi="Arial" w:cs="Arial"/>
          <w:sz w:val="24"/>
          <w:szCs w:val="24"/>
          <w:lang w:eastAsia="hr-HR"/>
        </w:rPr>
        <w:t xml:space="preserve">, ORCID: </w:t>
      </w:r>
      <w:hyperlink r:id="rId19" w:history="1">
        <w:r w:rsidRPr="003E3557">
          <w:rPr>
            <w:rFonts w:ascii="Arial" w:eastAsia="Times New Roman" w:hAnsi="Arial" w:cs="Arial"/>
            <w:color w:val="006164"/>
            <w:sz w:val="24"/>
            <w:szCs w:val="24"/>
            <w:u w:val="single"/>
            <w:lang w:eastAsia="hr-HR"/>
          </w:rPr>
          <w:t>https://orcid.org/0000-0001-9462-0734</w:t>
        </w:r>
      </w:hyperlink>
    </w:p>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pict>
          <v:rect id="_x0000_i1029" style="width:0;height:1.5pt" o:hralign="center" o:hrstd="t" o:hr="t" fillcolor="#a0a0a0" stroked="f"/>
        </w:pic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REFERENCES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BERISHA, E. and COTELLA, G. (2025), ‘Europeanisation of spatial planning. The Western Balkans between innovation and resistance’, </w:t>
      </w:r>
      <w:r w:rsidRPr="003E3557">
        <w:rPr>
          <w:rFonts w:ascii="Arial" w:eastAsia="Times New Roman" w:hAnsi="Arial" w:cs="Arial"/>
          <w:i/>
          <w:iCs/>
          <w:sz w:val="24"/>
          <w:szCs w:val="24"/>
          <w:lang w:eastAsia="hr-HR"/>
        </w:rPr>
        <w:t>Southeast European and Black Sea Studies</w:t>
      </w:r>
      <w:r w:rsidRPr="003E3557">
        <w:rPr>
          <w:rFonts w:ascii="Arial" w:eastAsia="Times New Roman" w:hAnsi="Arial" w:cs="Arial"/>
          <w:sz w:val="24"/>
          <w:szCs w:val="24"/>
          <w:lang w:eastAsia="hr-HR"/>
        </w:rPr>
        <w:t xml:space="preserve">, 25 (3), pp. 355−376. </w:t>
      </w:r>
      <w:hyperlink r:id="rId20" w:history="1">
        <w:r w:rsidRPr="003E3557">
          <w:rPr>
            <w:rFonts w:ascii="Arial" w:eastAsia="Times New Roman" w:hAnsi="Arial" w:cs="Arial"/>
            <w:color w:val="006164"/>
            <w:sz w:val="24"/>
            <w:szCs w:val="24"/>
            <w:u w:val="single"/>
            <w:lang w:eastAsia="hr-HR"/>
          </w:rPr>
          <w:t>https://doi.org/10.1080/14683857.2024.2352890</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BEŽOVAN, G. (1993), ‘Privatization of Housing – A More Efficacious Housing Policy’, </w:t>
      </w:r>
      <w:r w:rsidRPr="003E3557">
        <w:rPr>
          <w:rFonts w:ascii="Arial" w:eastAsia="Times New Roman" w:hAnsi="Arial" w:cs="Arial"/>
          <w:i/>
          <w:iCs/>
          <w:sz w:val="24"/>
          <w:szCs w:val="24"/>
          <w:lang w:eastAsia="hr-HR"/>
        </w:rPr>
        <w:t>Društvena istraživanja</w:t>
      </w:r>
      <w:r w:rsidRPr="003E3557">
        <w:rPr>
          <w:rFonts w:ascii="Arial" w:eastAsia="Times New Roman" w:hAnsi="Arial" w:cs="Arial"/>
          <w:sz w:val="24"/>
          <w:szCs w:val="24"/>
          <w:lang w:eastAsia="hr-HR"/>
        </w:rPr>
        <w:t>, 2 (3), pp. 107−124.</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BEŽOVAN, G. and HORVAT, M. (2024), ‘Europeanisation and Urban Development Challenges in Croatia’, [in:] LAKUŠIĆ, S., PAVIČIĆ, J., STOJČIĆ, N., SCHOLTEN, P. W. and VAN SINDEREN LAW, J. (eds), </w:t>
      </w:r>
      <w:r w:rsidRPr="003E3557">
        <w:rPr>
          <w:rFonts w:ascii="Arial" w:eastAsia="Times New Roman" w:hAnsi="Arial" w:cs="Arial"/>
          <w:i/>
          <w:iCs/>
          <w:sz w:val="24"/>
          <w:szCs w:val="24"/>
          <w:lang w:eastAsia="hr-HR"/>
        </w:rPr>
        <w:t>The Reimagining of Urban Spaces: A Journey Through Post-Industrial Cityscapes</w:t>
      </w:r>
      <w:r w:rsidRPr="003E3557">
        <w:rPr>
          <w:rFonts w:ascii="Arial" w:eastAsia="Times New Roman" w:hAnsi="Arial" w:cs="Arial"/>
          <w:sz w:val="24"/>
          <w:szCs w:val="24"/>
          <w:lang w:eastAsia="hr-HR"/>
        </w:rPr>
        <w:t xml:space="preserve">, Springer Nature, pp. 75−85. </w:t>
      </w:r>
      <w:hyperlink r:id="rId21" w:history="1">
        <w:r w:rsidRPr="003E3557">
          <w:rPr>
            <w:rFonts w:ascii="Arial" w:eastAsia="Times New Roman" w:hAnsi="Arial" w:cs="Arial"/>
            <w:color w:val="006164"/>
            <w:sz w:val="24"/>
            <w:szCs w:val="24"/>
            <w:u w:val="single"/>
            <w:lang w:eastAsia="hr-HR"/>
          </w:rPr>
          <w:t>https://doi.org/10.1007/978-3-031-75649-8_6</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BOUZAROVSKI, S., FRANKOWSKI, J. and TIRADO HERRERO, S. (2018), ‘Low-Carbon Gentrification: When Climate Change Encounters Residential Displacement’, </w:t>
      </w:r>
      <w:r w:rsidRPr="003E3557">
        <w:rPr>
          <w:rFonts w:ascii="Arial" w:eastAsia="Times New Roman" w:hAnsi="Arial" w:cs="Arial"/>
          <w:i/>
          <w:iCs/>
          <w:sz w:val="24"/>
          <w:szCs w:val="24"/>
          <w:lang w:eastAsia="hr-HR"/>
        </w:rPr>
        <w:t>INTERNATIONAL JOURNAL OF URBAN AND REGIONAL RESEARCH</w:t>
      </w:r>
      <w:r w:rsidRPr="003E3557">
        <w:rPr>
          <w:rFonts w:ascii="Arial" w:eastAsia="Times New Roman" w:hAnsi="Arial" w:cs="Arial"/>
          <w:sz w:val="24"/>
          <w:szCs w:val="24"/>
          <w:lang w:eastAsia="hr-HR"/>
        </w:rPr>
        <w:t xml:space="preserve">, 42 (5), pp. 845–863. </w:t>
      </w:r>
      <w:hyperlink r:id="rId22" w:history="1">
        <w:r w:rsidRPr="003E3557">
          <w:rPr>
            <w:rFonts w:ascii="Arial" w:eastAsia="Times New Roman" w:hAnsi="Arial" w:cs="Arial"/>
            <w:color w:val="006164"/>
            <w:sz w:val="24"/>
            <w:szCs w:val="24"/>
            <w:u w:val="single"/>
            <w:lang w:eastAsia="hr-HR"/>
          </w:rPr>
          <w:t>https://doi.org/10.1111/1468-2427.12634</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BRAUN, V. and CLARKE, V. (2022), </w:t>
      </w:r>
      <w:r w:rsidRPr="003E3557">
        <w:rPr>
          <w:rFonts w:ascii="Arial" w:eastAsia="Times New Roman" w:hAnsi="Arial" w:cs="Arial"/>
          <w:i/>
          <w:iCs/>
          <w:sz w:val="24"/>
          <w:szCs w:val="24"/>
          <w:lang w:eastAsia="hr-HR"/>
        </w:rPr>
        <w:t>Thematic Analysis. A Practical Guide</w:t>
      </w:r>
      <w:r w:rsidRPr="003E3557">
        <w:rPr>
          <w:rFonts w:ascii="Arial" w:eastAsia="Times New Roman" w:hAnsi="Arial" w:cs="Arial"/>
          <w:sz w:val="24"/>
          <w:szCs w:val="24"/>
          <w:lang w:eastAsia="hr-HR"/>
        </w:rPr>
        <w:t>, Sage Publications.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BROERS, W., KEMP, R., VASSEUR, V., ABUJIDI, N. and VROON, Z. (2022), ‘Justice in social housing: Towards a people-centred energy renovation process’, </w:t>
      </w:r>
      <w:r w:rsidRPr="003E3557">
        <w:rPr>
          <w:rFonts w:ascii="Arial" w:eastAsia="Times New Roman" w:hAnsi="Arial" w:cs="Arial"/>
          <w:i/>
          <w:iCs/>
          <w:sz w:val="24"/>
          <w:szCs w:val="24"/>
          <w:lang w:eastAsia="hr-HR"/>
        </w:rPr>
        <w:t>Energy Research and Social Science</w:t>
      </w:r>
      <w:r w:rsidRPr="003E3557">
        <w:rPr>
          <w:rFonts w:ascii="Arial" w:eastAsia="Times New Roman" w:hAnsi="Arial" w:cs="Arial"/>
          <w:sz w:val="24"/>
          <w:szCs w:val="24"/>
          <w:lang w:eastAsia="hr-HR"/>
        </w:rPr>
        <w:t xml:space="preserve">, 88, Article102527. </w:t>
      </w:r>
      <w:hyperlink r:id="rId23" w:history="1">
        <w:r w:rsidRPr="003E3557">
          <w:rPr>
            <w:rFonts w:ascii="Arial" w:eastAsia="Times New Roman" w:hAnsi="Arial" w:cs="Arial"/>
            <w:color w:val="006164"/>
            <w:sz w:val="24"/>
            <w:szCs w:val="24"/>
            <w:u w:val="single"/>
            <w:lang w:eastAsia="hr-HR"/>
          </w:rPr>
          <w:t>https://doi.org/10.1016/j.erss.2022.102527</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BUSÀ, A. (2025), ‘Renovation without renoviction: the green redevelopment of a municipal housing estate in Drewitz, Germany’, </w:t>
      </w:r>
      <w:r w:rsidRPr="003E3557">
        <w:rPr>
          <w:rFonts w:ascii="Arial" w:eastAsia="Times New Roman" w:hAnsi="Arial" w:cs="Arial"/>
          <w:i/>
          <w:iCs/>
          <w:sz w:val="24"/>
          <w:szCs w:val="24"/>
          <w:lang w:eastAsia="hr-HR"/>
        </w:rPr>
        <w:t>Housing Studies</w:t>
      </w:r>
      <w:r w:rsidRPr="003E3557">
        <w:rPr>
          <w:rFonts w:ascii="Arial" w:eastAsia="Times New Roman" w:hAnsi="Arial" w:cs="Arial"/>
          <w:sz w:val="24"/>
          <w:szCs w:val="24"/>
          <w:lang w:eastAsia="hr-HR"/>
        </w:rPr>
        <w:t xml:space="preserve">, 40 (5), pp. 1179−1204, </w:t>
      </w:r>
      <w:hyperlink r:id="rId24" w:history="1">
        <w:r w:rsidRPr="003E3557">
          <w:rPr>
            <w:rFonts w:ascii="Arial" w:eastAsia="Times New Roman" w:hAnsi="Arial" w:cs="Arial"/>
            <w:color w:val="006164"/>
            <w:sz w:val="24"/>
            <w:szCs w:val="24"/>
            <w:u w:val="single"/>
            <w:lang w:eastAsia="hr-HR"/>
          </w:rPr>
          <w:t>https://doi.org/10.1080/02673037.2024.2342411</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CARPENTER, J., GONZALEZ MEDINA, M., HUETE GARCIA, M. A. and DE GREGORIO HURTADO, S. (2020), ‘Variegated Europeanization and urban policy: Dynamics of policy transfer in France, Italy, Spain and the UK’, </w:t>
      </w:r>
      <w:r w:rsidRPr="003E3557">
        <w:rPr>
          <w:rFonts w:ascii="Arial" w:eastAsia="Times New Roman" w:hAnsi="Arial" w:cs="Arial"/>
          <w:i/>
          <w:iCs/>
          <w:sz w:val="24"/>
          <w:szCs w:val="24"/>
          <w:lang w:eastAsia="hr-HR"/>
        </w:rPr>
        <w:t>European Urban and Regional Studies</w:t>
      </w:r>
      <w:r w:rsidRPr="003E3557">
        <w:rPr>
          <w:rFonts w:ascii="Arial" w:eastAsia="Times New Roman" w:hAnsi="Arial" w:cs="Arial"/>
          <w:sz w:val="24"/>
          <w:szCs w:val="24"/>
          <w:lang w:eastAsia="hr-HR"/>
        </w:rPr>
        <w:t xml:space="preserve">, 27 (3), pp. 227−245. </w:t>
      </w:r>
      <w:hyperlink r:id="rId25" w:history="1">
        <w:r w:rsidRPr="003E3557">
          <w:rPr>
            <w:rFonts w:ascii="Arial" w:eastAsia="Times New Roman" w:hAnsi="Arial" w:cs="Arial"/>
            <w:color w:val="006164"/>
            <w:sz w:val="24"/>
            <w:szCs w:val="24"/>
            <w:u w:val="single"/>
            <w:lang w:eastAsia="hr-HR"/>
          </w:rPr>
          <w:t>https://doi.org/10.1177/0969776419898508</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 xml:space="preserve">CAVICCHIA, R., FRIESENECKER, M., MUNSON, L, PEVERINI, M., SUSANI, A. and WANESKA DE JESUS, K. (2023), </w:t>
      </w:r>
      <w:r w:rsidRPr="003E3557">
        <w:rPr>
          <w:rFonts w:ascii="Arial" w:eastAsia="Times New Roman" w:hAnsi="Arial" w:cs="Arial"/>
          <w:i/>
          <w:iCs/>
          <w:sz w:val="24"/>
          <w:szCs w:val="24"/>
          <w:lang w:eastAsia="hr-HR"/>
        </w:rPr>
        <w:t>Greener housing, but affordable? A study of synergies and conflicts between environmental policy instruments and access to housing</w:t>
      </w:r>
      <w:r w:rsidRPr="003E3557">
        <w:rPr>
          <w:rFonts w:ascii="Arial" w:eastAsia="Times New Roman" w:hAnsi="Arial" w:cs="Arial"/>
          <w:sz w:val="24"/>
          <w:szCs w:val="24"/>
          <w:lang w:eastAsia="hr-HR"/>
        </w:rPr>
        <w:t>, Sciences Po Urban School. Research report.</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CHEGUT, A., EICHHOLTZ, P. and HOLTERMANS, R. (2016), ‘Energy efficiency and economic value in affordable housing’,</w:t>
      </w:r>
      <w:r w:rsidRPr="003E3557">
        <w:rPr>
          <w:rFonts w:ascii="Arial" w:eastAsia="Times New Roman" w:hAnsi="Arial" w:cs="Arial"/>
          <w:i/>
          <w:iCs/>
          <w:sz w:val="24"/>
          <w:szCs w:val="24"/>
          <w:lang w:eastAsia="hr-HR"/>
        </w:rPr>
        <w:t xml:space="preserve"> Energy Policy</w:t>
      </w:r>
      <w:r w:rsidRPr="003E3557">
        <w:rPr>
          <w:rFonts w:ascii="Arial" w:eastAsia="Times New Roman" w:hAnsi="Arial" w:cs="Arial"/>
          <w:sz w:val="24"/>
          <w:szCs w:val="24"/>
          <w:lang w:eastAsia="hr-HR"/>
        </w:rPr>
        <w:t xml:space="preserve">, 97, pp. 39−49. </w:t>
      </w:r>
      <w:hyperlink r:id="rId26" w:history="1">
        <w:r w:rsidRPr="003E3557">
          <w:rPr>
            <w:rFonts w:ascii="Arial" w:eastAsia="Times New Roman" w:hAnsi="Arial" w:cs="Arial"/>
            <w:color w:val="006164"/>
            <w:sz w:val="24"/>
            <w:szCs w:val="24"/>
            <w:u w:val="single"/>
            <w:lang w:eastAsia="hr-HR"/>
          </w:rPr>
          <w:t>https://doi.org/10.1016/j.enpol.2016.06.043</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CROATIAN GOVERNMENT (2022), </w:t>
      </w:r>
      <w:r w:rsidRPr="003E3557">
        <w:rPr>
          <w:rFonts w:ascii="Arial" w:eastAsia="Times New Roman" w:hAnsi="Arial" w:cs="Arial"/>
          <w:i/>
          <w:iCs/>
          <w:sz w:val="24"/>
          <w:szCs w:val="24"/>
          <w:lang w:eastAsia="hr-HR"/>
        </w:rPr>
        <w:t>A package of measures worth 4.8 billion kuna to mitigate the rise in energy prices has been presented</w:t>
      </w:r>
      <w:r w:rsidRPr="003E3557">
        <w:rPr>
          <w:rFonts w:ascii="Arial" w:eastAsia="Times New Roman" w:hAnsi="Arial" w:cs="Arial"/>
          <w:sz w:val="24"/>
          <w:szCs w:val="24"/>
          <w:lang w:eastAsia="hr-HR"/>
        </w:rPr>
        <w:t xml:space="preserve"> </w:t>
      </w:r>
      <w:hyperlink r:id="rId27" w:history="1">
        <w:r w:rsidRPr="003E3557">
          <w:rPr>
            <w:rFonts w:ascii="Arial" w:eastAsia="Times New Roman" w:hAnsi="Arial" w:cs="Arial"/>
            <w:color w:val="006164"/>
            <w:sz w:val="24"/>
            <w:szCs w:val="24"/>
            <w:u w:val="single"/>
            <w:lang w:eastAsia="hr-HR"/>
          </w:rPr>
          <w:t>https://vlada.gov.hr/vijesti/predstavljen-paket-mjera-za-ublazavanje-rasta-cijena-energenata-vrijedan-4-8-milijardi-kuna/33907</w:t>
        </w:r>
      </w:hyperlink>
      <w:r w:rsidRPr="003E3557">
        <w:rPr>
          <w:rFonts w:ascii="Arial" w:eastAsia="Times New Roman" w:hAnsi="Arial" w:cs="Arial"/>
          <w:sz w:val="24"/>
          <w:szCs w:val="24"/>
          <w:lang w:eastAsia="hr-HR"/>
        </w:rPr>
        <w:t xml:space="preserve"> [accessed on: 10.11.2025].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CROATIAN PARLIAMENT (2021), </w:t>
      </w:r>
      <w:r w:rsidRPr="003E3557">
        <w:rPr>
          <w:rFonts w:ascii="Arial" w:eastAsia="Times New Roman" w:hAnsi="Arial" w:cs="Arial"/>
          <w:i/>
          <w:iCs/>
          <w:sz w:val="24"/>
          <w:szCs w:val="24"/>
          <w:lang w:eastAsia="hr-HR"/>
        </w:rPr>
        <w:t xml:space="preserve">The National Development Strategy of the Republic of Croatia until 2030, </w:t>
      </w:r>
      <w:hyperlink r:id="rId28" w:history="1">
        <w:r w:rsidRPr="003E3557">
          <w:rPr>
            <w:rFonts w:ascii="Arial" w:eastAsia="Times New Roman" w:hAnsi="Arial" w:cs="Arial"/>
            <w:color w:val="006164"/>
            <w:sz w:val="24"/>
            <w:szCs w:val="24"/>
            <w:u w:val="single"/>
            <w:lang w:eastAsia="hr-HR"/>
          </w:rPr>
          <w:t>https://narodne-novine.nn.hr/clanci/sluzbeni/2021_02_13_230.html</w:t>
        </w:r>
      </w:hyperlink>
      <w:r w:rsidRPr="003E3557">
        <w:rPr>
          <w:rFonts w:ascii="Arial" w:eastAsia="Times New Roman" w:hAnsi="Arial" w:cs="Arial"/>
          <w:sz w:val="24"/>
          <w:szCs w:val="24"/>
          <w:lang w:eastAsia="hr-HR"/>
        </w:rPr>
        <w:t xml:space="preserve"> [accessed on: 24.10.2025].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CUMMINS, R. A. (2000), ‘Objective and subjective quality of life: An interactive model’, </w:t>
      </w:r>
      <w:r w:rsidRPr="003E3557">
        <w:rPr>
          <w:rFonts w:ascii="Arial" w:eastAsia="Times New Roman" w:hAnsi="Arial" w:cs="Arial"/>
          <w:i/>
          <w:iCs/>
          <w:sz w:val="24"/>
          <w:szCs w:val="24"/>
          <w:lang w:eastAsia="hr-HR"/>
        </w:rPr>
        <w:t>Social indicators research</w:t>
      </w:r>
      <w:r w:rsidRPr="003E3557">
        <w:rPr>
          <w:rFonts w:ascii="Arial" w:eastAsia="Times New Roman" w:hAnsi="Arial" w:cs="Arial"/>
          <w:sz w:val="24"/>
          <w:szCs w:val="24"/>
          <w:lang w:eastAsia="hr-HR"/>
        </w:rPr>
        <w:t xml:space="preserve">, 52 (1), pp. 55−72. </w:t>
      </w:r>
      <w:hyperlink r:id="rId29" w:history="1">
        <w:r w:rsidRPr="003E3557">
          <w:rPr>
            <w:rFonts w:ascii="Arial" w:eastAsia="Times New Roman" w:hAnsi="Arial" w:cs="Arial"/>
            <w:color w:val="006164"/>
            <w:sz w:val="24"/>
            <w:szCs w:val="24"/>
            <w:u w:val="single"/>
            <w:lang w:eastAsia="hr-HR"/>
          </w:rPr>
          <w:t>https://doi.org/10.1023/A:1007027822521</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EUROPEAN COMMISSION (2020), </w:t>
      </w:r>
      <w:r w:rsidRPr="003E3557">
        <w:rPr>
          <w:rFonts w:ascii="Arial" w:eastAsia="Times New Roman" w:hAnsi="Arial" w:cs="Arial"/>
          <w:i/>
          <w:iCs/>
          <w:sz w:val="24"/>
          <w:szCs w:val="24"/>
          <w:lang w:eastAsia="hr-HR"/>
        </w:rPr>
        <w:t xml:space="preserve">In focus: Energy efficiency in buildings, </w:t>
      </w:r>
      <w:hyperlink r:id="rId30" w:history="1">
        <w:r w:rsidRPr="003E3557">
          <w:rPr>
            <w:rFonts w:ascii="Arial" w:eastAsia="Times New Roman" w:hAnsi="Arial" w:cs="Arial"/>
            <w:color w:val="006164"/>
            <w:sz w:val="24"/>
            <w:szCs w:val="24"/>
            <w:u w:val="single"/>
            <w:lang w:eastAsia="hr-HR"/>
          </w:rPr>
          <w:t>https://commission.europa.eu/news-and-media/news/focus-energy-efficiency-buildings-2020-02-17_en</w:t>
        </w:r>
      </w:hyperlink>
      <w:r w:rsidRPr="003E3557">
        <w:rPr>
          <w:rFonts w:ascii="Arial" w:eastAsia="Times New Roman" w:hAnsi="Arial" w:cs="Arial"/>
          <w:sz w:val="24"/>
          <w:szCs w:val="24"/>
          <w:lang w:eastAsia="hr-HR"/>
        </w:rPr>
        <w:t xml:space="preserve"> [accessed on: 15.10.2025].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EUROPEAN COMMISSION (2021), </w:t>
      </w:r>
      <w:r w:rsidRPr="003E3557">
        <w:rPr>
          <w:rFonts w:ascii="Arial" w:eastAsia="Times New Roman" w:hAnsi="Arial" w:cs="Arial"/>
          <w:i/>
          <w:iCs/>
          <w:sz w:val="24"/>
          <w:szCs w:val="24"/>
          <w:lang w:eastAsia="hr-HR"/>
        </w:rPr>
        <w:t>GHG emissions of all world countries</w:t>
      </w:r>
      <w:r w:rsidRPr="003E3557">
        <w:rPr>
          <w:rFonts w:ascii="Arial" w:eastAsia="Times New Roman" w:hAnsi="Arial" w:cs="Arial"/>
          <w:sz w:val="24"/>
          <w:szCs w:val="24"/>
          <w:lang w:eastAsia="hr-HR"/>
        </w:rPr>
        <w:t xml:space="preserve">, </w:t>
      </w:r>
      <w:hyperlink r:id="rId31" w:anchor="emissions_table" w:history="1">
        <w:r w:rsidRPr="003E3557">
          <w:rPr>
            <w:rFonts w:ascii="Arial" w:eastAsia="Times New Roman" w:hAnsi="Arial" w:cs="Arial"/>
            <w:color w:val="006164"/>
            <w:sz w:val="24"/>
            <w:szCs w:val="24"/>
            <w:u w:val="single"/>
            <w:lang w:eastAsia="hr-HR"/>
          </w:rPr>
          <w:t>https://edgar.jrc.ec.europa.eu/report_2021#emissions_table</w:t>
        </w:r>
      </w:hyperlink>
      <w:r w:rsidRPr="003E3557">
        <w:rPr>
          <w:rFonts w:ascii="Arial" w:eastAsia="Times New Roman" w:hAnsi="Arial" w:cs="Arial"/>
          <w:sz w:val="24"/>
          <w:szCs w:val="24"/>
          <w:lang w:eastAsia="hr-HR"/>
        </w:rPr>
        <w:t xml:space="preserve"> [accessed on: 25.05.2026].</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EUROPEAN COMMISSION, </w:t>
      </w:r>
      <w:r w:rsidRPr="003E3557">
        <w:rPr>
          <w:rFonts w:ascii="Arial" w:eastAsia="Times New Roman" w:hAnsi="Arial" w:cs="Arial"/>
          <w:i/>
          <w:iCs/>
          <w:sz w:val="24"/>
          <w:szCs w:val="24"/>
          <w:lang w:eastAsia="hr-HR"/>
        </w:rPr>
        <w:t>The European Green Deal. Striving to be the first climate-neutral continent</w:t>
      </w:r>
      <w:r w:rsidRPr="003E3557">
        <w:rPr>
          <w:rFonts w:ascii="Arial" w:eastAsia="Times New Roman" w:hAnsi="Arial" w:cs="Arial"/>
          <w:sz w:val="24"/>
          <w:szCs w:val="24"/>
          <w:lang w:eastAsia="hr-HR"/>
        </w:rPr>
        <w:t xml:space="preserve">, </w:t>
      </w:r>
      <w:hyperlink r:id="rId32" w:history="1">
        <w:r w:rsidRPr="003E3557">
          <w:rPr>
            <w:rFonts w:ascii="Arial" w:eastAsia="Times New Roman" w:hAnsi="Arial" w:cs="Arial"/>
            <w:color w:val="006164"/>
            <w:sz w:val="24"/>
            <w:szCs w:val="24"/>
            <w:u w:val="single"/>
            <w:lang w:eastAsia="hr-HR"/>
          </w:rPr>
          <w:t>https://commission.europa.eu/strategy-and-policy/priorities-2019-2024/european-green-deal_en</w:t>
        </w:r>
      </w:hyperlink>
      <w:r w:rsidRPr="003E3557">
        <w:rPr>
          <w:rFonts w:ascii="Arial" w:eastAsia="Times New Roman" w:hAnsi="Arial" w:cs="Arial"/>
          <w:sz w:val="24"/>
          <w:szCs w:val="24"/>
          <w:lang w:eastAsia="hr-HR"/>
        </w:rPr>
        <w:t xml:space="preserve"> [accessed on: 15.10.2025].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EUROPEAN PARLIAMENT (17.10.2024), </w:t>
      </w:r>
      <w:r w:rsidRPr="003E3557">
        <w:rPr>
          <w:rFonts w:ascii="Arial" w:eastAsia="Times New Roman" w:hAnsi="Arial" w:cs="Arial"/>
          <w:i/>
          <w:iCs/>
          <w:sz w:val="24"/>
          <w:szCs w:val="24"/>
          <w:lang w:eastAsia="hr-HR"/>
        </w:rPr>
        <w:t xml:space="preserve">Rising housing costs in the EU: the facts (infographics), </w:t>
      </w:r>
      <w:hyperlink r:id="rId33" w:history="1">
        <w:r w:rsidRPr="003E3557">
          <w:rPr>
            <w:rFonts w:ascii="Arial" w:eastAsia="Times New Roman" w:hAnsi="Arial" w:cs="Arial"/>
            <w:color w:val="006164"/>
            <w:sz w:val="24"/>
            <w:szCs w:val="24"/>
            <w:u w:val="single"/>
            <w:lang w:eastAsia="hr-HR"/>
          </w:rPr>
          <w:t>https://www.europarl.europa.eu/topics/en/article/20241014STO24542/rising-housing-costs-in-the-eu-the-facts-infographics</w:t>
        </w:r>
      </w:hyperlink>
      <w:r w:rsidRPr="003E3557">
        <w:rPr>
          <w:rFonts w:ascii="Arial" w:eastAsia="Times New Roman" w:hAnsi="Arial" w:cs="Arial"/>
          <w:sz w:val="24"/>
          <w:szCs w:val="24"/>
          <w:lang w:eastAsia="hr-HR"/>
        </w:rPr>
        <w:t xml:space="preserve"> [accessed on: 06.11.2025].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EUROSTAT (2023; last update: 4.10.2024.), </w:t>
      </w:r>
      <w:r w:rsidRPr="003E3557">
        <w:rPr>
          <w:rFonts w:ascii="Arial" w:eastAsia="Times New Roman" w:hAnsi="Arial" w:cs="Arial"/>
          <w:i/>
          <w:iCs/>
          <w:sz w:val="24"/>
          <w:szCs w:val="24"/>
          <w:lang w:eastAsia="hr-HR"/>
        </w:rPr>
        <w:t xml:space="preserve">Distribution of population by tenure status, type of household and income group, </w:t>
      </w:r>
      <w:hyperlink r:id="rId34" w:history="1">
        <w:r w:rsidRPr="003E3557">
          <w:rPr>
            <w:rFonts w:ascii="Arial" w:eastAsia="Times New Roman" w:hAnsi="Arial" w:cs="Arial"/>
            <w:color w:val="006164"/>
            <w:sz w:val="24"/>
            <w:szCs w:val="24"/>
            <w:u w:val="single"/>
            <w:lang w:eastAsia="hr-HR"/>
          </w:rPr>
          <w:t>https://doi.org/10.2908/ILC_LVHO02</w:t>
        </w:r>
      </w:hyperlink>
      <w:r w:rsidRPr="003E3557">
        <w:rPr>
          <w:rFonts w:ascii="Arial" w:eastAsia="Times New Roman" w:hAnsi="Arial" w:cs="Arial"/>
          <w:sz w:val="24"/>
          <w:szCs w:val="24"/>
          <w:lang w:eastAsia="hr-HR"/>
        </w:rPr>
        <w:t xml:space="preserve"> [accessed on: 03.12.2024].</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EUROSTAT (2024),</w:t>
      </w:r>
      <w:r w:rsidRPr="003E3557">
        <w:rPr>
          <w:rFonts w:ascii="Arial" w:eastAsia="Times New Roman" w:hAnsi="Arial" w:cs="Arial"/>
          <w:i/>
          <w:iCs/>
          <w:sz w:val="24"/>
          <w:szCs w:val="24"/>
          <w:lang w:eastAsia="hr-HR"/>
        </w:rPr>
        <w:t xml:space="preserve">Housing in Europe – 2024 edition, </w:t>
      </w:r>
      <w:hyperlink r:id="rId35" w:anchor="is-housing-affordable" w:history="1">
        <w:r w:rsidRPr="003E3557">
          <w:rPr>
            <w:rFonts w:ascii="Arial" w:eastAsia="Times New Roman" w:hAnsi="Arial" w:cs="Arial"/>
            <w:color w:val="006164"/>
            <w:sz w:val="24"/>
            <w:szCs w:val="24"/>
            <w:u w:val="single"/>
            <w:lang w:eastAsia="hr-HR"/>
          </w:rPr>
          <w:t xml:space="preserve">https://ec.europa.eu/eurostat/web/interactive-publications/housing-2024#is-housing-affordable </w:t>
        </w:r>
      </w:hyperlink>
      <w:r w:rsidRPr="003E3557">
        <w:rPr>
          <w:rFonts w:ascii="Arial" w:eastAsia="Times New Roman" w:hAnsi="Arial" w:cs="Arial"/>
          <w:sz w:val="24"/>
          <w:szCs w:val="24"/>
          <w:lang w:eastAsia="hr-HR"/>
        </w:rPr>
        <w:t>[accessed on: 05.11.2025]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EUROSTAT (2025), </w:t>
      </w:r>
      <w:r w:rsidRPr="003E3557">
        <w:rPr>
          <w:rFonts w:ascii="Arial" w:eastAsia="Times New Roman" w:hAnsi="Arial" w:cs="Arial"/>
          <w:i/>
          <w:iCs/>
          <w:sz w:val="24"/>
          <w:szCs w:val="24"/>
          <w:lang w:eastAsia="hr-HR"/>
        </w:rPr>
        <w:t xml:space="preserve">House price index (2015 = 100) - quarterly data, </w:t>
      </w:r>
      <w:hyperlink r:id="rId36" w:history="1">
        <w:r w:rsidRPr="003E3557">
          <w:rPr>
            <w:rFonts w:ascii="Arial" w:eastAsia="Times New Roman" w:hAnsi="Arial" w:cs="Arial"/>
            <w:color w:val="006164"/>
            <w:sz w:val="24"/>
            <w:szCs w:val="24"/>
            <w:u w:val="single"/>
            <w:lang w:eastAsia="hr-HR"/>
          </w:rPr>
          <w:t>https://ec.europa.eu/eurostat/databrowser/view/prc_hpi_q__custom_18765983/default/table</w:t>
        </w:r>
      </w:hyperlink>
      <w:r w:rsidRPr="003E3557">
        <w:rPr>
          <w:rFonts w:ascii="Arial" w:eastAsia="Times New Roman" w:hAnsi="Arial" w:cs="Arial"/>
          <w:sz w:val="24"/>
          <w:szCs w:val="24"/>
          <w:lang w:eastAsia="hr-HR"/>
        </w:rPr>
        <w:t xml:space="preserve"> [accessed on: 05.11.2025].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 xml:space="preserve">GORCZYCA, K. and GRABIŃSKI, T. (2018), ‘Ageing in Place: Residential Satisfaction in Polish Housing-Estate Communities’, </w:t>
      </w:r>
      <w:r w:rsidRPr="003E3557">
        <w:rPr>
          <w:rFonts w:ascii="Arial" w:eastAsia="Times New Roman" w:hAnsi="Arial" w:cs="Arial"/>
          <w:i/>
          <w:iCs/>
          <w:sz w:val="24"/>
          <w:szCs w:val="24"/>
          <w:lang w:eastAsia="hr-HR"/>
        </w:rPr>
        <w:t>Ageing and Society</w:t>
      </w:r>
      <w:r w:rsidRPr="003E3557">
        <w:rPr>
          <w:rFonts w:ascii="Arial" w:eastAsia="Times New Roman" w:hAnsi="Arial" w:cs="Arial"/>
          <w:sz w:val="24"/>
          <w:szCs w:val="24"/>
          <w:lang w:eastAsia="hr-HR"/>
        </w:rPr>
        <w:t xml:space="preserve">, 38 (12), pp. 2410–2434. </w:t>
      </w:r>
      <w:hyperlink r:id="rId37" w:history="1">
        <w:r w:rsidRPr="003E3557">
          <w:rPr>
            <w:rFonts w:ascii="Arial" w:eastAsia="Times New Roman" w:hAnsi="Arial" w:cs="Arial"/>
            <w:color w:val="006164"/>
            <w:sz w:val="24"/>
            <w:szCs w:val="24"/>
            <w:u w:val="single"/>
            <w:lang w:eastAsia="hr-HR"/>
          </w:rPr>
          <w:t>https://doi.org/10.1017/S0144686X17000630</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GROSSMANN, K. (2019), ‘Energy efficiency for whom?: A conceptual view on retrofitting, residential segregation and the housing market’, </w:t>
      </w:r>
      <w:r w:rsidRPr="003E3557">
        <w:rPr>
          <w:rFonts w:ascii="Arial" w:eastAsia="Times New Roman" w:hAnsi="Arial" w:cs="Arial"/>
          <w:i/>
          <w:iCs/>
          <w:sz w:val="24"/>
          <w:szCs w:val="24"/>
          <w:lang w:eastAsia="hr-HR"/>
        </w:rPr>
        <w:t>Sociologia urbana e rurale</w:t>
      </w:r>
      <w:r w:rsidRPr="003E3557">
        <w:rPr>
          <w:rFonts w:ascii="Arial" w:eastAsia="Times New Roman" w:hAnsi="Arial" w:cs="Arial"/>
          <w:sz w:val="24"/>
          <w:szCs w:val="24"/>
          <w:lang w:eastAsia="hr-HR"/>
        </w:rPr>
        <w:t xml:space="preserve">: XLI, 119, pp. 78−95. </w:t>
      </w:r>
      <w:hyperlink r:id="rId38" w:history="1">
        <w:r w:rsidRPr="003E3557">
          <w:rPr>
            <w:rFonts w:ascii="Arial" w:eastAsia="Times New Roman" w:hAnsi="Arial" w:cs="Arial"/>
            <w:color w:val="006164"/>
            <w:sz w:val="24"/>
            <w:szCs w:val="24"/>
            <w:u w:val="single"/>
            <w:lang w:eastAsia="hr-HR"/>
          </w:rPr>
          <w:t>https://doi.org/10.3280/SUR2019-119006</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HEGEDUS, J. and TOSICS, I. (1998), ‘Rent reform – Issues for the countries of Eastern Europe and the Newly Independent States’, </w:t>
      </w:r>
      <w:r w:rsidRPr="003E3557">
        <w:rPr>
          <w:rFonts w:ascii="Arial" w:eastAsia="Times New Roman" w:hAnsi="Arial" w:cs="Arial"/>
          <w:i/>
          <w:iCs/>
          <w:sz w:val="24"/>
          <w:szCs w:val="24"/>
          <w:lang w:eastAsia="hr-HR"/>
        </w:rPr>
        <w:t>Housing studies</w:t>
      </w:r>
      <w:r w:rsidRPr="003E3557">
        <w:rPr>
          <w:rFonts w:ascii="Arial" w:eastAsia="Times New Roman" w:hAnsi="Arial" w:cs="Arial"/>
          <w:sz w:val="24"/>
          <w:szCs w:val="24"/>
          <w:lang w:eastAsia="hr-HR"/>
        </w:rPr>
        <w:t xml:space="preserve">, 13 (5), pp. 657−678. </w:t>
      </w:r>
      <w:hyperlink r:id="rId39" w:history="1">
        <w:r w:rsidRPr="003E3557">
          <w:rPr>
            <w:rFonts w:ascii="Arial" w:eastAsia="Times New Roman" w:hAnsi="Arial" w:cs="Arial"/>
            <w:color w:val="006164"/>
            <w:sz w:val="24"/>
            <w:szCs w:val="24"/>
            <w:u w:val="single"/>
            <w:lang w:eastAsia="hr-HR"/>
          </w:rPr>
          <w:t>https://doi.org/10.1080/02673039883155</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HEINDL, G. (2022), ‘Chapter 12: Urban housing. An overview of strategies for social-ecological transformation in the field of urban housing’ [in:] BARLOW, N., REGEN, L., CADIOU, N., CHERTKOVSKAYA, E., HOLLWEG, M., PLANK, C., SCHULKEN, M. and WOLF, V. (eds), </w:t>
      </w:r>
      <w:r w:rsidRPr="003E3557">
        <w:rPr>
          <w:rFonts w:ascii="Arial" w:eastAsia="Times New Roman" w:hAnsi="Arial" w:cs="Arial"/>
          <w:i/>
          <w:iCs/>
          <w:sz w:val="24"/>
          <w:szCs w:val="24"/>
          <w:lang w:eastAsia="hr-HR"/>
        </w:rPr>
        <w:t>Degrowth Strategy. How to Bring About Social-Ecological Transformation</w:t>
      </w:r>
      <w:r w:rsidRPr="003E3557">
        <w:rPr>
          <w:rFonts w:ascii="Arial" w:eastAsia="Times New Roman" w:hAnsi="Arial" w:cs="Arial"/>
          <w:sz w:val="24"/>
          <w:szCs w:val="24"/>
          <w:lang w:eastAsia="hr-HR"/>
        </w:rPr>
        <w:t>, London, Mayfly, pp. 219−245.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HERFERT, G., NEUGEBAUER, C. S. and SMIGIEL, C. (2013), ‘Living in residential satisfaction? Insights from large-scale housing estates in Central and Eastern Europe’, </w:t>
      </w:r>
      <w:r w:rsidRPr="003E3557">
        <w:rPr>
          <w:rFonts w:ascii="Arial" w:eastAsia="Times New Roman" w:hAnsi="Arial" w:cs="Arial"/>
          <w:i/>
          <w:iCs/>
          <w:sz w:val="24"/>
          <w:szCs w:val="24"/>
          <w:lang w:eastAsia="hr-HR"/>
        </w:rPr>
        <w:t xml:space="preserve">Tijdschrift voor Economische en Sociale Geografie, </w:t>
      </w:r>
      <w:r w:rsidRPr="003E3557">
        <w:rPr>
          <w:rFonts w:ascii="Arial" w:eastAsia="Times New Roman" w:hAnsi="Arial" w:cs="Arial"/>
          <w:sz w:val="24"/>
          <w:szCs w:val="24"/>
          <w:lang w:eastAsia="hr-HR"/>
        </w:rPr>
        <w:t xml:space="preserve">104, 1, pp. 57−74. </w:t>
      </w:r>
      <w:hyperlink r:id="rId40" w:history="1">
        <w:r w:rsidRPr="003E3557">
          <w:rPr>
            <w:rFonts w:ascii="Arial" w:eastAsia="Times New Roman" w:hAnsi="Arial" w:cs="Arial"/>
            <w:color w:val="006164"/>
            <w:sz w:val="24"/>
            <w:szCs w:val="24"/>
            <w:u w:val="single"/>
            <w:lang w:eastAsia="hr-HR"/>
          </w:rPr>
          <w:t>https://doi.org/10.1111/j.1467-9663.2012.00727.x</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HESS, D. B., TAMMARU, T. and VAN HAM, M. (2018), </w:t>
      </w:r>
      <w:r w:rsidRPr="003E3557">
        <w:rPr>
          <w:rFonts w:ascii="Arial" w:eastAsia="Times New Roman" w:hAnsi="Arial" w:cs="Arial"/>
          <w:i/>
          <w:iCs/>
          <w:sz w:val="24"/>
          <w:szCs w:val="24"/>
          <w:lang w:eastAsia="hr-HR"/>
        </w:rPr>
        <w:t>Housing estates in Europe: Poverty, ethnic segregation and policy challenges</w:t>
      </w:r>
      <w:r w:rsidRPr="003E3557">
        <w:rPr>
          <w:rFonts w:ascii="Arial" w:eastAsia="Times New Roman" w:hAnsi="Arial" w:cs="Arial"/>
          <w:sz w:val="24"/>
          <w:szCs w:val="24"/>
          <w:lang w:eastAsia="hr-HR"/>
        </w:rPr>
        <w:t xml:space="preserve">, Springer Nature. </w:t>
      </w:r>
      <w:hyperlink r:id="rId41" w:history="1">
        <w:r w:rsidRPr="003E3557">
          <w:rPr>
            <w:rFonts w:ascii="Arial" w:eastAsia="Times New Roman" w:hAnsi="Arial" w:cs="Arial"/>
            <w:color w:val="006164"/>
            <w:sz w:val="24"/>
            <w:szCs w:val="24"/>
            <w:u w:val="single"/>
            <w:lang w:eastAsia="hr-HR"/>
          </w:rPr>
          <w:t>https://doi.org/10.1007/978-3-319-92813-5</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KLASIĆ, A. and ĐOKIĆ, R. (2023), ‘The role of neighbourly relations and cooperation in residents’ willingness to renovate multi-family buildings in Croatia’, </w:t>
      </w:r>
      <w:r w:rsidRPr="003E3557">
        <w:rPr>
          <w:rFonts w:ascii="Arial" w:eastAsia="Times New Roman" w:hAnsi="Arial" w:cs="Arial"/>
          <w:i/>
          <w:iCs/>
          <w:sz w:val="24"/>
          <w:szCs w:val="24"/>
          <w:lang w:eastAsia="hr-HR"/>
        </w:rPr>
        <w:t>Critical housing analysis</w:t>
      </w:r>
      <w:r w:rsidRPr="003E3557">
        <w:rPr>
          <w:rFonts w:ascii="Arial" w:eastAsia="Times New Roman" w:hAnsi="Arial" w:cs="Arial"/>
          <w:sz w:val="24"/>
          <w:szCs w:val="24"/>
          <w:lang w:eastAsia="hr-HR"/>
        </w:rPr>
        <w:t xml:space="preserve">, 10 (2), pp. 1−14. </w:t>
      </w:r>
      <w:hyperlink r:id="rId42" w:history="1">
        <w:r w:rsidRPr="003E3557">
          <w:rPr>
            <w:rFonts w:ascii="Arial" w:eastAsia="Times New Roman" w:hAnsi="Arial" w:cs="Arial"/>
            <w:color w:val="006164"/>
            <w:sz w:val="24"/>
            <w:szCs w:val="24"/>
            <w:u w:val="single"/>
            <w:lang w:eastAsia="hr-HR"/>
          </w:rPr>
          <w:t>https://doi.org/10.13060/23362839.2023.10.2.555</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KLASIĆ, A. and SVIRČIĆ GOTOVAC, A. (2024), ‘Social mix in Zagreb’s large housing estates’, </w:t>
      </w:r>
      <w:r w:rsidRPr="003E3557">
        <w:rPr>
          <w:rFonts w:ascii="Arial" w:eastAsia="Times New Roman" w:hAnsi="Arial" w:cs="Arial"/>
          <w:i/>
          <w:iCs/>
          <w:sz w:val="24"/>
          <w:szCs w:val="24"/>
          <w:lang w:eastAsia="hr-HR"/>
        </w:rPr>
        <w:t>Economics and sociology</w:t>
      </w:r>
      <w:r w:rsidRPr="003E3557">
        <w:rPr>
          <w:rFonts w:ascii="Arial" w:eastAsia="Times New Roman" w:hAnsi="Arial" w:cs="Arial"/>
          <w:sz w:val="24"/>
          <w:szCs w:val="24"/>
          <w:lang w:eastAsia="hr-HR"/>
        </w:rPr>
        <w:t xml:space="preserve">, 17 (3), pp. 119−134. </w:t>
      </w:r>
      <w:hyperlink r:id="rId43" w:history="1">
        <w:r w:rsidRPr="003E3557">
          <w:rPr>
            <w:rFonts w:ascii="Arial" w:eastAsia="Times New Roman" w:hAnsi="Arial" w:cs="Arial"/>
            <w:color w:val="006164"/>
            <w:sz w:val="24"/>
            <w:szCs w:val="24"/>
            <w:u w:val="single"/>
            <w:lang w:eastAsia="hr-HR"/>
          </w:rPr>
          <w:t>https://doi.org/10.14254/2071-789X.2024/17-3/7</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LEE, Y., KEMP, P. A. and REINA, V. J. (2022), ‘Drivers of housing (un) affordability in the advanced economies: A review and new evidence’, </w:t>
      </w:r>
      <w:r w:rsidRPr="003E3557">
        <w:rPr>
          <w:rFonts w:ascii="Arial" w:eastAsia="Times New Roman" w:hAnsi="Arial" w:cs="Arial"/>
          <w:i/>
          <w:iCs/>
          <w:sz w:val="24"/>
          <w:szCs w:val="24"/>
          <w:lang w:eastAsia="hr-HR"/>
        </w:rPr>
        <w:t>Housing Studies</w:t>
      </w:r>
      <w:r w:rsidRPr="003E3557">
        <w:rPr>
          <w:rFonts w:ascii="Arial" w:eastAsia="Times New Roman" w:hAnsi="Arial" w:cs="Arial"/>
          <w:sz w:val="24"/>
          <w:szCs w:val="24"/>
          <w:lang w:eastAsia="hr-HR"/>
        </w:rPr>
        <w:t xml:space="preserve">, 37 (10), pp. 1739−1752. </w:t>
      </w:r>
      <w:hyperlink r:id="rId44" w:history="1">
        <w:r w:rsidRPr="003E3557">
          <w:rPr>
            <w:rFonts w:ascii="Arial" w:eastAsia="Times New Roman" w:hAnsi="Arial" w:cs="Arial"/>
            <w:color w:val="006164"/>
            <w:sz w:val="24"/>
            <w:szCs w:val="24"/>
            <w:u w:val="single"/>
            <w:lang w:eastAsia="hr-HR"/>
          </w:rPr>
          <w:t>https://doi.org/10.1080/02673037.2022.2123623</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MANDIČ, S. and CLAPHAM, D. (1996), ‘The Meaning of Home Ownership in the Transition from Socialism: The Example of Slovenia’, </w:t>
      </w:r>
      <w:r w:rsidRPr="003E3557">
        <w:rPr>
          <w:rFonts w:ascii="Arial" w:eastAsia="Times New Roman" w:hAnsi="Arial" w:cs="Arial"/>
          <w:i/>
          <w:iCs/>
          <w:sz w:val="24"/>
          <w:szCs w:val="24"/>
          <w:lang w:eastAsia="hr-HR"/>
        </w:rPr>
        <w:t>Urban Studies</w:t>
      </w:r>
      <w:r w:rsidRPr="003E3557">
        <w:rPr>
          <w:rFonts w:ascii="Arial" w:eastAsia="Times New Roman" w:hAnsi="Arial" w:cs="Arial"/>
          <w:sz w:val="24"/>
          <w:szCs w:val="24"/>
          <w:lang w:eastAsia="hr-HR"/>
        </w:rPr>
        <w:t xml:space="preserve">, 33 (1), pp. 83–97. </w:t>
      </w:r>
      <w:hyperlink r:id="rId45" w:history="1">
        <w:r w:rsidRPr="003E3557">
          <w:rPr>
            <w:rFonts w:ascii="Arial" w:eastAsia="Times New Roman" w:hAnsi="Arial" w:cs="Arial"/>
            <w:color w:val="006164"/>
            <w:sz w:val="24"/>
            <w:szCs w:val="24"/>
            <w:u w:val="single"/>
            <w:lang w:eastAsia="hr-HR"/>
          </w:rPr>
          <w:t>https://doi.org/10.1080/00420989650012130</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MINISTRY OF PHYSICAL PLANNING, CONSTRUCTION AND STATE ASSETS (2020), </w:t>
      </w:r>
      <w:r w:rsidRPr="003E3557">
        <w:rPr>
          <w:rFonts w:ascii="Arial" w:eastAsia="Times New Roman" w:hAnsi="Arial" w:cs="Arial"/>
          <w:i/>
          <w:iCs/>
          <w:sz w:val="24"/>
          <w:szCs w:val="24"/>
          <w:lang w:eastAsia="hr-HR"/>
        </w:rPr>
        <w:t xml:space="preserve">LONG-TERM RENOVATION STRATEGY OF THE NATIONAL BUILDING STOCK BY 2050, </w:t>
      </w:r>
      <w:hyperlink r:id="rId46" w:history="1">
        <w:r w:rsidRPr="003E3557">
          <w:rPr>
            <w:rFonts w:ascii="Arial" w:eastAsia="Times New Roman" w:hAnsi="Arial" w:cs="Arial"/>
            <w:color w:val="006164"/>
            <w:sz w:val="24"/>
            <w:szCs w:val="24"/>
            <w:u w:val="single"/>
            <w:lang w:eastAsia="hr-HR"/>
          </w:rPr>
          <w:t>https://mpgi.gov.hr/UserDocsImages/dokumenti/EnergetskaUcinkovitost/Long_Term_Renovation_Strategy_EN.pdf</w:t>
        </w:r>
      </w:hyperlink>
      <w:r w:rsidRPr="003E3557">
        <w:rPr>
          <w:rFonts w:ascii="Arial" w:eastAsia="Times New Roman" w:hAnsi="Arial" w:cs="Arial"/>
          <w:sz w:val="24"/>
          <w:szCs w:val="24"/>
          <w:lang w:eastAsia="hr-HR"/>
        </w:rPr>
        <w:t xml:space="preserve"> [accessed on: 19.05.2026].</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 xml:space="preserve">MINISTRY OF PHYSICAL PLANNING, CONSTRUCTION AND STATE ASSETS (2025), National </w:t>
      </w:r>
      <w:r w:rsidRPr="003E3557">
        <w:rPr>
          <w:rFonts w:ascii="Arial" w:eastAsia="Times New Roman" w:hAnsi="Arial" w:cs="Arial"/>
          <w:i/>
          <w:iCs/>
          <w:sz w:val="24"/>
          <w:szCs w:val="24"/>
          <w:lang w:eastAsia="hr-HR"/>
        </w:rPr>
        <w:t xml:space="preserve">Housing Policy Plan of the Republic of Croatia until 2030, </w:t>
      </w:r>
      <w:hyperlink r:id="rId47" w:history="1">
        <w:r w:rsidRPr="003E3557">
          <w:rPr>
            <w:rFonts w:ascii="Arial" w:eastAsia="Times New Roman" w:hAnsi="Arial" w:cs="Arial"/>
            <w:color w:val="006164"/>
            <w:sz w:val="24"/>
            <w:szCs w:val="24"/>
            <w:u w:val="single"/>
            <w:lang w:eastAsia="hr-HR"/>
          </w:rPr>
          <w:t>https://mpgi.gov.hr/UserDocsImages/dokumenti/NPSP/2025_03_26_NPSP.pdf</w:t>
        </w:r>
      </w:hyperlink>
      <w:r w:rsidRPr="003E3557">
        <w:rPr>
          <w:rFonts w:ascii="Arial" w:eastAsia="Times New Roman" w:hAnsi="Arial" w:cs="Arial"/>
          <w:sz w:val="24"/>
          <w:szCs w:val="24"/>
          <w:lang w:eastAsia="hr-HR"/>
        </w:rPr>
        <w:t xml:space="preserve"> [accessed on: 24.10.2025].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MÜLLER, A., HUMMEL, M., SMET, K., GRABNER, D., LITSCHAUER, K., IMAMOVIC, I., ÖZER, F. E. and KRANZL, L. (2024), ‘Why renovation obligations can boost social justice and might reduce energy poverty in a highly decarbonised housing sector’, </w:t>
      </w:r>
      <w:r w:rsidRPr="003E3557">
        <w:rPr>
          <w:rFonts w:ascii="Arial" w:eastAsia="Times New Roman" w:hAnsi="Arial" w:cs="Arial"/>
          <w:i/>
          <w:iCs/>
          <w:sz w:val="24"/>
          <w:szCs w:val="24"/>
          <w:lang w:eastAsia="hr-HR"/>
        </w:rPr>
        <w:t xml:space="preserve">Energy Policy, </w:t>
      </w:r>
      <w:r w:rsidRPr="003E3557">
        <w:rPr>
          <w:rFonts w:ascii="Arial" w:eastAsia="Times New Roman" w:hAnsi="Arial" w:cs="Arial"/>
          <w:sz w:val="24"/>
          <w:szCs w:val="24"/>
          <w:lang w:eastAsia="hr-HR"/>
        </w:rPr>
        <w:t xml:space="preserve">191, 114168. </w:t>
      </w:r>
      <w:hyperlink r:id="rId48" w:history="1">
        <w:r w:rsidRPr="003E3557">
          <w:rPr>
            <w:rFonts w:ascii="Arial" w:eastAsia="Times New Roman" w:hAnsi="Arial" w:cs="Arial"/>
            <w:color w:val="006164"/>
            <w:sz w:val="24"/>
            <w:szCs w:val="24"/>
            <w:u w:val="single"/>
            <w:lang w:eastAsia="hr-HR"/>
          </w:rPr>
          <w:t>https://doi.org/10.1016/j.enpol.2024.114168</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MUSTERD, S. and VAN KEMPEN, R. (2007), ‘Trapped or on the springboard? Housing careers in large housing estates in European cities’, </w:t>
      </w:r>
      <w:r w:rsidRPr="003E3557">
        <w:rPr>
          <w:rFonts w:ascii="Arial" w:eastAsia="Times New Roman" w:hAnsi="Arial" w:cs="Arial"/>
          <w:i/>
          <w:iCs/>
          <w:sz w:val="24"/>
          <w:szCs w:val="24"/>
          <w:lang w:eastAsia="hr-HR"/>
        </w:rPr>
        <w:t>Journal of Urban Affairs</w:t>
      </w:r>
      <w:r w:rsidRPr="003E3557">
        <w:rPr>
          <w:rFonts w:ascii="Arial" w:eastAsia="Times New Roman" w:hAnsi="Arial" w:cs="Arial"/>
          <w:sz w:val="24"/>
          <w:szCs w:val="24"/>
          <w:lang w:eastAsia="hr-HR"/>
        </w:rPr>
        <w:t xml:space="preserve">, 29 (3), pp. 311−329. </w:t>
      </w:r>
      <w:hyperlink r:id="rId49" w:history="1">
        <w:r w:rsidRPr="003E3557">
          <w:rPr>
            <w:rFonts w:ascii="Arial" w:eastAsia="Times New Roman" w:hAnsi="Arial" w:cs="Arial"/>
            <w:color w:val="006164"/>
            <w:sz w:val="24"/>
            <w:szCs w:val="24"/>
            <w:u w:val="single"/>
            <w:lang w:eastAsia="hr-HR"/>
          </w:rPr>
          <w:t>https://doi.org/10.1111/j.1467-9906.2007.00345.x</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NEDUČIN, D., ŠKORIĆ, M. and KRKLJEŠ, M. (2019), ‘Post-socialist Development and Rehabilitation of Large Housing Estates in Central and Eastern Europe: a Review’, </w:t>
      </w:r>
      <w:r w:rsidRPr="003E3557">
        <w:rPr>
          <w:rFonts w:ascii="Arial" w:eastAsia="Times New Roman" w:hAnsi="Arial" w:cs="Arial"/>
          <w:i/>
          <w:iCs/>
          <w:sz w:val="24"/>
          <w:szCs w:val="24"/>
          <w:lang w:eastAsia="hr-HR"/>
        </w:rPr>
        <w:t xml:space="preserve">Tehnički vjesnik, </w:t>
      </w:r>
      <w:r w:rsidRPr="003E3557">
        <w:rPr>
          <w:rFonts w:ascii="Arial" w:eastAsia="Times New Roman" w:hAnsi="Arial" w:cs="Arial"/>
          <w:sz w:val="24"/>
          <w:szCs w:val="24"/>
          <w:lang w:eastAsia="hr-HR"/>
        </w:rPr>
        <w:t xml:space="preserve">26 (6), pp. 1853−1860. </w:t>
      </w:r>
      <w:hyperlink r:id="rId50" w:history="1">
        <w:r w:rsidRPr="003E3557">
          <w:rPr>
            <w:rFonts w:ascii="Arial" w:eastAsia="Times New Roman" w:hAnsi="Arial" w:cs="Arial"/>
            <w:color w:val="006164"/>
            <w:sz w:val="24"/>
            <w:szCs w:val="24"/>
            <w:u w:val="single"/>
            <w:lang w:eastAsia="hr-HR"/>
          </w:rPr>
          <w:t>https://doi.org/10.17559/TV-20181015174733</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PAJVANČIĆ-CIZELJ, A. and JANO, D. (2025), ‘Europeanization and urban transformation in Southeast Europe: introduction’, </w:t>
      </w:r>
      <w:r w:rsidRPr="003E3557">
        <w:rPr>
          <w:rFonts w:ascii="Arial" w:eastAsia="Times New Roman" w:hAnsi="Arial" w:cs="Arial"/>
          <w:i/>
          <w:iCs/>
          <w:sz w:val="24"/>
          <w:szCs w:val="24"/>
          <w:lang w:eastAsia="hr-HR"/>
        </w:rPr>
        <w:t>Southeast European and Black Sea Studies</w:t>
      </w:r>
      <w:r w:rsidRPr="003E3557">
        <w:rPr>
          <w:rFonts w:ascii="Arial" w:eastAsia="Times New Roman" w:hAnsi="Arial" w:cs="Arial"/>
          <w:sz w:val="24"/>
          <w:szCs w:val="24"/>
          <w:lang w:eastAsia="hr-HR"/>
        </w:rPr>
        <w:t xml:space="preserve">, 25 (3), pp. 337−354. </w:t>
      </w:r>
      <w:hyperlink r:id="rId51" w:history="1">
        <w:r w:rsidRPr="003E3557">
          <w:rPr>
            <w:rFonts w:ascii="Arial" w:eastAsia="Times New Roman" w:hAnsi="Arial" w:cs="Arial"/>
            <w:color w:val="006164"/>
            <w:sz w:val="24"/>
            <w:szCs w:val="24"/>
            <w:u w:val="single"/>
            <w:lang w:eastAsia="hr-HR"/>
          </w:rPr>
          <w:t>https://doi.org/10.1080/14683857.2025.2529658</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RODIK, P., MATKOVIĆ, T. and PANDŽIĆ, J. (2019), ‘Housing Careers in Croatia: From Socialist Self-Management to Crisis of Financial Capitalism’, </w:t>
      </w:r>
      <w:r w:rsidRPr="003E3557">
        <w:rPr>
          <w:rFonts w:ascii="Arial" w:eastAsia="Times New Roman" w:hAnsi="Arial" w:cs="Arial"/>
          <w:i/>
          <w:iCs/>
          <w:sz w:val="24"/>
          <w:szCs w:val="24"/>
          <w:lang w:eastAsia="hr-HR"/>
        </w:rPr>
        <w:t>Revija za sociologiju</w:t>
      </w:r>
      <w:r w:rsidRPr="003E3557">
        <w:rPr>
          <w:rFonts w:ascii="Arial" w:eastAsia="Times New Roman" w:hAnsi="Arial" w:cs="Arial"/>
          <w:sz w:val="24"/>
          <w:szCs w:val="24"/>
          <w:lang w:eastAsia="hr-HR"/>
        </w:rPr>
        <w:t xml:space="preserve">, 49 (3), pp. 319−348. </w:t>
      </w:r>
      <w:hyperlink r:id="rId52" w:history="1">
        <w:r w:rsidRPr="003E3557">
          <w:rPr>
            <w:rFonts w:ascii="Arial" w:eastAsia="Times New Roman" w:hAnsi="Arial" w:cs="Arial"/>
            <w:color w:val="006164"/>
            <w:sz w:val="24"/>
            <w:szCs w:val="24"/>
            <w:u w:val="single"/>
            <w:lang w:eastAsia="hr-HR"/>
          </w:rPr>
          <w:t>https://doi.org/10.5613/rzs.49.3.1</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SCHLEICH, J. (2019), ‘Energy efficient technology adoption in low-income households in the European Union – What is the evidence?’, </w:t>
      </w:r>
      <w:r w:rsidRPr="003E3557">
        <w:rPr>
          <w:rFonts w:ascii="Arial" w:eastAsia="Times New Roman" w:hAnsi="Arial" w:cs="Arial"/>
          <w:i/>
          <w:iCs/>
          <w:sz w:val="24"/>
          <w:szCs w:val="24"/>
          <w:lang w:eastAsia="hr-HR"/>
        </w:rPr>
        <w:t>Energy Policy</w:t>
      </w:r>
      <w:r w:rsidRPr="003E3557">
        <w:rPr>
          <w:rFonts w:ascii="Arial" w:eastAsia="Times New Roman" w:hAnsi="Arial" w:cs="Arial"/>
          <w:sz w:val="24"/>
          <w:szCs w:val="24"/>
          <w:lang w:eastAsia="hr-HR"/>
        </w:rPr>
        <w:t xml:space="preserve">, 125, pp. 196−206. </w:t>
      </w:r>
      <w:hyperlink r:id="rId53" w:history="1">
        <w:r w:rsidRPr="003E3557">
          <w:rPr>
            <w:rFonts w:ascii="Arial" w:eastAsia="Times New Roman" w:hAnsi="Arial" w:cs="Arial"/>
            <w:color w:val="006164"/>
            <w:sz w:val="24"/>
            <w:szCs w:val="24"/>
            <w:u w:val="single"/>
            <w:lang w:eastAsia="hr-HR"/>
          </w:rPr>
          <w:t>https://doi.org/10.1016/j.enpol.2018.10.061</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SEFERAGIĆ, D. (1985), </w:t>
      </w:r>
      <w:r w:rsidRPr="003E3557">
        <w:rPr>
          <w:rFonts w:ascii="Arial" w:eastAsia="Times New Roman" w:hAnsi="Arial" w:cs="Arial"/>
          <w:i/>
          <w:iCs/>
          <w:sz w:val="24"/>
          <w:szCs w:val="24"/>
          <w:lang w:eastAsia="hr-HR"/>
        </w:rPr>
        <w:t>Problems of Quality of Life in New Housing Estates</w:t>
      </w:r>
      <w:r w:rsidRPr="003E3557">
        <w:rPr>
          <w:rFonts w:ascii="Arial" w:eastAsia="Times New Roman" w:hAnsi="Arial" w:cs="Arial"/>
          <w:sz w:val="24"/>
          <w:szCs w:val="24"/>
          <w:lang w:eastAsia="hr-HR"/>
        </w:rPr>
        <w:t>, Zagreb, Institut za društvena istraživanja Sveučilišta u Zagrebu.</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SENDI, R. and KERBLER, B. (2021), ‘The Evolution of Multifamily Housing: Post-Second World War Large Housing Estates versus Post-Socialist Multifamily Housing Types in Slovenia’, </w:t>
      </w:r>
      <w:r w:rsidRPr="003E3557">
        <w:rPr>
          <w:rFonts w:ascii="Arial" w:eastAsia="Times New Roman" w:hAnsi="Arial" w:cs="Arial"/>
          <w:i/>
          <w:iCs/>
          <w:sz w:val="24"/>
          <w:szCs w:val="24"/>
          <w:lang w:eastAsia="hr-HR"/>
        </w:rPr>
        <w:t>Sustainability</w:t>
      </w:r>
      <w:r w:rsidRPr="003E3557">
        <w:rPr>
          <w:rFonts w:ascii="Arial" w:eastAsia="Times New Roman" w:hAnsi="Arial" w:cs="Arial"/>
          <w:sz w:val="24"/>
          <w:szCs w:val="24"/>
          <w:lang w:eastAsia="hr-HR"/>
        </w:rPr>
        <w:t xml:space="preserve">, 13 (18), 10363. </w:t>
      </w:r>
      <w:hyperlink r:id="rId54" w:history="1">
        <w:r w:rsidRPr="003E3557">
          <w:rPr>
            <w:rFonts w:ascii="Arial" w:eastAsia="Times New Roman" w:hAnsi="Arial" w:cs="Arial"/>
            <w:color w:val="006164"/>
            <w:sz w:val="24"/>
            <w:szCs w:val="24"/>
            <w:u w:val="single"/>
            <w:lang w:eastAsia="hr-HR"/>
          </w:rPr>
          <w:t>https://doi.org/10.3390/su131810363</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SLABE-ERKER, R., DOMINKO, M., BAYAR, A., MAJCEN, B. and PRIMC, K. (2022), ‘Energy efficiency in residential and non-residential buildings: Short-term macroeconomic implications’, </w:t>
      </w:r>
      <w:r w:rsidRPr="003E3557">
        <w:rPr>
          <w:rFonts w:ascii="Arial" w:eastAsia="Times New Roman" w:hAnsi="Arial" w:cs="Arial"/>
          <w:i/>
          <w:iCs/>
          <w:sz w:val="24"/>
          <w:szCs w:val="24"/>
          <w:lang w:eastAsia="hr-HR"/>
        </w:rPr>
        <w:t>Building and environment</w:t>
      </w:r>
      <w:r w:rsidRPr="003E3557">
        <w:rPr>
          <w:rFonts w:ascii="Arial" w:eastAsia="Times New Roman" w:hAnsi="Arial" w:cs="Arial"/>
          <w:sz w:val="24"/>
          <w:szCs w:val="24"/>
          <w:lang w:eastAsia="hr-HR"/>
        </w:rPr>
        <w:t xml:space="preserve">, 222, 109364. </w:t>
      </w:r>
      <w:hyperlink r:id="rId55" w:history="1">
        <w:r w:rsidRPr="003E3557">
          <w:rPr>
            <w:rFonts w:ascii="Arial" w:eastAsia="Times New Roman" w:hAnsi="Arial" w:cs="Arial"/>
            <w:color w:val="006164"/>
            <w:sz w:val="24"/>
            <w:szCs w:val="24"/>
            <w:u w:val="single"/>
            <w:lang w:eastAsia="hr-HR"/>
          </w:rPr>
          <w:t>https://doi.org/10.1016/j.buildenv.2022.109364</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STEPHENS, M., LUX, M. and SUNEGA, P. (2015), ‘Post-socialist housing systems in Europe: Housing welfare regimes by default?’, </w:t>
      </w:r>
      <w:r w:rsidRPr="003E3557">
        <w:rPr>
          <w:rFonts w:ascii="Arial" w:eastAsia="Times New Roman" w:hAnsi="Arial" w:cs="Arial"/>
          <w:i/>
          <w:iCs/>
          <w:sz w:val="24"/>
          <w:szCs w:val="24"/>
          <w:lang w:eastAsia="hr-HR"/>
        </w:rPr>
        <w:t>Housing Studies</w:t>
      </w:r>
      <w:r w:rsidRPr="003E3557">
        <w:rPr>
          <w:rFonts w:ascii="Arial" w:eastAsia="Times New Roman" w:hAnsi="Arial" w:cs="Arial"/>
          <w:sz w:val="24"/>
          <w:szCs w:val="24"/>
          <w:lang w:eastAsia="hr-HR"/>
        </w:rPr>
        <w:t xml:space="preserve">, 30 (8), pp. 1210−1234. </w:t>
      </w:r>
      <w:hyperlink r:id="rId56" w:history="1">
        <w:r w:rsidRPr="003E3557">
          <w:rPr>
            <w:rFonts w:ascii="Arial" w:eastAsia="Times New Roman" w:hAnsi="Arial" w:cs="Arial"/>
            <w:color w:val="006164"/>
            <w:sz w:val="24"/>
            <w:szCs w:val="24"/>
            <w:u w:val="single"/>
            <w:lang w:eastAsia="hr-HR"/>
          </w:rPr>
          <w:t>https://doi.org/10.1080/02673037.2015.1013090</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lastRenderedPageBreak/>
        <w:t xml:space="preserve">STUBBS, P. and ZRINŠČAK, S. (2015), ‘Citizenship and social welfare in Croatia: Clientelism and the limits of ‘Europeanisation’, </w:t>
      </w:r>
      <w:r w:rsidRPr="003E3557">
        <w:rPr>
          <w:rFonts w:ascii="Arial" w:eastAsia="Times New Roman" w:hAnsi="Arial" w:cs="Arial"/>
          <w:i/>
          <w:iCs/>
          <w:sz w:val="24"/>
          <w:szCs w:val="24"/>
          <w:lang w:eastAsia="hr-HR"/>
        </w:rPr>
        <w:t>European Politics and Society</w:t>
      </w:r>
      <w:r w:rsidRPr="003E3557">
        <w:rPr>
          <w:rFonts w:ascii="Arial" w:eastAsia="Times New Roman" w:hAnsi="Arial" w:cs="Arial"/>
          <w:sz w:val="24"/>
          <w:szCs w:val="24"/>
          <w:lang w:eastAsia="hr-HR"/>
        </w:rPr>
        <w:t xml:space="preserve">, 16 (3), pp. 395−410, </w:t>
      </w:r>
      <w:hyperlink r:id="rId57" w:history="1">
        <w:r w:rsidRPr="003E3557">
          <w:rPr>
            <w:rFonts w:ascii="Arial" w:eastAsia="Times New Roman" w:hAnsi="Arial" w:cs="Arial"/>
            <w:color w:val="006164"/>
            <w:sz w:val="24"/>
            <w:szCs w:val="24"/>
            <w:u w:val="single"/>
            <w:lang w:eastAsia="hr-HR"/>
          </w:rPr>
          <w:t>https://doi.org/10.1080/23745118.2015.1061798</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SVIRČIĆ GOTOVAC, A. (2020), ‘Effects of the housing privatization process in post-socialist Croatia’, </w:t>
      </w:r>
      <w:r w:rsidRPr="003E3557">
        <w:rPr>
          <w:rFonts w:ascii="Arial" w:eastAsia="Times New Roman" w:hAnsi="Arial" w:cs="Arial"/>
          <w:i/>
          <w:iCs/>
          <w:sz w:val="24"/>
          <w:szCs w:val="24"/>
          <w:lang w:eastAsia="hr-HR"/>
        </w:rPr>
        <w:t>Geoadria</w:t>
      </w:r>
      <w:r w:rsidRPr="003E3557">
        <w:rPr>
          <w:rFonts w:ascii="Arial" w:eastAsia="Times New Roman" w:hAnsi="Arial" w:cs="Arial"/>
          <w:sz w:val="24"/>
          <w:szCs w:val="24"/>
          <w:lang w:eastAsia="hr-HR"/>
        </w:rPr>
        <w:t xml:space="preserve">, 25 (2), pp. 151−176. </w:t>
      </w:r>
      <w:hyperlink r:id="rId58" w:history="1">
        <w:r w:rsidRPr="003E3557">
          <w:rPr>
            <w:rFonts w:ascii="Arial" w:eastAsia="Times New Roman" w:hAnsi="Arial" w:cs="Arial"/>
            <w:color w:val="006164"/>
            <w:sz w:val="24"/>
            <w:szCs w:val="24"/>
            <w:u w:val="single"/>
            <w:lang w:eastAsia="hr-HR"/>
          </w:rPr>
          <w:t>https://doi.org/10.15291/geoadria.3083</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SVIRČIĆ GOTOVAC, A. and ĐOKIĆ, R. (2023), </w:t>
      </w:r>
      <w:r w:rsidRPr="003E3557">
        <w:rPr>
          <w:rFonts w:ascii="Arial" w:eastAsia="Times New Roman" w:hAnsi="Arial" w:cs="Arial"/>
          <w:i/>
          <w:iCs/>
          <w:sz w:val="24"/>
          <w:szCs w:val="24"/>
          <w:lang w:eastAsia="hr-HR"/>
        </w:rPr>
        <w:t>Basic overview of quality of life results in housing estates from the socialist and of the post-socialist period in Croatia and Slovenia</w:t>
      </w:r>
      <w:r w:rsidRPr="003E3557">
        <w:rPr>
          <w:rFonts w:ascii="Arial" w:eastAsia="Times New Roman" w:hAnsi="Arial" w:cs="Arial"/>
          <w:sz w:val="24"/>
          <w:szCs w:val="24"/>
          <w:lang w:eastAsia="hr-HR"/>
        </w:rPr>
        <w:t>, Zagreb, Biblioteka Posebna izdanja, Institut za društvena istraživanja u Zagrebu.</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SVIRČIĆ GOTOVAC, A., ĐOKIĆ, R. and ADAMOVIĆ, M. (2023), ‘Management and maintenance of multi-family buildings in Croatia: Perspective of co-owners’ representatives’, </w:t>
      </w:r>
      <w:r w:rsidRPr="003E3557">
        <w:rPr>
          <w:rFonts w:ascii="Arial" w:eastAsia="Times New Roman" w:hAnsi="Arial" w:cs="Arial"/>
          <w:i/>
          <w:iCs/>
          <w:sz w:val="24"/>
          <w:szCs w:val="24"/>
          <w:lang w:eastAsia="hr-HR"/>
        </w:rPr>
        <w:t>Journal of housing and the built environment</w:t>
      </w:r>
      <w:r w:rsidRPr="003E3557">
        <w:rPr>
          <w:rFonts w:ascii="Arial" w:eastAsia="Times New Roman" w:hAnsi="Arial" w:cs="Arial"/>
          <w:sz w:val="24"/>
          <w:szCs w:val="24"/>
          <w:lang w:eastAsia="hr-HR"/>
        </w:rPr>
        <w:t xml:space="preserve">, 38 (4), pp. 2427−2447. </w:t>
      </w:r>
      <w:hyperlink r:id="rId59" w:history="1">
        <w:r w:rsidRPr="003E3557">
          <w:rPr>
            <w:rFonts w:ascii="Arial" w:eastAsia="Times New Roman" w:hAnsi="Arial" w:cs="Arial"/>
            <w:color w:val="006164"/>
            <w:sz w:val="24"/>
            <w:szCs w:val="24"/>
            <w:u w:val="single"/>
            <w:lang w:eastAsia="hr-HR"/>
          </w:rPr>
          <w:t>https://doi.org/10.1007/s10901-023-10046-w</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SVIRČIĆ GOTOVAC, A., ĐOKIĆ, R. and KERBLER, B. (2024), ‘Differences in neighbourhood equipment between socialist and post-socialist housing estates in Croatia and Slovenia’, </w:t>
      </w:r>
      <w:r w:rsidRPr="003E3557">
        <w:rPr>
          <w:rFonts w:ascii="Arial" w:eastAsia="Times New Roman" w:hAnsi="Arial" w:cs="Arial"/>
          <w:i/>
          <w:iCs/>
          <w:sz w:val="24"/>
          <w:szCs w:val="24"/>
          <w:lang w:eastAsia="hr-HR"/>
        </w:rPr>
        <w:t>Revija za sociologiju</w:t>
      </w:r>
      <w:r w:rsidRPr="003E3557">
        <w:rPr>
          <w:rFonts w:ascii="Arial" w:eastAsia="Times New Roman" w:hAnsi="Arial" w:cs="Arial"/>
          <w:sz w:val="24"/>
          <w:szCs w:val="24"/>
          <w:lang w:eastAsia="hr-HR"/>
        </w:rPr>
        <w:t xml:space="preserve">, 54 (2), pp. 129−154. </w:t>
      </w:r>
      <w:hyperlink r:id="rId60" w:history="1">
        <w:r w:rsidRPr="003E3557">
          <w:rPr>
            <w:rFonts w:ascii="Arial" w:eastAsia="Times New Roman" w:hAnsi="Arial" w:cs="Arial"/>
            <w:color w:val="006164"/>
            <w:sz w:val="24"/>
            <w:szCs w:val="24"/>
            <w:u w:val="single"/>
            <w:lang w:eastAsia="hr-HR"/>
          </w:rPr>
          <w:t>https://doi.org/10.5613/rzs.54.2.2</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SVIRČIĆ GOTOVAC, A., ZLATAR GAMBEROŽIĆ, J. and KLASIĆ, A. (2025), ‘The Europeanization process in the Croatian space through the examples of post-earthquake reconstruction and green urban renewal’, 10th National Congress of Croatian Sociological Society, Zagreb, 16−17 May 2025.</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SZELENYI, I. and CSILLAG, T. (2015), ‘Drifting from liberal democracy. Neo</w:t>
      </w:r>
      <w:r w:rsidRPr="003E3557">
        <w:rPr>
          <w:rFonts w:ascii="Cambria Math" w:eastAsia="Times New Roman" w:hAnsi="Cambria Math" w:cs="Cambria Math"/>
          <w:sz w:val="24"/>
          <w:szCs w:val="24"/>
          <w:lang w:eastAsia="hr-HR"/>
        </w:rPr>
        <w:t>‐</w:t>
      </w:r>
      <w:r w:rsidRPr="003E3557">
        <w:rPr>
          <w:rFonts w:ascii="Arial" w:eastAsia="Times New Roman" w:hAnsi="Arial" w:cs="Arial"/>
          <w:sz w:val="24"/>
          <w:szCs w:val="24"/>
          <w:lang w:eastAsia="hr-HR"/>
        </w:rPr>
        <w:t>conservative ideology of managed illiberal democratic capitalism in post</w:t>
      </w:r>
      <w:r w:rsidRPr="003E3557">
        <w:rPr>
          <w:rFonts w:ascii="Cambria Math" w:eastAsia="Times New Roman" w:hAnsi="Cambria Math" w:cs="Cambria Math"/>
          <w:sz w:val="24"/>
          <w:szCs w:val="24"/>
          <w:lang w:eastAsia="hr-HR"/>
        </w:rPr>
        <w:t>‐</w:t>
      </w:r>
      <w:r w:rsidRPr="003E3557">
        <w:rPr>
          <w:rFonts w:ascii="Arial" w:eastAsia="Times New Roman" w:hAnsi="Arial" w:cs="Arial"/>
          <w:sz w:val="24"/>
          <w:szCs w:val="24"/>
          <w:lang w:eastAsia="hr-HR"/>
        </w:rPr>
        <w:t xml:space="preserve">communist Europe’, </w:t>
      </w:r>
      <w:r w:rsidRPr="003E3557">
        <w:rPr>
          <w:rFonts w:ascii="Arial" w:eastAsia="Times New Roman" w:hAnsi="Arial" w:cs="Arial"/>
          <w:i/>
          <w:iCs/>
          <w:sz w:val="24"/>
          <w:szCs w:val="24"/>
          <w:lang w:eastAsia="hr-HR"/>
        </w:rPr>
        <w:t>Intersections. East European Journal of Society and Politics</w:t>
      </w:r>
      <w:r w:rsidRPr="003E3557">
        <w:rPr>
          <w:rFonts w:ascii="Arial" w:eastAsia="Times New Roman" w:hAnsi="Arial" w:cs="Arial"/>
          <w:sz w:val="24"/>
          <w:szCs w:val="24"/>
          <w:lang w:eastAsia="hr-HR"/>
        </w:rPr>
        <w:t xml:space="preserve">, 1 (1). </w:t>
      </w:r>
      <w:hyperlink r:id="rId61" w:history="1">
        <w:r w:rsidRPr="003E3557">
          <w:rPr>
            <w:rFonts w:ascii="Arial" w:eastAsia="Times New Roman" w:hAnsi="Arial" w:cs="Arial"/>
            <w:color w:val="006164"/>
            <w:sz w:val="24"/>
            <w:szCs w:val="24"/>
            <w:u w:val="single"/>
            <w:lang w:eastAsia="hr-HR"/>
          </w:rPr>
          <w:t>https://doi.org/10.17356/ieejsp.v1i1.28</w:t>
        </w:r>
      </w:hyperlink>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VAN KEMPEN, R., DEKKER, K., HALL, S. and TOSICS, I. (eds) (2005), </w:t>
      </w:r>
      <w:r w:rsidRPr="003E3557">
        <w:rPr>
          <w:rFonts w:ascii="Arial" w:eastAsia="Times New Roman" w:hAnsi="Arial" w:cs="Arial"/>
          <w:i/>
          <w:iCs/>
          <w:sz w:val="24"/>
          <w:szCs w:val="24"/>
          <w:lang w:eastAsia="hr-HR"/>
        </w:rPr>
        <w:t>Restructuring large housing estates in Europe</w:t>
      </w:r>
      <w:r w:rsidRPr="003E3557">
        <w:rPr>
          <w:rFonts w:ascii="Arial" w:eastAsia="Times New Roman" w:hAnsi="Arial" w:cs="Arial"/>
          <w:sz w:val="24"/>
          <w:szCs w:val="24"/>
          <w:lang w:eastAsia="hr-HR"/>
        </w:rPr>
        <w:t>, Bristol University Press, Policy Press.</w:t>
      </w:r>
    </w:p>
    <w:p w:rsidR="003E3557" w:rsidRPr="003E3557" w:rsidRDefault="003E3557" w:rsidP="003E3557">
      <w:pPr>
        <w:spacing w:before="100" w:beforeAutospacing="1" w:after="100" w:afterAutospacing="1" w:line="240" w:lineRule="auto"/>
        <w:rPr>
          <w:rFonts w:ascii="Arial" w:eastAsia="Times New Roman" w:hAnsi="Arial" w:cs="Arial"/>
          <w:sz w:val="24"/>
          <w:szCs w:val="24"/>
          <w:lang w:eastAsia="hr-HR"/>
        </w:rPr>
      </w:pPr>
      <w:r w:rsidRPr="003E3557">
        <w:rPr>
          <w:rFonts w:ascii="Arial" w:eastAsia="Times New Roman" w:hAnsi="Arial" w:cs="Arial"/>
          <w:sz w:val="24"/>
          <w:szCs w:val="24"/>
          <w:lang w:eastAsia="hr-HR"/>
        </w:rPr>
        <w:t xml:space="preserve">WASSENBERG, F. (2018), ‘Beyond an ugly appearance: Understanding the physical design and built environment of large housing estates’ [in:] HESS, D. B., TAMMARU, T. and VAN HAM, M. (eds), </w:t>
      </w:r>
      <w:r w:rsidRPr="003E3557">
        <w:rPr>
          <w:rFonts w:ascii="Arial" w:eastAsia="Times New Roman" w:hAnsi="Arial" w:cs="Arial"/>
          <w:i/>
          <w:iCs/>
          <w:sz w:val="24"/>
          <w:szCs w:val="24"/>
          <w:lang w:eastAsia="hr-HR"/>
        </w:rPr>
        <w:t>Housing Estates in Europe: Poverty</w:t>
      </w:r>
      <w:r w:rsidRPr="003E3557">
        <w:rPr>
          <w:rFonts w:ascii="Arial" w:eastAsia="Times New Roman" w:hAnsi="Arial" w:cs="Arial"/>
          <w:sz w:val="24"/>
          <w:szCs w:val="24"/>
          <w:lang w:eastAsia="hr-HR"/>
        </w:rPr>
        <w:t xml:space="preserve">, Ethnic Segregation and Policy Challenges, Springer Nature, pp. 35−55. </w:t>
      </w:r>
      <w:hyperlink r:id="rId62" w:history="1">
        <w:r w:rsidRPr="003E3557">
          <w:rPr>
            <w:rFonts w:ascii="Arial" w:eastAsia="Times New Roman" w:hAnsi="Arial" w:cs="Arial"/>
            <w:color w:val="006164"/>
            <w:sz w:val="24"/>
            <w:szCs w:val="24"/>
            <w:u w:val="single"/>
            <w:lang w:eastAsia="hr-HR"/>
          </w:rPr>
          <w:t>https://doi.org/10.1007/978-3-319-92813-5_2</w:t>
        </w:r>
      </w:hyperlink>
    </w:p>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pict>
          <v:rect id="_x0000_i1030" style="width:0;height:1.5pt" o:hralign="center" o:hrstd="t" o:hr="t" fillcolor="#a0a0a0" stroked="f"/>
        </w:pict>
      </w:r>
    </w:p>
    <w:p w:rsidR="003E3557" w:rsidRPr="003E3557" w:rsidRDefault="003E3557" w:rsidP="003E3557">
      <w:pPr>
        <w:spacing w:before="100" w:beforeAutospacing="1" w:after="100" w:afterAutospacing="1" w:line="240" w:lineRule="auto"/>
        <w:outlineLvl w:val="1"/>
        <w:rPr>
          <w:rFonts w:ascii="Arial" w:eastAsia="Times New Roman" w:hAnsi="Arial" w:cs="Arial"/>
          <w:b/>
          <w:bCs/>
          <w:sz w:val="36"/>
          <w:szCs w:val="36"/>
          <w:lang w:eastAsia="hr-HR"/>
        </w:rPr>
      </w:pPr>
      <w:r w:rsidRPr="003E3557">
        <w:rPr>
          <w:rFonts w:ascii="Arial" w:eastAsia="Times New Roman" w:hAnsi="Arial" w:cs="Arial"/>
          <w:b/>
          <w:bCs/>
          <w:sz w:val="36"/>
          <w:szCs w:val="36"/>
          <w:lang w:eastAsia="hr-HR"/>
        </w:rPr>
        <w:t>FOOTNOTES</w:t>
      </w:r>
    </w:p>
    <w:p w:rsidR="003E3557" w:rsidRPr="003E3557" w:rsidRDefault="003E3557" w:rsidP="003E3557">
      <w:pPr>
        <w:numPr>
          <w:ilvl w:val="0"/>
          <w:numId w:val="2"/>
        </w:numPr>
        <w:spacing w:before="100" w:beforeAutospacing="1" w:after="100" w:afterAutospacing="1" w:line="240" w:lineRule="auto"/>
        <w:ind w:firstLine="0"/>
        <w:rPr>
          <w:rFonts w:ascii="Arial" w:eastAsia="Times New Roman" w:hAnsi="Arial" w:cs="Arial"/>
          <w:sz w:val="24"/>
          <w:szCs w:val="24"/>
          <w:lang w:eastAsia="hr-HR"/>
        </w:rPr>
      </w:pPr>
      <w:hyperlink r:id="rId63" w:anchor="footnote-000-backlink" w:history="1">
        <w:r w:rsidRPr="003E3557">
          <w:rPr>
            <w:rFonts w:ascii="Arial" w:eastAsia="Times New Roman" w:hAnsi="Arial" w:cs="Arial"/>
            <w:color w:val="006164"/>
            <w:sz w:val="24"/>
            <w:szCs w:val="24"/>
            <w:u w:val="single"/>
            <w:lang w:eastAsia="hr-HR"/>
          </w:rPr>
          <w:t>1</w:t>
        </w:r>
      </w:hyperlink>
      <w:r w:rsidRPr="003E3557">
        <w:rPr>
          <w:rFonts w:ascii="Arial" w:eastAsia="Times New Roman" w:hAnsi="Arial" w:cs="Arial"/>
          <w:sz w:val="24"/>
          <w:szCs w:val="24"/>
          <w:lang w:eastAsia="hr-HR"/>
        </w:rPr>
        <w:t xml:space="preserve"> While higher-income households generally exhibit greater overall energy consumption, lower-income households devote a larger share of their income to covering utility costs (Slabe-Erker </w:t>
      </w:r>
      <w:r w:rsidRPr="003E3557">
        <w:rPr>
          <w:rFonts w:ascii="Arial" w:eastAsia="Times New Roman" w:hAnsi="Arial" w:cs="Arial"/>
          <w:i/>
          <w:iCs/>
          <w:sz w:val="24"/>
          <w:szCs w:val="24"/>
          <w:lang w:eastAsia="hr-HR"/>
        </w:rPr>
        <w:t>et al.</w:t>
      </w:r>
      <w:r w:rsidRPr="003E3557">
        <w:rPr>
          <w:rFonts w:ascii="Arial" w:eastAsia="Times New Roman" w:hAnsi="Arial" w:cs="Arial"/>
          <w:sz w:val="24"/>
          <w:szCs w:val="24"/>
          <w:lang w:eastAsia="hr-HR"/>
        </w:rPr>
        <w:t>, 2022).</w:t>
      </w:r>
    </w:p>
    <w:p w:rsidR="003E3557" w:rsidRPr="003E3557" w:rsidRDefault="003E3557" w:rsidP="003E3557">
      <w:pPr>
        <w:spacing w:after="0" w:line="240" w:lineRule="auto"/>
        <w:rPr>
          <w:rFonts w:ascii="Times New Roman" w:eastAsia="Times New Roman" w:hAnsi="Times New Roman" w:cs="Times New Roman"/>
          <w:sz w:val="24"/>
          <w:szCs w:val="24"/>
          <w:lang w:eastAsia="hr-HR"/>
        </w:rPr>
      </w:pPr>
      <w:r w:rsidRPr="003E3557">
        <w:rPr>
          <w:rFonts w:ascii="Times New Roman" w:eastAsia="Times New Roman" w:hAnsi="Times New Roman" w:cs="Times New Roman"/>
          <w:sz w:val="24"/>
          <w:szCs w:val="24"/>
          <w:lang w:eastAsia="hr-HR"/>
        </w:rPr>
        <w:lastRenderedPageBreak/>
        <w:pict>
          <v:rect id="_x0000_i1031" style="width:0;height:1.5pt" o:hralign="center" o:hrstd="t" o:hr="t" fillcolor="#a0a0a0" stroked="f"/>
        </w:pict>
      </w:r>
    </w:p>
    <w:p w:rsidR="003E3557" w:rsidRPr="003E3557" w:rsidRDefault="003E3557" w:rsidP="003E3557">
      <w:pPr>
        <w:spacing w:after="0" w:line="240" w:lineRule="auto"/>
        <w:rPr>
          <w:rFonts w:ascii="Times New Roman" w:eastAsia="Times New Roman" w:hAnsi="Times New Roman" w:cs="Times New Roman"/>
          <w:sz w:val="24"/>
          <w:szCs w:val="24"/>
          <w:lang w:eastAsia="hr-HR"/>
        </w:rPr>
      </w:pPr>
      <w:hyperlink r:id="rId64" w:anchor="mainContent" w:history="1">
        <w:r w:rsidRPr="003E3557">
          <w:rPr>
            <w:rFonts w:ascii="Times New Roman" w:eastAsia="Times New Roman" w:hAnsi="Times New Roman" w:cs="Times New Roman"/>
            <w:color w:val="006164"/>
            <w:sz w:val="24"/>
            <w:szCs w:val="24"/>
            <w:u w:val="single"/>
            <w:lang w:eastAsia="hr-HR"/>
          </w:rPr>
          <w:t>↑</w:t>
        </w:r>
      </w:hyperlink>
      <w:r w:rsidRPr="003E3557">
        <w:rPr>
          <w:rFonts w:ascii="Times New Roman" w:eastAsia="Times New Roman" w:hAnsi="Times New Roman" w:cs="Times New Roman"/>
          <w:noProof/>
          <w:sz w:val="24"/>
          <w:szCs w:val="24"/>
          <w:lang w:eastAsia="hr-HR"/>
        </w:rPr>
        <w:drawing>
          <wp:inline distT="0" distB="0" distL="0" distR="0">
            <wp:extent cx="1104900" cy="942975"/>
            <wp:effectExtent l="0" t="0" r="0" b="9525"/>
            <wp:docPr id="2" name="Picture 2" descr="logo 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COP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04900" cy="942975"/>
                    </a:xfrm>
                    <a:prstGeom prst="rect">
                      <a:avLst/>
                    </a:prstGeom>
                    <a:noFill/>
                    <a:ln>
                      <a:noFill/>
                    </a:ln>
                  </pic:spPr>
                </pic:pic>
              </a:graphicData>
            </a:graphic>
          </wp:inline>
        </w:drawing>
      </w:r>
      <w:r w:rsidRPr="003E3557">
        <w:rPr>
          <w:rFonts w:ascii="Times New Roman" w:eastAsia="Times New Roman" w:hAnsi="Times New Roman" w:cs="Times New Roman"/>
          <w:noProof/>
          <w:sz w:val="24"/>
          <w:szCs w:val="24"/>
          <w:lang w:eastAsia="hr-HR"/>
        </w:rPr>
        <w:drawing>
          <wp:inline distT="0" distB="0" distL="0" distR="0">
            <wp:extent cx="2000250" cy="685800"/>
            <wp:effectExtent l="0" t="0" r="0" b="0"/>
            <wp:docPr id="1" name="Picture 1" descr="logo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Creative Common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00250" cy="685800"/>
                    </a:xfrm>
                    <a:prstGeom prst="rect">
                      <a:avLst/>
                    </a:prstGeom>
                    <a:noFill/>
                    <a:ln>
                      <a:noFill/>
                    </a:ln>
                  </pic:spPr>
                </pic:pic>
              </a:graphicData>
            </a:graphic>
          </wp:inline>
        </w:drawing>
      </w:r>
    </w:p>
    <w:p w:rsidR="003E3557" w:rsidRPr="003E3557" w:rsidRDefault="003E3557" w:rsidP="003E3557">
      <w:pPr>
        <w:spacing w:before="100" w:beforeAutospacing="1" w:after="100" w:afterAutospacing="1" w:line="240" w:lineRule="auto"/>
        <w:jc w:val="center"/>
        <w:rPr>
          <w:rFonts w:ascii="Arial" w:eastAsia="Times New Roman" w:hAnsi="Arial" w:cs="Arial"/>
          <w:sz w:val="24"/>
          <w:szCs w:val="24"/>
          <w:lang w:eastAsia="hr-HR"/>
        </w:rPr>
      </w:pPr>
      <w:r w:rsidRPr="003E3557">
        <w:rPr>
          <w:rFonts w:ascii="Arial" w:eastAsia="Times New Roman" w:hAnsi="Arial" w:cs="Arial"/>
          <w:sz w:val="24"/>
          <w:szCs w:val="24"/>
          <w:lang w:eastAsia="hr-HR"/>
        </w:rPr>
        <w:t>© by the Author, licensee University of Lodz – Lodz University Press, Lodz, Poland.</w:t>
      </w:r>
      <w:r w:rsidRPr="003E3557">
        <w:rPr>
          <w:rFonts w:ascii="Arial" w:eastAsia="Times New Roman" w:hAnsi="Arial" w:cs="Arial"/>
          <w:sz w:val="24"/>
          <w:szCs w:val="24"/>
          <w:lang w:eastAsia="hr-HR"/>
        </w:rPr>
        <w:br/>
        <w:t>This article is an open access article distributed under the terms and conditions of the Creative Commons Attribution license CC-BY-NC-ND 4.0 (</w:t>
      </w:r>
      <w:hyperlink r:id="rId67" w:history="1">
        <w:r w:rsidRPr="003E3557">
          <w:rPr>
            <w:rFonts w:ascii="Arial" w:eastAsia="Times New Roman" w:hAnsi="Arial" w:cs="Arial"/>
            <w:color w:val="006164"/>
            <w:sz w:val="24"/>
            <w:szCs w:val="24"/>
            <w:u w:val="single"/>
            <w:lang w:eastAsia="hr-HR"/>
          </w:rPr>
          <w:t>https://creativecommons.org/licenses/by-nc-nd/4.0/</w:t>
        </w:r>
      </w:hyperlink>
      <w:r w:rsidRPr="003E3557">
        <w:rPr>
          <w:rFonts w:ascii="Arial" w:eastAsia="Times New Roman" w:hAnsi="Arial" w:cs="Arial"/>
          <w:sz w:val="24"/>
          <w:szCs w:val="24"/>
          <w:lang w:eastAsia="hr-HR"/>
        </w:rPr>
        <w:t>)</w:t>
      </w:r>
      <w:r w:rsidRPr="003E3557">
        <w:rPr>
          <w:rFonts w:ascii="Arial" w:eastAsia="Times New Roman" w:hAnsi="Arial" w:cs="Arial"/>
          <w:sz w:val="24"/>
          <w:szCs w:val="24"/>
          <w:lang w:eastAsia="hr-HR"/>
        </w:rPr>
        <w:br/>
      </w:r>
      <w:r w:rsidRPr="003E3557">
        <w:rPr>
          <w:rFonts w:ascii="Arial" w:eastAsia="Times New Roman" w:hAnsi="Arial" w:cs="Arial"/>
          <w:b/>
          <w:bCs/>
          <w:sz w:val="24"/>
          <w:szCs w:val="24"/>
          <w:lang w:eastAsia="hr-HR"/>
        </w:rPr>
        <w:t>Funding information:</w:t>
      </w:r>
      <w:r w:rsidRPr="003E3557">
        <w:rPr>
          <w:rFonts w:ascii="Arial" w:eastAsia="Times New Roman" w:hAnsi="Arial" w:cs="Arial"/>
          <w:sz w:val="24"/>
          <w:szCs w:val="24"/>
          <w:lang w:eastAsia="hr-HR"/>
        </w:rPr>
        <w:t xml:space="preserve"> The Authors declare that the research presented in the text of the article was financed by Croatian Science Foundation; Ministry of Science, Education and Youth via the NextGenerationEU Fund, European Commission. </w:t>
      </w:r>
      <w:r w:rsidRPr="003E3557">
        <w:rPr>
          <w:rFonts w:ascii="Arial" w:eastAsia="Times New Roman" w:hAnsi="Arial" w:cs="Arial"/>
          <w:b/>
          <w:bCs/>
          <w:sz w:val="24"/>
          <w:szCs w:val="24"/>
          <w:lang w:eastAsia="hr-HR"/>
        </w:rPr>
        <w:t>Conflicts of interests:</w:t>
      </w:r>
      <w:r w:rsidRPr="003E3557">
        <w:rPr>
          <w:rFonts w:ascii="Arial" w:eastAsia="Times New Roman" w:hAnsi="Arial" w:cs="Arial"/>
          <w:sz w:val="24"/>
          <w:szCs w:val="24"/>
          <w:lang w:eastAsia="hr-HR"/>
        </w:rPr>
        <w:t xml:space="preserve"> None. </w:t>
      </w:r>
      <w:r w:rsidRPr="003E3557">
        <w:rPr>
          <w:rFonts w:ascii="Arial" w:eastAsia="Times New Roman" w:hAnsi="Arial" w:cs="Arial"/>
          <w:b/>
          <w:bCs/>
          <w:sz w:val="24"/>
          <w:szCs w:val="24"/>
          <w:lang w:eastAsia="hr-HR"/>
        </w:rPr>
        <w:t>Ethical considerations:</w:t>
      </w:r>
      <w:r w:rsidRPr="003E3557">
        <w:rPr>
          <w:rFonts w:ascii="Arial" w:eastAsia="Times New Roman" w:hAnsi="Arial" w:cs="Arial"/>
          <w:sz w:val="24"/>
          <w:szCs w:val="24"/>
          <w:lang w:eastAsia="hr-HR"/>
        </w:rPr>
        <w:t xml:space="preserve"> The Authors assure no violations of publication ethics and take full responsibility for the content of the publication. </w:t>
      </w:r>
      <w:r w:rsidRPr="003E3557">
        <w:rPr>
          <w:rFonts w:ascii="Arial" w:eastAsia="Times New Roman" w:hAnsi="Arial" w:cs="Arial"/>
          <w:b/>
          <w:bCs/>
          <w:sz w:val="24"/>
          <w:szCs w:val="24"/>
          <w:lang w:eastAsia="hr-HR"/>
        </w:rPr>
        <w:t xml:space="preserve">The percentage share of the Author in the preparation of the work is: </w:t>
      </w:r>
      <w:r w:rsidRPr="003E3557">
        <w:rPr>
          <w:rFonts w:ascii="Arial" w:eastAsia="Times New Roman" w:hAnsi="Arial" w:cs="Arial"/>
          <w:sz w:val="24"/>
          <w:szCs w:val="24"/>
          <w:lang w:eastAsia="hr-HR"/>
        </w:rPr>
        <w:t xml:space="preserve">A.K. 70%, A.S.G. 30%. </w:t>
      </w:r>
      <w:r w:rsidRPr="003E3557">
        <w:rPr>
          <w:rFonts w:ascii="Arial" w:eastAsia="Times New Roman" w:hAnsi="Arial" w:cs="Arial"/>
          <w:b/>
          <w:bCs/>
          <w:sz w:val="24"/>
          <w:szCs w:val="24"/>
          <w:lang w:eastAsia="hr-HR"/>
        </w:rPr>
        <w:t>Declaration regarding the use of GAI tools:</w:t>
      </w:r>
      <w:r w:rsidRPr="003E3557">
        <w:rPr>
          <w:rFonts w:ascii="Arial" w:eastAsia="Times New Roman" w:hAnsi="Arial" w:cs="Arial"/>
          <w:sz w:val="24"/>
          <w:szCs w:val="24"/>
          <w:lang w:eastAsia="hr-HR"/>
        </w:rPr>
        <w:t xml:space="preserve"> The Authors hereby declare that they used ChatGPT for the following purpose: language editing (translation, shortening, etc.). The Authors then carried out a thorough and critical review of the text, with particular attention to potential false, incomplete, or biased information, possible plagiarism or lack of proper/accurate authorship attribution and revised it accordingly.</w:t>
      </w:r>
      <w:r w:rsidRPr="003E3557">
        <w:rPr>
          <w:rFonts w:ascii="Arial" w:eastAsia="Times New Roman" w:hAnsi="Arial" w:cs="Arial"/>
          <w:sz w:val="24"/>
          <w:szCs w:val="24"/>
          <w:lang w:eastAsia="hr-HR"/>
        </w:rPr>
        <w:br/>
      </w:r>
      <w:r w:rsidRPr="003E3557">
        <w:rPr>
          <w:rFonts w:ascii="Arial" w:eastAsia="Times New Roman" w:hAnsi="Arial" w:cs="Arial"/>
          <w:sz w:val="24"/>
          <w:szCs w:val="24"/>
          <w:lang w:eastAsia="hr-HR"/>
        </w:rPr>
        <w:br/>
        <w:t>Received: 07.11.2025, Revised: 31.03.2026, Accepted: 10.06.2026</w:t>
      </w:r>
    </w:p>
    <w:p w:rsidR="00543C1B" w:rsidRDefault="00543C1B"/>
    <w:sectPr w:rsidR="00543C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77D67"/>
    <w:multiLevelType w:val="multilevel"/>
    <w:tmpl w:val="5BA2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366911"/>
    <w:multiLevelType w:val="multilevel"/>
    <w:tmpl w:val="DD02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557"/>
    <w:rsid w:val="003E3557"/>
    <w:rsid w:val="00543C1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563180-B19A-499C-B08C-79A8024B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E35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link w:val="Heading2Char"/>
    <w:uiPriority w:val="9"/>
    <w:qFormat/>
    <w:rsid w:val="003E3557"/>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Heading3">
    <w:name w:val="heading 3"/>
    <w:basedOn w:val="Normal"/>
    <w:link w:val="Heading3Char"/>
    <w:uiPriority w:val="9"/>
    <w:qFormat/>
    <w:rsid w:val="003E3557"/>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557"/>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rsid w:val="003E3557"/>
    <w:rPr>
      <w:rFonts w:ascii="Times New Roman" w:eastAsia="Times New Roman" w:hAnsi="Times New Roman" w:cs="Times New Roman"/>
      <w:b/>
      <w:bCs/>
      <w:sz w:val="36"/>
      <w:szCs w:val="36"/>
      <w:lang w:eastAsia="hr-HR"/>
    </w:rPr>
  </w:style>
  <w:style w:type="character" w:customStyle="1" w:styleId="Heading3Char">
    <w:name w:val="Heading 3 Char"/>
    <w:basedOn w:val="DefaultParagraphFont"/>
    <w:link w:val="Heading3"/>
    <w:uiPriority w:val="9"/>
    <w:rsid w:val="003E3557"/>
    <w:rPr>
      <w:rFonts w:ascii="Times New Roman" w:eastAsia="Times New Roman" w:hAnsi="Times New Roman" w:cs="Times New Roman"/>
      <w:b/>
      <w:bCs/>
      <w:sz w:val="27"/>
      <w:szCs w:val="27"/>
      <w:lang w:eastAsia="hr-HR"/>
    </w:rPr>
  </w:style>
  <w:style w:type="paragraph" w:customStyle="1" w:styleId="msonormal0">
    <w:name w:val="msonormal"/>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yperlink">
    <w:name w:val="Hyperlink"/>
    <w:basedOn w:val="DefaultParagraphFont"/>
    <w:uiPriority w:val="99"/>
    <w:semiHidden/>
    <w:unhideWhenUsed/>
    <w:rsid w:val="003E3557"/>
    <w:rPr>
      <w:color w:val="0000FF"/>
      <w:u w:val="single"/>
    </w:rPr>
  </w:style>
  <w:style w:type="character" w:styleId="FollowedHyperlink">
    <w:name w:val="FollowedHyperlink"/>
    <w:basedOn w:val="DefaultParagraphFont"/>
    <w:uiPriority w:val="99"/>
    <w:semiHidden/>
    <w:unhideWhenUsed/>
    <w:rsid w:val="003E3557"/>
    <w:rPr>
      <w:color w:val="800080"/>
      <w:u w:val="single"/>
    </w:rPr>
  </w:style>
  <w:style w:type="paragraph" w:customStyle="1" w:styleId="article-meta">
    <w:name w:val="article-meta"/>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article-doi">
    <w:name w:val="article-doi"/>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author-top">
    <w:name w:val="author-top"/>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NormalWeb">
    <w:name w:val="Normal (Web)"/>
    <w:basedOn w:val="Normal"/>
    <w:uiPriority w:val="99"/>
    <w:semiHidden/>
    <w:unhideWhenUsed/>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3E3557"/>
    <w:rPr>
      <w:b/>
      <w:bCs/>
    </w:rPr>
  </w:style>
  <w:style w:type="paragraph" w:customStyle="1" w:styleId="keywords">
    <w:name w:val="keywords"/>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eyword-title">
    <w:name w:val="keyword-title"/>
    <w:basedOn w:val="DefaultParagraphFont"/>
    <w:rsid w:val="003E3557"/>
  </w:style>
  <w:style w:type="character" w:customStyle="1" w:styleId="italic">
    <w:name w:val="italic"/>
    <w:basedOn w:val="DefaultParagraphFont"/>
    <w:rsid w:val="003E3557"/>
  </w:style>
  <w:style w:type="paragraph" w:customStyle="1" w:styleId="table-desc">
    <w:name w:val="table-desc"/>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author-bio">
    <w:name w:val="author-bio"/>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ibliography">
    <w:name w:val="bibliography"/>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rzypis">
    <w:name w:val="przypis"/>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c">
    <w:name w:val="cc"/>
    <w:basedOn w:val="Normal"/>
    <w:rsid w:val="003E3557"/>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001636">
      <w:bodyDiv w:val="1"/>
      <w:marLeft w:val="0"/>
      <w:marRight w:val="0"/>
      <w:marTop w:val="0"/>
      <w:marBottom w:val="0"/>
      <w:divBdr>
        <w:top w:val="none" w:sz="0" w:space="0" w:color="auto"/>
        <w:left w:val="none" w:sz="0" w:space="0" w:color="auto"/>
        <w:bottom w:val="none" w:sz="0" w:space="0" w:color="auto"/>
        <w:right w:val="none" w:sz="0" w:space="0" w:color="auto"/>
      </w:divBdr>
      <w:divsChild>
        <w:div w:id="1026444771">
          <w:marLeft w:val="0"/>
          <w:marRight w:val="0"/>
          <w:marTop w:val="0"/>
          <w:marBottom w:val="0"/>
          <w:divBdr>
            <w:top w:val="none" w:sz="0" w:space="0" w:color="auto"/>
            <w:left w:val="single" w:sz="24" w:space="0" w:color="006164"/>
            <w:bottom w:val="none" w:sz="0" w:space="0" w:color="auto"/>
            <w:right w:val="none" w:sz="0" w:space="0" w:color="auto"/>
          </w:divBdr>
        </w:div>
        <w:div w:id="1927493839">
          <w:marLeft w:val="0"/>
          <w:marRight w:val="0"/>
          <w:marTop w:val="0"/>
          <w:marBottom w:val="0"/>
          <w:divBdr>
            <w:top w:val="none" w:sz="0" w:space="0" w:color="auto"/>
            <w:left w:val="none" w:sz="0" w:space="0" w:color="auto"/>
            <w:bottom w:val="none" w:sz="0" w:space="0" w:color="auto"/>
            <w:right w:val="none" w:sz="0" w:space="0" w:color="auto"/>
          </w:divBdr>
        </w:div>
        <w:div w:id="1157921254">
          <w:marLeft w:val="0"/>
          <w:marRight w:val="0"/>
          <w:marTop w:val="0"/>
          <w:marBottom w:val="0"/>
          <w:divBdr>
            <w:top w:val="none" w:sz="0" w:space="0" w:color="auto"/>
            <w:left w:val="none" w:sz="0" w:space="0" w:color="auto"/>
            <w:bottom w:val="none" w:sz="0" w:space="0" w:color="auto"/>
            <w:right w:val="none" w:sz="0" w:space="0" w:color="auto"/>
          </w:divBdr>
        </w:div>
        <w:div w:id="176968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03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3653701">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0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97762">
          <w:marLeft w:val="0"/>
          <w:marRight w:val="0"/>
          <w:marTop w:val="0"/>
          <w:marBottom w:val="0"/>
          <w:divBdr>
            <w:top w:val="none" w:sz="0" w:space="0" w:color="auto"/>
            <w:left w:val="none" w:sz="0" w:space="0" w:color="auto"/>
            <w:bottom w:val="none" w:sz="0" w:space="0" w:color="auto"/>
            <w:right w:val="none" w:sz="0" w:space="0" w:color="auto"/>
          </w:divBdr>
        </w:div>
        <w:div w:id="15218232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641754">
          <w:blockQuote w:val="1"/>
          <w:marLeft w:val="720"/>
          <w:marRight w:val="720"/>
          <w:marTop w:val="100"/>
          <w:marBottom w:val="100"/>
          <w:divBdr>
            <w:top w:val="none" w:sz="0" w:space="0" w:color="auto"/>
            <w:left w:val="none" w:sz="0" w:space="0" w:color="auto"/>
            <w:bottom w:val="none" w:sz="0" w:space="0" w:color="auto"/>
            <w:right w:val="none" w:sz="0" w:space="0" w:color="auto"/>
          </w:divBdr>
        </w:div>
        <w:div w:id="364528848">
          <w:marLeft w:val="0"/>
          <w:marRight w:val="0"/>
          <w:marTop w:val="0"/>
          <w:marBottom w:val="0"/>
          <w:divBdr>
            <w:top w:val="none" w:sz="0" w:space="0" w:color="auto"/>
            <w:left w:val="none" w:sz="0" w:space="0" w:color="auto"/>
            <w:bottom w:val="none" w:sz="0" w:space="0" w:color="auto"/>
            <w:right w:val="none" w:sz="0" w:space="0" w:color="auto"/>
          </w:divBdr>
        </w:div>
        <w:div w:id="1630696384">
          <w:marLeft w:val="0"/>
          <w:marRight w:val="0"/>
          <w:marTop w:val="0"/>
          <w:marBottom w:val="0"/>
          <w:divBdr>
            <w:top w:val="none" w:sz="0" w:space="0" w:color="auto"/>
            <w:left w:val="none" w:sz="0" w:space="0" w:color="auto"/>
            <w:bottom w:val="none" w:sz="0" w:space="0" w:color="auto"/>
            <w:right w:val="none" w:sz="0" w:space="0" w:color="auto"/>
          </w:divBdr>
        </w:div>
        <w:div w:id="255140775">
          <w:marLeft w:val="0"/>
          <w:marRight w:val="0"/>
          <w:marTop w:val="0"/>
          <w:marBottom w:val="0"/>
          <w:divBdr>
            <w:top w:val="none" w:sz="0" w:space="0" w:color="auto"/>
            <w:left w:val="none" w:sz="0" w:space="0" w:color="auto"/>
            <w:bottom w:val="none" w:sz="0" w:space="0" w:color="auto"/>
            <w:right w:val="none" w:sz="0" w:space="0" w:color="auto"/>
          </w:divBdr>
        </w:div>
        <w:div w:id="1285964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7957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2538264">
          <w:blockQuote w:val="1"/>
          <w:marLeft w:val="720"/>
          <w:marRight w:val="720"/>
          <w:marTop w:val="100"/>
          <w:marBottom w:val="100"/>
          <w:divBdr>
            <w:top w:val="none" w:sz="0" w:space="0" w:color="auto"/>
            <w:left w:val="none" w:sz="0" w:space="0" w:color="auto"/>
            <w:bottom w:val="none" w:sz="0" w:space="0" w:color="auto"/>
            <w:right w:val="none" w:sz="0" w:space="0" w:color="auto"/>
          </w:divBdr>
        </w:div>
        <w:div w:id="982004326">
          <w:blockQuote w:val="1"/>
          <w:marLeft w:val="720"/>
          <w:marRight w:val="720"/>
          <w:marTop w:val="100"/>
          <w:marBottom w:val="100"/>
          <w:divBdr>
            <w:top w:val="none" w:sz="0" w:space="0" w:color="auto"/>
            <w:left w:val="none" w:sz="0" w:space="0" w:color="auto"/>
            <w:bottom w:val="none" w:sz="0" w:space="0" w:color="auto"/>
            <w:right w:val="none" w:sz="0" w:space="0" w:color="auto"/>
          </w:divBdr>
        </w:div>
        <w:div w:id="402023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4612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290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680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568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9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enpol.2016.06.043" TargetMode="External"/><Relationship Id="rId21" Type="http://schemas.openxmlformats.org/officeDocument/2006/relationships/hyperlink" Target="https://doi.org/10.1007/978-3-031-75649-8_6" TargetMode="External"/><Relationship Id="rId42" Type="http://schemas.openxmlformats.org/officeDocument/2006/relationships/hyperlink" Target="https://doi.org/10.13060/23362839.2023.10.2.555" TargetMode="External"/><Relationship Id="rId47" Type="http://schemas.openxmlformats.org/officeDocument/2006/relationships/hyperlink" Target="https://mpgi.gov.hr/UserDocsImages/dokumenti/NPSP/2025_03_26_NPSP.pdf" TargetMode="External"/><Relationship Id="rId63" Type="http://schemas.openxmlformats.org/officeDocument/2006/relationships/hyperlink" Target="https://czasopisma.uni.lodz.pl/esrap/article/download/28565/29907/82398?inline=1" TargetMode="Externa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orcid.org/0000-0002-2902-1476" TargetMode="External"/><Relationship Id="rId29" Type="http://schemas.openxmlformats.org/officeDocument/2006/relationships/hyperlink" Target="https://doi.org/10.1023/A:1007027822521" TargetMode="External"/><Relationship Id="rId11" Type="http://schemas.openxmlformats.org/officeDocument/2006/relationships/hyperlink" Target="https://orcid.org/0000-0001-9462-0734" TargetMode="External"/><Relationship Id="rId24" Type="http://schemas.openxmlformats.org/officeDocument/2006/relationships/hyperlink" Target="https://doi.org/10.1080/02673037.2024.2342411" TargetMode="External"/><Relationship Id="rId32" Type="http://schemas.openxmlformats.org/officeDocument/2006/relationships/hyperlink" Target="https://commission.europa.eu/strategy-and-policy/priorities-2019-2024/european-green-deal_en" TargetMode="External"/><Relationship Id="rId37" Type="http://schemas.openxmlformats.org/officeDocument/2006/relationships/hyperlink" Target="https://doi.org/10.1017/S0144686X17000630" TargetMode="External"/><Relationship Id="rId40" Type="http://schemas.openxmlformats.org/officeDocument/2006/relationships/hyperlink" Target="https://doi.org/10.1111/j.1467-9663.2012.00727.x" TargetMode="External"/><Relationship Id="rId45" Type="http://schemas.openxmlformats.org/officeDocument/2006/relationships/hyperlink" Target="https://doi.org/10.1080/00420989650012130" TargetMode="External"/><Relationship Id="rId53" Type="http://schemas.openxmlformats.org/officeDocument/2006/relationships/hyperlink" Target="https://doi.org/10.1016/j.enpol.2018.10.061" TargetMode="External"/><Relationship Id="rId58" Type="http://schemas.openxmlformats.org/officeDocument/2006/relationships/hyperlink" Target="https://doi.org/10.15291/geoadria.3083" TargetMode="External"/><Relationship Id="rId66" Type="http://schemas.openxmlformats.org/officeDocument/2006/relationships/image" Target="media/image4.png"/><Relationship Id="rId5" Type="http://schemas.openxmlformats.org/officeDocument/2006/relationships/hyperlink" Target="https://doi.org/10.18778/1231-1952.33.2.02" TargetMode="External"/><Relationship Id="rId61" Type="http://schemas.openxmlformats.org/officeDocument/2006/relationships/hyperlink" Target="https://doi.org/10.17356/ieejsp.v1i1.28" TargetMode="External"/><Relationship Id="rId19" Type="http://schemas.openxmlformats.org/officeDocument/2006/relationships/hyperlink" Target="https://orcid.org/0000-0001-9462-0734" TargetMode="External"/><Relationship Id="rId14" Type="http://schemas.openxmlformats.org/officeDocument/2006/relationships/hyperlink" Target="https://czasopisma.uni.lodz.pl/esrap/article/download/28565/29907/82398?inline=1" TargetMode="External"/><Relationship Id="rId22" Type="http://schemas.openxmlformats.org/officeDocument/2006/relationships/hyperlink" Target="https://doi.org/10.1111/1468-2427.12634" TargetMode="External"/><Relationship Id="rId27" Type="http://schemas.openxmlformats.org/officeDocument/2006/relationships/hyperlink" Target="https://vlada.gov.hr/vijesti/predstavljen-paket-mjera-za-ublazavanje-rasta-cijena-energenata-vrijedan-4-8-milijardi-kuna/33907" TargetMode="External"/><Relationship Id="rId30" Type="http://schemas.openxmlformats.org/officeDocument/2006/relationships/hyperlink" Target="https://commission.europa.eu/news-and-media/news/focus-energy-efficiency-buildings-2020-02-17_en" TargetMode="External"/><Relationship Id="rId35" Type="http://schemas.openxmlformats.org/officeDocument/2006/relationships/hyperlink" Target="https://ec.europa.eu/eurostat/web/interactive-publications/housing-2024" TargetMode="External"/><Relationship Id="rId43" Type="http://schemas.openxmlformats.org/officeDocument/2006/relationships/hyperlink" Target="https://doi.org/10.14254/2071-789X.2024/17-3/7" TargetMode="External"/><Relationship Id="rId48" Type="http://schemas.openxmlformats.org/officeDocument/2006/relationships/hyperlink" Target="https://doi.org/10.1016/j.enpol.2024.114168" TargetMode="External"/><Relationship Id="rId56" Type="http://schemas.openxmlformats.org/officeDocument/2006/relationships/hyperlink" Target="https://doi.org/10.1080/02673037.2015.1013090" TargetMode="External"/><Relationship Id="rId64" Type="http://schemas.openxmlformats.org/officeDocument/2006/relationships/hyperlink" Target="https://czasopisma.uni.lodz.pl/esrap/article/download/28565/29907/82398?inline=1" TargetMode="External"/><Relationship Id="rId69" Type="http://schemas.openxmlformats.org/officeDocument/2006/relationships/theme" Target="theme/theme1.xml"/><Relationship Id="rId8" Type="http://schemas.openxmlformats.org/officeDocument/2006/relationships/hyperlink" Target="https://orcid.org/0000-0002-2902-1476" TargetMode="External"/><Relationship Id="rId51" Type="http://schemas.openxmlformats.org/officeDocument/2006/relationships/hyperlink" Target="https://doi.org/10.1080/14683857.2025.2529658" TargetMode="External"/><Relationship Id="rId3" Type="http://schemas.openxmlformats.org/officeDocument/2006/relationships/settings" Target="settings.xml"/><Relationship Id="rId12" Type="http://schemas.openxmlformats.org/officeDocument/2006/relationships/hyperlink" Target="https://czasopisma.uni.lodz.pl/esrap/article/download/28565/29907/82398?inline=1" TargetMode="External"/><Relationship Id="rId17" Type="http://schemas.openxmlformats.org/officeDocument/2006/relationships/hyperlink" Target="https://czasopisma.uni.lodz.pl/esrap/article/download/28565/29907/82398?inline=1" TargetMode="External"/><Relationship Id="rId25" Type="http://schemas.openxmlformats.org/officeDocument/2006/relationships/hyperlink" Target="https://doi.org/10.1177/0969776419898508" TargetMode="External"/><Relationship Id="rId33" Type="http://schemas.openxmlformats.org/officeDocument/2006/relationships/hyperlink" Target="https://www.europarl.europa.eu/topics/en/article/20241014STO24542/rising-housing-costs-in-the-eu-the-facts-infographics" TargetMode="External"/><Relationship Id="rId38" Type="http://schemas.openxmlformats.org/officeDocument/2006/relationships/hyperlink" Target="https://doi.org/10.3280/SUR2019-119006" TargetMode="External"/><Relationship Id="rId46" Type="http://schemas.openxmlformats.org/officeDocument/2006/relationships/hyperlink" Target="https://mpgi.gov.hr/UserDocsImages/dokumenti/EnergetskaUcinkovitost/Long_Term_Renovation_Strategy_EN.pdf" TargetMode="External"/><Relationship Id="rId59" Type="http://schemas.openxmlformats.org/officeDocument/2006/relationships/hyperlink" Target="https://doi.org/10.1007/s10901-023-10046-w" TargetMode="External"/><Relationship Id="rId67" Type="http://schemas.openxmlformats.org/officeDocument/2006/relationships/hyperlink" Target="https://creativecommons.org/licenses/by-nc-nd/4.0/" TargetMode="External"/><Relationship Id="rId20" Type="http://schemas.openxmlformats.org/officeDocument/2006/relationships/hyperlink" Target="https://doi.org/10.1080/14683857.2024.2352890" TargetMode="External"/><Relationship Id="rId41" Type="http://schemas.openxmlformats.org/officeDocument/2006/relationships/hyperlink" Target="https://doi.org/10.1007/978-3-319-92813-5" TargetMode="External"/><Relationship Id="rId54" Type="http://schemas.openxmlformats.org/officeDocument/2006/relationships/hyperlink" Target="https://doi.org/10.3390/su131810363" TargetMode="External"/><Relationship Id="rId62" Type="http://schemas.openxmlformats.org/officeDocument/2006/relationships/hyperlink" Target="https://doi.org/10.1007/978-3-319-92813-5_2" TargetMode="External"/><Relationship Id="rId1" Type="http://schemas.openxmlformats.org/officeDocument/2006/relationships/numbering" Target="numbering.xml"/><Relationship Id="rId6" Type="http://schemas.openxmlformats.org/officeDocument/2006/relationships/hyperlink" Target="https://crossmark.crossref.org/dialog/?doi=10.18778/1231-1952.33.2.02&amp;domain=czasopisma.uni.lodz.pl" TargetMode="External"/><Relationship Id="rId15" Type="http://schemas.openxmlformats.org/officeDocument/2006/relationships/hyperlink" Target="mailto:anamaria@idi.hr" TargetMode="External"/><Relationship Id="rId23" Type="http://schemas.openxmlformats.org/officeDocument/2006/relationships/hyperlink" Target="https://doi.org/10.1016/j.erss.2022.102527" TargetMode="External"/><Relationship Id="rId28" Type="http://schemas.openxmlformats.org/officeDocument/2006/relationships/hyperlink" Target="https://narodne-novine.nn.hr/clanci/sluzbeni/2021_02_13_230.html" TargetMode="External"/><Relationship Id="rId36" Type="http://schemas.openxmlformats.org/officeDocument/2006/relationships/hyperlink" Target="https://ec.europa.eu/eurostat/databrowser/view/prc_hpi_q__custom_18765983/default/table" TargetMode="External"/><Relationship Id="rId49" Type="http://schemas.openxmlformats.org/officeDocument/2006/relationships/hyperlink" Target="https://doi.org/10.1111/j.1467-9906.2007.00345.x" TargetMode="External"/><Relationship Id="rId57" Type="http://schemas.openxmlformats.org/officeDocument/2006/relationships/hyperlink" Target="https://doi.org/10.1080/23745118.2015.1061798" TargetMode="External"/><Relationship Id="rId10" Type="http://schemas.openxmlformats.org/officeDocument/2006/relationships/hyperlink" Target="https://czasopisma.uni.lodz.pl/esrap/article/download/28565/29907/82398?inline=1" TargetMode="External"/><Relationship Id="rId31" Type="http://schemas.openxmlformats.org/officeDocument/2006/relationships/hyperlink" Target="https://edgar.jrc.ec.europa.eu/report_2021" TargetMode="External"/><Relationship Id="rId44" Type="http://schemas.openxmlformats.org/officeDocument/2006/relationships/hyperlink" Target="https://doi.org/10.1080/02673037.2022.2123623" TargetMode="External"/><Relationship Id="rId52" Type="http://schemas.openxmlformats.org/officeDocument/2006/relationships/hyperlink" Target="https://doi.org/10.5613/rzs.49.3.1" TargetMode="External"/><Relationship Id="rId60" Type="http://schemas.openxmlformats.org/officeDocument/2006/relationships/hyperlink" Target="https://doi.org/10.5613/rzs.54.2.2" TargetMode="External"/><Relationship Id="rId65"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s://czasopisma.uni.lodz.pl/esrap/article/download/28565/29907/854_02_ESRAP.html" TargetMode="External"/><Relationship Id="rId18" Type="http://schemas.openxmlformats.org/officeDocument/2006/relationships/hyperlink" Target="mailto:svircic@idi.hr" TargetMode="External"/><Relationship Id="rId39" Type="http://schemas.openxmlformats.org/officeDocument/2006/relationships/hyperlink" Target="https://doi.org/10.1080/02673039883155" TargetMode="External"/><Relationship Id="rId34" Type="http://schemas.openxmlformats.org/officeDocument/2006/relationships/hyperlink" Target="https://doi.org/10.2908/ILC_LVHO02" TargetMode="External"/><Relationship Id="rId50" Type="http://schemas.openxmlformats.org/officeDocument/2006/relationships/hyperlink" Target="https://doi.org/10.17559/TV-20181015174733" TargetMode="External"/><Relationship Id="rId55" Type="http://schemas.openxmlformats.org/officeDocument/2006/relationships/hyperlink" Target="https://doi.org/10.1016/j.buildenv.2022.109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11348</Words>
  <Characters>64684</Characters>
  <Application>Microsoft Office Word</Application>
  <DocSecurity>0</DocSecurity>
  <Lines>539</Lines>
  <Paragraphs>151</Paragraphs>
  <ScaleCrop>false</ScaleCrop>
  <Company>HP Inc.</Company>
  <LinksUpToDate>false</LinksUpToDate>
  <CharactersWithSpaces>75881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dc:creator>
  <cp:keywords/>
  <dc:description/>
  <cp:lastModifiedBy>KAROLINA</cp:lastModifiedBy>
  <cp:revision>1</cp:revision>
  <dcterms:created xsi:type="dcterms:W3CDTF">2026-10-08T09:58:00Z</dcterms:created>
  <dcterms:modified xsi:type="dcterms:W3CDTF">2026-10-08T09:58:00Z</dcterms:modified>
</cp:coreProperties>
</file>