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E81C3" w14:textId="77777777" w:rsidR="00405025" w:rsidRPr="00B2438D" w:rsidRDefault="00405025" w:rsidP="00405025">
      <w:pPr>
        <w:pStyle w:val="Articletitle"/>
        <w:rPr>
          <w:lang w:val="en-US"/>
        </w:rPr>
      </w:pPr>
      <w:r w:rsidRPr="001B7579">
        <w:rPr>
          <w:lang w:val="en-US"/>
        </w:rPr>
        <w:t>Elementary School Pupils’ Aspirations for Higher Education: The Role of Status Attainment, Blocked Opportunities and School Context</w:t>
      </w:r>
    </w:p>
    <w:p w14:paraId="6B34E4E3" w14:textId="77777777" w:rsidR="00405025" w:rsidRPr="00B2438D" w:rsidRDefault="00405025" w:rsidP="00405025">
      <w:pPr>
        <w:pStyle w:val="Authornames"/>
        <w:rPr>
          <w:lang w:val="en-US"/>
        </w:rPr>
      </w:pPr>
      <w:r w:rsidRPr="00B2438D">
        <w:rPr>
          <w:lang w:val="en-US"/>
        </w:rPr>
        <w:t xml:space="preserve">Josip </w:t>
      </w:r>
      <w:proofErr w:type="spellStart"/>
      <w:r w:rsidRPr="00B2438D">
        <w:rPr>
          <w:lang w:val="en-US"/>
        </w:rPr>
        <w:t>Šabić</w:t>
      </w:r>
      <w:proofErr w:type="spellEnd"/>
      <w:r>
        <w:rPr>
          <w:lang w:val="en-US"/>
        </w:rPr>
        <w:t xml:space="preserve">, Boris </w:t>
      </w:r>
      <w:proofErr w:type="spellStart"/>
      <w:r>
        <w:rPr>
          <w:lang w:val="en-US"/>
        </w:rPr>
        <w:t>Jokić</w:t>
      </w:r>
      <w:proofErr w:type="spellEnd"/>
    </w:p>
    <w:p w14:paraId="673DCA81" w14:textId="77777777" w:rsidR="00405025" w:rsidRPr="00B2438D" w:rsidRDefault="00405025" w:rsidP="00405025">
      <w:pPr>
        <w:pStyle w:val="Affiliation"/>
        <w:rPr>
          <w:lang w:val="en-US"/>
        </w:rPr>
      </w:pPr>
      <w:r w:rsidRPr="00B2438D">
        <w:rPr>
          <w:lang w:val="en-US"/>
        </w:rPr>
        <w:t>Centre for Educational Research and Development, Institute for Social Research in Zagreb, Zagreb, Croatia</w:t>
      </w:r>
    </w:p>
    <w:p w14:paraId="488EA263" w14:textId="77777777" w:rsidR="00405025" w:rsidRPr="00B2438D" w:rsidRDefault="00405025" w:rsidP="00405025">
      <w:pPr>
        <w:pStyle w:val="Correspondencedetails"/>
        <w:rPr>
          <w:lang w:val="en-US"/>
        </w:rPr>
      </w:pPr>
      <w:r w:rsidRPr="00B2438D">
        <w:rPr>
          <w:rFonts w:eastAsia="Calibri"/>
          <w:lang w:val="en-US"/>
        </w:rPr>
        <w:t xml:space="preserve">Corresponding author: Josip </w:t>
      </w:r>
      <w:proofErr w:type="spellStart"/>
      <w:r w:rsidRPr="00B2438D">
        <w:rPr>
          <w:rFonts w:eastAsia="Calibri"/>
          <w:lang w:val="en-US"/>
        </w:rPr>
        <w:t>Šabić</w:t>
      </w:r>
      <w:proofErr w:type="spellEnd"/>
    </w:p>
    <w:p w14:paraId="22F87C8B" w14:textId="77777777" w:rsidR="00405025" w:rsidRPr="00B2438D" w:rsidRDefault="00405025" w:rsidP="00405025">
      <w:pPr>
        <w:pStyle w:val="Correspondencedetails"/>
        <w:rPr>
          <w:lang w:val="en-US"/>
        </w:rPr>
      </w:pPr>
      <w:r w:rsidRPr="00B2438D">
        <w:rPr>
          <w:lang w:val="en-US"/>
        </w:rPr>
        <w:t xml:space="preserve">Address: </w:t>
      </w:r>
      <w:proofErr w:type="spellStart"/>
      <w:r w:rsidRPr="00B2438D">
        <w:rPr>
          <w:lang w:val="en-US"/>
        </w:rPr>
        <w:t>Frankopanska</w:t>
      </w:r>
      <w:proofErr w:type="spellEnd"/>
      <w:r w:rsidRPr="00B2438D">
        <w:rPr>
          <w:lang w:val="en-US"/>
        </w:rPr>
        <w:t xml:space="preserve"> 22, 10 000 Zagreb, Croatia</w:t>
      </w:r>
    </w:p>
    <w:p w14:paraId="31CEAC66" w14:textId="77777777" w:rsidR="00405025" w:rsidRPr="00B2438D" w:rsidRDefault="00405025" w:rsidP="00405025">
      <w:pPr>
        <w:pStyle w:val="Correspondencedetails"/>
        <w:rPr>
          <w:lang w:val="en-US"/>
        </w:rPr>
      </w:pPr>
      <w:r w:rsidRPr="00B2438D">
        <w:rPr>
          <w:lang w:val="en-US"/>
        </w:rPr>
        <w:t>Telephone: +385 (0)1 4883-551</w:t>
      </w:r>
    </w:p>
    <w:p w14:paraId="60B89EF8" w14:textId="77777777" w:rsidR="00405025" w:rsidRPr="00B2438D" w:rsidRDefault="00405025" w:rsidP="00405025">
      <w:pPr>
        <w:pStyle w:val="Correspondencedetails"/>
        <w:rPr>
          <w:lang w:val="en-US"/>
        </w:rPr>
      </w:pPr>
      <w:r w:rsidRPr="00B2438D">
        <w:rPr>
          <w:lang w:val="en-US"/>
        </w:rPr>
        <w:t>Fax: +385 (0)1 4810-263</w:t>
      </w:r>
    </w:p>
    <w:p w14:paraId="25B768BC" w14:textId="77777777" w:rsidR="00405025" w:rsidRDefault="00405025" w:rsidP="00405025">
      <w:pPr>
        <w:pStyle w:val="Correspondencedetails"/>
        <w:rPr>
          <w:lang w:val="en-US"/>
        </w:rPr>
      </w:pPr>
      <w:r w:rsidRPr="00B2438D">
        <w:rPr>
          <w:lang w:val="en-US"/>
        </w:rPr>
        <w:t xml:space="preserve">E-mail: </w:t>
      </w:r>
      <w:r w:rsidRPr="00782779">
        <w:rPr>
          <w:lang w:val="en-US"/>
        </w:rPr>
        <w:t>josip@idi.hr</w:t>
      </w:r>
    </w:p>
    <w:p w14:paraId="2A36F7FA" w14:textId="2CBD0206" w:rsidR="00405025" w:rsidRDefault="00405025" w:rsidP="0012527E">
      <w:pPr>
        <w:pStyle w:val="Articletitle"/>
      </w:pPr>
    </w:p>
    <w:p w14:paraId="6A037DEA" w14:textId="23025CC4" w:rsidR="00405025" w:rsidRDefault="00405025" w:rsidP="00405025">
      <w:pPr>
        <w:rPr>
          <w:lang w:val="en-GB" w:eastAsia="en-GB"/>
        </w:rPr>
      </w:pPr>
    </w:p>
    <w:p w14:paraId="2CAD8E1E" w14:textId="1931D03F" w:rsidR="00405025" w:rsidRDefault="00405025" w:rsidP="00405025">
      <w:pPr>
        <w:rPr>
          <w:lang w:val="en-GB" w:eastAsia="en-GB"/>
        </w:rPr>
      </w:pPr>
    </w:p>
    <w:p w14:paraId="270EAEF8" w14:textId="795B2EC4" w:rsidR="00405025" w:rsidRDefault="00405025" w:rsidP="00405025">
      <w:pPr>
        <w:rPr>
          <w:lang w:val="en-GB" w:eastAsia="en-GB"/>
        </w:rPr>
      </w:pPr>
    </w:p>
    <w:p w14:paraId="3A1E0AC4" w14:textId="2D8FDAE5" w:rsidR="00405025" w:rsidRDefault="00405025" w:rsidP="00405025">
      <w:pPr>
        <w:rPr>
          <w:lang w:val="en-GB" w:eastAsia="en-GB"/>
        </w:rPr>
      </w:pPr>
    </w:p>
    <w:p w14:paraId="42E36BA3" w14:textId="290D9036" w:rsidR="00A51CDC" w:rsidRPr="00012F95" w:rsidRDefault="00012F95" w:rsidP="00405025">
      <w:pPr>
        <w:rPr>
          <w:rStyle w:val="Emphasis"/>
          <w:rFonts w:ascii="Times New Roman" w:hAnsi="Times New Roman" w:cs="Times New Roman"/>
          <w:i w:val="0"/>
          <w:sz w:val="24"/>
          <w:szCs w:val="24"/>
        </w:rPr>
      </w:pPr>
      <w:proofErr w:type="spellStart"/>
      <w:r w:rsidRPr="00012F95">
        <w:rPr>
          <w:rStyle w:val="Emphasis"/>
          <w:rFonts w:ascii="Times New Roman" w:hAnsi="Times New Roman" w:cs="Times New Roman"/>
          <w:i w:val="0"/>
          <w:sz w:val="24"/>
          <w:szCs w:val="24"/>
        </w:rPr>
        <w:t>This</w:t>
      </w:r>
      <w:proofErr w:type="spellEnd"/>
      <w:r w:rsidRPr="00012F95">
        <w:rPr>
          <w:rStyle w:val="Emphasis"/>
          <w:rFonts w:ascii="Times New Roman" w:hAnsi="Times New Roman" w:cs="Times New Roman"/>
          <w:i w:val="0"/>
          <w:sz w:val="24"/>
          <w:szCs w:val="24"/>
        </w:rPr>
        <w:t xml:space="preserve"> </w:t>
      </w:r>
      <w:proofErr w:type="spellStart"/>
      <w:r w:rsidRPr="00012F95">
        <w:rPr>
          <w:rStyle w:val="Emphasis"/>
          <w:rFonts w:ascii="Times New Roman" w:hAnsi="Times New Roman" w:cs="Times New Roman"/>
          <w:i w:val="0"/>
          <w:sz w:val="24"/>
          <w:szCs w:val="24"/>
        </w:rPr>
        <w:t>is</w:t>
      </w:r>
      <w:proofErr w:type="spellEnd"/>
      <w:r w:rsidRPr="00012F95">
        <w:rPr>
          <w:rStyle w:val="Emphasis"/>
          <w:rFonts w:ascii="Times New Roman" w:hAnsi="Times New Roman" w:cs="Times New Roman"/>
          <w:i w:val="0"/>
          <w:sz w:val="24"/>
          <w:szCs w:val="24"/>
        </w:rPr>
        <w:t xml:space="preserve"> </w:t>
      </w:r>
      <w:proofErr w:type="spellStart"/>
      <w:r w:rsidRPr="00012F95">
        <w:rPr>
          <w:rStyle w:val="Emphasis"/>
          <w:rFonts w:ascii="Times New Roman" w:hAnsi="Times New Roman" w:cs="Times New Roman"/>
          <w:i w:val="0"/>
          <w:sz w:val="24"/>
          <w:szCs w:val="24"/>
        </w:rPr>
        <w:t>an</w:t>
      </w:r>
      <w:proofErr w:type="spellEnd"/>
      <w:r w:rsidRPr="00012F95">
        <w:rPr>
          <w:rStyle w:val="Emphasis"/>
          <w:rFonts w:ascii="Times New Roman" w:hAnsi="Times New Roman" w:cs="Times New Roman"/>
          <w:i w:val="0"/>
          <w:sz w:val="24"/>
          <w:szCs w:val="24"/>
        </w:rPr>
        <w:t xml:space="preserve"> </w:t>
      </w:r>
      <w:proofErr w:type="spellStart"/>
      <w:r w:rsidRPr="00012F95">
        <w:rPr>
          <w:rStyle w:val="Emphasis"/>
          <w:rFonts w:ascii="Times New Roman" w:hAnsi="Times New Roman" w:cs="Times New Roman"/>
          <w:i w:val="0"/>
          <w:sz w:val="24"/>
          <w:szCs w:val="24"/>
        </w:rPr>
        <w:t>Accepted</w:t>
      </w:r>
      <w:proofErr w:type="spellEnd"/>
      <w:r w:rsidRPr="00012F95">
        <w:rPr>
          <w:rStyle w:val="Emphasis"/>
          <w:rFonts w:ascii="Times New Roman" w:hAnsi="Times New Roman" w:cs="Times New Roman"/>
          <w:i w:val="0"/>
          <w:sz w:val="24"/>
          <w:szCs w:val="24"/>
        </w:rPr>
        <w:t xml:space="preserve"> </w:t>
      </w:r>
      <w:proofErr w:type="spellStart"/>
      <w:r w:rsidRPr="00012F95">
        <w:rPr>
          <w:rStyle w:val="Emphasis"/>
          <w:rFonts w:ascii="Times New Roman" w:hAnsi="Times New Roman" w:cs="Times New Roman"/>
          <w:i w:val="0"/>
          <w:sz w:val="24"/>
          <w:szCs w:val="24"/>
        </w:rPr>
        <w:t>Manuscript</w:t>
      </w:r>
      <w:proofErr w:type="spellEnd"/>
      <w:r w:rsidRPr="00012F95">
        <w:rPr>
          <w:rStyle w:val="Emphasis"/>
          <w:rFonts w:ascii="Times New Roman" w:hAnsi="Times New Roman" w:cs="Times New Roman"/>
          <w:i w:val="0"/>
          <w:sz w:val="24"/>
          <w:szCs w:val="24"/>
        </w:rPr>
        <w:t xml:space="preserve"> </w:t>
      </w:r>
      <w:proofErr w:type="spellStart"/>
      <w:r w:rsidRPr="00012F95">
        <w:rPr>
          <w:rStyle w:val="Emphasis"/>
          <w:rFonts w:ascii="Times New Roman" w:hAnsi="Times New Roman" w:cs="Times New Roman"/>
          <w:i w:val="0"/>
          <w:sz w:val="24"/>
          <w:szCs w:val="24"/>
        </w:rPr>
        <w:t>of</w:t>
      </w:r>
      <w:proofErr w:type="spellEnd"/>
      <w:r w:rsidRPr="00012F95">
        <w:rPr>
          <w:rStyle w:val="Emphasis"/>
          <w:rFonts w:ascii="Times New Roman" w:hAnsi="Times New Roman" w:cs="Times New Roman"/>
          <w:i w:val="0"/>
          <w:sz w:val="24"/>
          <w:szCs w:val="24"/>
        </w:rPr>
        <w:t xml:space="preserve"> </w:t>
      </w:r>
      <w:proofErr w:type="spellStart"/>
      <w:r w:rsidRPr="00012F95">
        <w:rPr>
          <w:rStyle w:val="Emphasis"/>
          <w:rFonts w:ascii="Times New Roman" w:hAnsi="Times New Roman" w:cs="Times New Roman"/>
          <w:i w:val="0"/>
          <w:sz w:val="24"/>
          <w:szCs w:val="24"/>
        </w:rPr>
        <w:t>an</w:t>
      </w:r>
      <w:proofErr w:type="spellEnd"/>
      <w:r w:rsidRPr="00012F95">
        <w:rPr>
          <w:rStyle w:val="Emphasis"/>
          <w:rFonts w:ascii="Times New Roman" w:hAnsi="Times New Roman" w:cs="Times New Roman"/>
          <w:i w:val="0"/>
          <w:sz w:val="24"/>
          <w:szCs w:val="24"/>
        </w:rPr>
        <w:t xml:space="preserve"> </w:t>
      </w:r>
      <w:proofErr w:type="spellStart"/>
      <w:r w:rsidRPr="00012F95">
        <w:rPr>
          <w:rStyle w:val="Emphasis"/>
          <w:rFonts w:ascii="Times New Roman" w:hAnsi="Times New Roman" w:cs="Times New Roman"/>
          <w:i w:val="0"/>
          <w:sz w:val="24"/>
          <w:szCs w:val="24"/>
        </w:rPr>
        <w:t>article</w:t>
      </w:r>
      <w:proofErr w:type="spellEnd"/>
      <w:r w:rsidRPr="00012F95">
        <w:rPr>
          <w:rStyle w:val="Emphasis"/>
          <w:rFonts w:ascii="Times New Roman" w:hAnsi="Times New Roman" w:cs="Times New Roman"/>
          <w:i w:val="0"/>
          <w:sz w:val="24"/>
          <w:szCs w:val="24"/>
        </w:rPr>
        <w:t xml:space="preserve"> </w:t>
      </w:r>
      <w:proofErr w:type="spellStart"/>
      <w:r w:rsidRPr="00012F95">
        <w:rPr>
          <w:rStyle w:val="Emphasis"/>
          <w:rFonts w:ascii="Times New Roman" w:hAnsi="Times New Roman" w:cs="Times New Roman"/>
          <w:i w:val="0"/>
          <w:sz w:val="24"/>
          <w:szCs w:val="24"/>
        </w:rPr>
        <w:t>published</w:t>
      </w:r>
      <w:proofErr w:type="spellEnd"/>
      <w:r w:rsidRPr="00012F95">
        <w:rPr>
          <w:rStyle w:val="Emphasis"/>
          <w:rFonts w:ascii="Times New Roman" w:hAnsi="Times New Roman" w:cs="Times New Roman"/>
          <w:i w:val="0"/>
          <w:sz w:val="24"/>
          <w:szCs w:val="24"/>
        </w:rPr>
        <w:t xml:space="preserve"> </w:t>
      </w:r>
      <w:proofErr w:type="spellStart"/>
      <w:r w:rsidRPr="00012F95">
        <w:rPr>
          <w:rStyle w:val="Emphasis"/>
          <w:rFonts w:ascii="Times New Roman" w:hAnsi="Times New Roman" w:cs="Times New Roman"/>
          <w:i w:val="0"/>
          <w:sz w:val="24"/>
          <w:szCs w:val="24"/>
        </w:rPr>
        <w:t>by</w:t>
      </w:r>
      <w:proofErr w:type="spellEnd"/>
      <w:r w:rsidRPr="00012F95">
        <w:rPr>
          <w:rStyle w:val="Emphasis"/>
          <w:rFonts w:ascii="Times New Roman" w:hAnsi="Times New Roman" w:cs="Times New Roman"/>
          <w:i w:val="0"/>
          <w:sz w:val="24"/>
          <w:szCs w:val="24"/>
        </w:rPr>
        <w:t xml:space="preserve"> Taylor &amp; Francis </w:t>
      </w:r>
      <w:proofErr w:type="spellStart"/>
      <w:r w:rsidRPr="00012F95">
        <w:rPr>
          <w:rStyle w:val="Emphasis"/>
          <w:rFonts w:ascii="Times New Roman" w:hAnsi="Times New Roman" w:cs="Times New Roman"/>
          <w:i w:val="0"/>
          <w:sz w:val="24"/>
          <w:szCs w:val="24"/>
        </w:rPr>
        <w:t>in</w:t>
      </w:r>
      <w:proofErr w:type="spellEnd"/>
      <w:r w:rsidRPr="00012F95">
        <w:rPr>
          <w:rStyle w:val="Emphasis"/>
          <w:rFonts w:ascii="Times New Roman" w:hAnsi="Times New Roman" w:cs="Times New Roman"/>
          <w:i w:val="0"/>
          <w:sz w:val="24"/>
          <w:szCs w:val="24"/>
        </w:rPr>
        <w:t xml:space="preserve"> </w:t>
      </w:r>
      <w:proofErr w:type="spellStart"/>
      <w:r w:rsidRPr="00012F95">
        <w:rPr>
          <w:rFonts w:ascii="Times New Roman" w:hAnsi="Times New Roman" w:cs="Times New Roman"/>
          <w:iCs/>
          <w:sz w:val="24"/>
          <w:szCs w:val="24"/>
        </w:rPr>
        <w:t>Educational</w:t>
      </w:r>
      <w:proofErr w:type="spellEnd"/>
      <w:r w:rsidRPr="00012F95">
        <w:rPr>
          <w:rFonts w:ascii="Times New Roman" w:hAnsi="Times New Roman" w:cs="Times New Roman"/>
          <w:iCs/>
          <w:sz w:val="24"/>
          <w:szCs w:val="24"/>
        </w:rPr>
        <w:t xml:space="preserve"> </w:t>
      </w:r>
      <w:proofErr w:type="spellStart"/>
      <w:r w:rsidRPr="00012F95">
        <w:rPr>
          <w:rFonts w:ascii="Times New Roman" w:hAnsi="Times New Roman" w:cs="Times New Roman"/>
          <w:iCs/>
          <w:sz w:val="24"/>
          <w:szCs w:val="24"/>
        </w:rPr>
        <w:t>Studies</w:t>
      </w:r>
      <w:proofErr w:type="spellEnd"/>
      <w:r w:rsidRPr="00012F95">
        <w:rPr>
          <w:rStyle w:val="Emphasis"/>
          <w:rFonts w:ascii="Times New Roman" w:hAnsi="Times New Roman" w:cs="Times New Roman"/>
          <w:i w:val="0"/>
          <w:sz w:val="24"/>
          <w:szCs w:val="24"/>
        </w:rPr>
        <w:t xml:space="preserve"> </w:t>
      </w:r>
      <w:r w:rsidRPr="00012F95">
        <w:rPr>
          <w:rStyle w:val="Emphasis"/>
          <w:rFonts w:ascii="Times New Roman" w:hAnsi="Times New Roman" w:cs="Times New Roman"/>
          <w:i w:val="0"/>
          <w:sz w:val="24"/>
          <w:szCs w:val="24"/>
        </w:rPr>
        <w:t xml:space="preserve">on </w:t>
      </w:r>
      <w:r w:rsidRPr="00012F95">
        <w:rPr>
          <w:rFonts w:ascii="Times New Roman" w:hAnsi="Times New Roman" w:cs="Times New Roman"/>
          <w:sz w:val="24"/>
          <w:szCs w:val="24"/>
        </w:rPr>
        <w:t>17 Nov 2019</w:t>
      </w:r>
      <w:r w:rsidRPr="00012F95">
        <w:rPr>
          <w:rStyle w:val="Emphasis"/>
          <w:rFonts w:ascii="Times New Roman" w:hAnsi="Times New Roman" w:cs="Times New Roman"/>
          <w:i w:val="0"/>
          <w:sz w:val="24"/>
          <w:szCs w:val="24"/>
        </w:rPr>
        <w:t xml:space="preserve">, </w:t>
      </w:r>
      <w:proofErr w:type="spellStart"/>
      <w:r w:rsidRPr="00012F95">
        <w:rPr>
          <w:rStyle w:val="Emphasis"/>
          <w:rFonts w:ascii="Times New Roman" w:hAnsi="Times New Roman" w:cs="Times New Roman"/>
          <w:i w:val="0"/>
          <w:sz w:val="24"/>
          <w:szCs w:val="24"/>
        </w:rPr>
        <w:t>available</w:t>
      </w:r>
      <w:proofErr w:type="spellEnd"/>
      <w:r w:rsidRPr="00012F95">
        <w:rPr>
          <w:rStyle w:val="Emphasis"/>
          <w:rFonts w:ascii="Times New Roman" w:hAnsi="Times New Roman" w:cs="Times New Roman"/>
          <w:i w:val="0"/>
          <w:sz w:val="24"/>
          <w:szCs w:val="24"/>
        </w:rPr>
        <w:t xml:space="preserve"> at: </w:t>
      </w:r>
      <w:hyperlink r:id="rId8" w:history="1">
        <w:r w:rsidRPr="00012F95">
          <w:rPr>
            <w:rStyle w:val="Hyperlink"/>
            <w:rFonts w:ascii="Times New Roman" w:hAnsi="Times New Roman" w:cs="Times New Roman"/>
            <w:sz w:val="24"/>
            <w:szCs w:val="24"/>
          </w:rPr>
          <w:t>https://doi.org/10.1080/03055698.2019.1681941</w:t>
        </w:r>
      </w:hyperlink>
    </w:p>
    <w:p w14:paraId="1F4E4CB3" w14:textId="77777777" w:rsidR="00012F95" w:rsidRPr="00012F95" w:rsidRDefault="00012F95" w:rsidP="00405025">
      <w:pPr>
        <w:rPr>
          <w:rFonts w:ascii="Times New Roman" w:hAnsi="Times New Roman" w:cs="Times New Roman"/>
          <w:lang w:val="en-GB" w:eastAsia="en-GB"/>
        </w:rPr>
      </w:pPr>
    </w:p>
    <w:p w14:paraId="224F17EE" w14:textId="77777777" w:rsidR="00A51CDC" w:rsidRDefault="00A51CDC" w:rsidP="00405025">
      <w:pPr>
        <w:rPr>
          <w:lang w:val="en-GB" w:eastAsia="en-GB"/>
        </w:rPr>
      </w:pPr>
    </w:p>
    <w:p w14:paraId="24957A6A" w14:textId="1585F7F2" w:rsidR="00405025" w:rsidRDefault="00405025" w:rsidP="00405025">
      <w:pPr>
        <w:rPr>
          <w:lang w:val="en-GB" w:eastAsia="en-GB"/>
        </w:rPr>
      </w:pPr>
    </w:p>
    <w:p w14:paraId="4F85C4AC" w14:textId="59D6D871" w:rsidR="00405025" w:rsidRDefault="00405025" w:rsidP="00405025">
      <w:pPr>
        <w:rPr>
          <w:lang w:val="en-GB" w:eastAsia="en-GB"/>
        </w:rPr>
      </w:pPr>
    </w:p>
    <w:p w14:paraId="223A5EB7" w14:textId="34504908" w:rsidR="00405025" w:rsidRDefault="00405025" w:rsidP="00405025">
      <w:pPr>
        <w:rPr>
          <w:lang w:val="en-GB" w:eastAsia="en-GB"/>
        </w:rPr>
      </w:pPr>
    </w:p>
    <w:p w14:paraId="070E7461" w14:textId="509350C1" w:rsidR="00405025" w:rsidRDefault="00405025" w:rsidP="00405025">
      <w:pPr>
        <w:rPr>
          <w:lang w:val="en-GB" w:eastAsia="en-GB"/>
        </w:rPr>
      </w:pPr>
    </w:p>
    <w:p w14:paraId="3E8DD9B3" w14:textId="62E57CD8" w:rsidR="00405025" w:rsidRDefault="00405025" w:rsidP="00405025">
      <w:pPr>
        <w:rPr>
          <w:lang w:val="en-GB" w:eastAsia="en-GB"/>
        </w:rPr>
      </w:pPr>
      <w:bookmarkStart w:id="0" w:name="_GoBack"/>
      <w:bookmarkEnd w:id="0"/>
    </w:p>
    <w:p w14:paraId="18F35BFD" w14:textId="4B1CB381" w:rsidR="00405025" w:rsidRDefault="00405025" w:rsidP="00405025">
      <w:pPr>
        <w:rPr>
          <w:lang w:val="en-GB" w:eastAsia="en-GB"/>
        </w:rPr>
      </w:pPr>
    </w:p>
    <w:p w14:paraId="271F375A" w14:textId="77777777" w:rsidR="00405025" w:rsidRPr="00405025" w:rsidRDefault="00405025" w:rsidP="00405025">
      <w:pPr>
        <w:rPr>
          <w:lang w:val="en-GB" w:eastAsia="en-GB"/>
        </w:rPr>
      </w:pPr>
    </w:p>
    <w:p w14:paraId="74889E51" w14:textId="77777777" w:rsidR="00405025" w:rsidRDefault="00405025" w:rsidP="0012527E">
      <w:pPr>
        <w:pStyle w:val="Articletitle"/>
      </w:pPr>
    </w:p>
    <w:p w14:paraId="6C227F4F" w14:textId="19D3FC74" w:rsidR="00F8163D" w:rsidRPr="0012527E" w:rsidRDefault="00336588" w:rsidP="0012527E">
      <w:pPr>
        <w:pStyle w:val="Articletitle"/>
      </w:pPr>
      <w:r w:rsidRPr="0012527E">
        <w:t>Elementary</w:t>
      </w:r>
      <w:r w:rsidR="00F8163D" w:rsidRPr="0012527E">
        <w:t xml:space="preserve"> School Pupils’ Aspirations for Higher Education: The Role of Status Attainment, Blocked Opportunities and School Context</w:t>
      </w:r>
    </w:p>
    <w:p w14:paraId="60979F29" w14:textId="3B11CF7F" w:rsidR="007C331D" w:rsidRPr="0012527E" w:rsidRDefault="007C331D" w:rsidP="0012527E">
      <w:pPr>
        <w:pStyle w:val="Abstract"/>
      </w:pPr>
      <w:r w:rsidRPr="0012527E">
        <w:t xml:space="preserve">This paper discusses the contributions of variables commonly used within the status attainment and blocked opportunities models in addition to school context variables in predicting pupils’ aspirations for higher education prior to the transition to differentiated upper secondary education in Croatia (14-15 years). The findings, arising from a longitudinal design, indicate that the school context does not contribute to the explanation of pupils’ aspirations for higher education. In contrast, gender, parental educational aspirations for their child, maternal academic support, </w:t>
      </w:r>
      <w:proofErr w:type="gramStart"/>
      <w:r w:rsidRPr="0012527E">
        <w:t>the</w:t>
      </w:r>
      <w:proofErr w:type="gramEnd"/>
      <w:r w:rsidRPr="0012527E">
        <w:t xml:space="preserve"> pupil’s possession of a work desk, pupil grades and school satisfaction </w:t>
      </w:r>
      <w:r w:rsidR="00024E89">
        <w:t>predict</w:t>
      </w:r>
      <w:r w:rsidRPr="0012527E">
        <w:t xml:space="preserve"> aspirations. Arguably, pupils who attend different schools but have similar individual characteristics will likely have similar aspirations for higher education.</w:t>
      </w:r>
    </w:p>
    <w:p w14:paraId="162EF926" w14:textId="6419384B" w:rsidR="00F8163D" w:rsidRPr="0012527E" w:rsidRDefault="00F8163D" w:rsidP="0012527E">
      <w:pPr>
        <w:pStyle w:val="Keywords"/>
      </w:pPr>
      <w:r w:rsidRPr="0012527E">
        <w:t>Keywords:</w:t>
      </w:r>
      <w:r w:rsidR="000C770D" w:rsidRPr="0012527E">
        <w:t xml:space="preserve"> blocked opportunities; educational aspirations;</w:t>
      </w:r>
      <w:r w:rsidRPr="0012527E">
        <w:t xml:space="preserve"> multilev</w:t>
      </w:r>
      <w:r w:rsidR="000C770D" w:rsidRPr="0012527E">
        <w:t xml:space="preserve">el ordinal logistic regression; </w:t>
      </w:r>
      <w:r w:rsidR="00336588" w:rsidRPr="0012527E">
        <w:t>elementary</w:t>
      </w:r>
      <w:r w:rsidR="000C770D" w:rsidRPr="0012527E">
        <w:t xml:space="preserve"> school; school context;</w:t>
      </w:r>
      <w:r w:rsidRPr="0012527E">
        <w:t xml:space="preserve"> status attainment</w:t>
      </w:r>
    </w:p>
    <w:p w14:paraId="2318E140" w14:textId="77777777" w:rsidR="00F8163D" w:rsidRPr="00173F61" w:rsidRDefault="00F8163D" w:rsidP="003F755E">
      <w:pPr>
        <w:spacing w:after="0" w:line="480" w:lineRule="auto"/>
        <w:jc w:val="both"/>
        <w:rPr>
          <w:rFonts w:asciiTheme="majorBidi" w:hAnsiTheme="majorBidi" w:cstheme="majorBidi"/>
          <w:sz w:val="24"/>
          <w:szCs w:val="24"/>
          <w:lang w:val="en-GB"/>
        </w:rPr>
      </w:pPr>
    </w:p>
    <w:p w14:paraId="10CB8F3D" w14:textId="77777777" w:rsidR="00952FA5" w:rsidRPr="00173F61" w:rsidRDefault="00952FA5" w:rsidP="003F755E">
      <w:pPr>
        <w:spacing w:after="0" w:line="480" w:lineRule="auto"/>
        <w:jc w:val="both"/>
        <w:rPr>
          <w:rFonts w:asciiTheme="majorBidi" w:hAnsiTheme="majorBidi" w:cstheme="majorBidi"/>
          <w:sz w:val="24"/>
          <w:szCs w:val="24"/>
          <w:lang w:val="en-GB"/>
        </w:rPr>
      </w:pPr>
    </w:p>
    <w:p w14:paraId="47E10D4C" w14:textId="77777777" w:rsidR="003548A6" w:rsidRPr="00173F61" w:rsidRDefault="003548A6" w:rsidP="003F755E">
      <w:pPr>
        <w:spacing w:after="0" w:line="480" w:lineRule="auto"/>
        <w:jc w:val="both"/>
        <w:rPr>
          <w:rFonts w:asciiTheme="majorBidi" w:hAnsiTheme="majorBidi" w:cstheme="majorBidi"/>
          <w:sz w:val="24"/>
          <w:szCs w:val="24"/>
          <w:lang w:val="en-GB"/>
        </w:rPr>
      </w:pPr>
    </w:p>
    <w:p w14:paraId="3CB85693" w14:textId="77777777" w:rsidR="00245D94" w:rsidRPr="00173F61" w:rsidRDefault="00245D94" w:rsidP="003F755E">
      <w:pPr>
        <w:spacing w:after="0" w:line="480" w:lineRule="auto"/>
        <w:jc w:val="both"/>
        <w:rPr>
          <w:rFonts w:asciiTheme="majorBidi" w:hAnsiTheme="majorBidi" w:cstheme="majorBidi"/>
          <w:sz w:val="24"/>
          <w:szCs w:val="24"/>
          <w:lang w:val="en-GB"/>
        </w:rPr>
      </w:pPr>
    </w:p>
    <w:p w14:paraId="621132B0" w14:textId="77777777" w:rsidR="00DC5356" w:rsidRDefault="00DC5356" w:rsidP="003F755E">
      <w:pPr>
        <w:spacing w:after="0" w:line="480" w:lineRule="auto"/>
        <w:jc w:val="both"/>
        <w:rPr>
          <w:rFonts w:asciiTheme="majorBidi" w:hAnsiTheme="majorBidi" w:cstheme="majorBidi"/>
          <w:sz w:val="24"/>
          <w:szCs w:val="24"/>
          <w:lang w:val="en-GB"/>
        </w:rPr>
      </w:pPr>
    </w:p>
    <w:p w14:paraId="4E2341CA" w14:textId="77777777" w:rsidR="004C08CD" w:rsidRDefault="004C08CD" w:rsidP="003F755E">
      <w:pPr>
        <w:spacing w:after="0" w:line="480" w:lineRule="auto"/>
        <w:jc w:val="both"/>
        <w:rPr>
          <w:rFonts w:asciiTheme="majorBidi" w:hAnsiTheme="majorBidi" w:cstheme="majorBidi"/>
          <w:sz w:val="24"/>
          <w:szCs w:val="24"/>
          <w:lang w:val="en-GB"/>
        </w:rPr>
      </w:pPr>
    </w:p>
    <w:p w14:paraId="399FCD3B" w14:textId="77777777" w:rsidR="004C08CD" w:rsidRDefault="004C08CD" w:rsidP="003F755E">
      <w:pPr>
        <w:spacing w:after="0" w:line="480" w:lineRule="auto"/>
        <w:jc w:val="both"/>
        <w:rPr>
          <w:rFonts w:asciiTheme="majorBidi" w:hAnsiTheme="majorBidi" w:cstheme="majorBidi"/>
          <w:sz w:val="24"/>
          <w:szCs w:val="24"/>
          <w:lang w:val="en-GB"/>
        </w:rPr>
      </w:pPr>
    </w:p>
    <w:p w14:paraId="42912B06" w14:textId="77777777" w:rsidR="004C08CD" w:rsidRDefault="004C08CD" w:rsidP="003F755E">
      <w:pPr>
        <w:spacing w:after="0" w:line="480" w:lineRule="auto"/>
        <w:jc w:val="both"/>
        <w:rPr>
          <w:rFonts w:asciiTheme="majorBidi" w:hAnsiTheme="majorBidi" w:cstheme="majorBidi"/>
          <w:sz w:val="24"/>
          <w:szCs w:val="24"/>
          <w:lang w:val="en-GB"/>
        </w:rPr>
      </w:pPr>
    </w:p>
    <w:p w14:paraId="562C4FCF" w14:textId="77777777" w:rsidR="004C08CD" w:rsidRDefault="004C08CD" w:rsidP="003F755E">
      <w:pPr>
        <w:spacing w:after="0" w:line="480" w:lineRule="auto"/>
        <w:jc w:val="both"/>
        <w:rPr>
          <w:rFonts w:asciiTheme="majorBidi" w:hAnsiTheme="majorBidi" w:cstheme="majorBidi"/>
          <w:sz w:val="24"/>
          <w:szCs w:val="24"/>
          <w:lang w:val="en-GB"/>
        </w:rPr>
      </w:pPr>
    </w:p>
    <w:p w14:paraId="7CFE8EBD" w14:textId="77777777" w:rsidR="004C08CD" w:rsidRPr="00173F61" w:rsidRDefault="004C08CD" w:rsidP="003F755E">
      <w:pPr>
        <w:spacing w:after="0" w:line="480" w:lineRule="auto"/>
        <w:jc w:val="both"/>
        <w:rPr>
          <w:rFonts w:asciiTheme="majorBidi" w:hAnsiTheme="majorBidi" w:cstheme="majorBidi"/>
          <w:sz w:val="24"/>
          <w:szCs w:val="24"/>
          <w:lang w:val="en-GB"/>
        </w:rPr>
      </w:pPr>
    </w:p>
    <w:p w14:paraId="6ED834CD" w14:textId="77777777" w:rsidR="00D94D0A" w:rsidRPr="00173F61" w:rsidRDefault="00D94D0A" w:rsidP="003F755E">
      <w:pPr>
        <w:spacing w:after="0" w:line="480" w:lineRule="auto"/>
        <w:jc w:val="both"/>
        <w:rPr>
          <w:rFonts w:asciiTheme="majorBidi" w:hAnsiTheme="majorBidi" w:cstheme="majorBidi"/>
          <w:sz w:val="24"/>
          <w:szCs w:val="24"/>
          <w:lang w:val="en-GB"/>
        </w:rPr>
      </w:pPr>
    </w:p>
    <w:p w14:paraId="57081F29" w14:textId="77777777" w:rsidR="00952FA5" w:rsidRPr="00173F61" w:rsidRDefault="00952FA5" w:rsidP="003F755E">
      <w:pPr>
        <w:spacing w:after="0" w:line="480" w:lineRule="auto"/>
        <w:jc w:val="both"/>
        <w:rPr>
          <w:rFonts w:asciiTheme="majorBidi" w:hAnsiTheme="majorBidi" w:cstheme="majorBidi"/>
          <w:sz w:val="24"/>
          <w:szCs w:val="24"/>
          <w:lang w:val="en-GB"/>
        </w:rPr>
      </w:pPr>
    </w:p>
    <w:p w14:paraId="78ACF604" w14:textId="77777777" w:rsidR="002D4D4C" w:rsidRPr="00173F61" w:rsidRDefault="002D4D4C" w:rsidP="003F755E">
      <w:pPr>
        <w:spacing w:after="0" w:line="480" w:lineRule="auto"/>
        <w:jc w:val="both"/>
        <w:rPr>
          <w:rFonts w:asciiTheme="majorBidi" w:hAnsiTheme="majorBidi" w:cstheme="majorBidi"/>
          <w:sz w:val="24"/>
          <w:szCs w:val="24"/>
          <w:lang w:val="en-GB"/>
        </w:rPr>
      </w:pPr>
    </w:p>
    <w:p w14:paraId="339DECA5" w14:textId="4D89C056" w:rsidR="00F8163D" w:rsidRPr="004C08CD" w:rsidRDefault="00F8163D" w:rsidP="004C08CD">
      <w:pPr>
        <w:pStyle w:val="Heading1"/>
      </w:pPr>
      <w:r w:rsidRPr="004C08CD">
        <w:lastRenderedPageBreak/>
        <w:t>Introduction</w:t>
      </w:r>
    </w:p>
    <w:p w14:paraId="56B2AE4C" w14:textId="08F0D2EF" w:rsidR="009E73E3" w:rsidRPr="00173F61" w:rsidRDefault="00084250" w:rsidP="004C08CD">
      <w:pPr>
        <w:pStyle w:val="Paragraph"/>
        <w:rPr>
          <w:rFonts w:asciiTheme="majorBidi" w:hAnsiTheme="majorBidi" w:cstheme="majorBidi"/>
        </w:rPr>
      </w:pPr>
      <w:r w:rsidRPr="00173F61">
        <w:rPr>
          <w:rFonts w:asciiTheme="majorBidi" w:hAnsiTheme="majorBidi" w:cstheme="majorBidi"/>
        </w:rPr>
        <w:t>The results of r</w:t>
      </w:r>
      <w:r w:rsidR="009E73E3" w:rsidRPr="00173F61">
        <w:rPr>
          <w:rFonts w:asciiTheme="majorBidi" w:hAnsiTheme="majorBidi" w:cstheme="majorBidi"/>
        </w:rPr>
        <w:t xml:space="preserve">esearch </w:t>
      </w:r>
      <w:r w:rsidRPr="00173F61">
        <w:rPr>
          <w:rFonts w:asciiTheme="majorBidi" w:hAnsiTheme="majorBidi" w:cstheme="majorBidi"/>
        </w:rPr>
        <w:t>from a number of</w:t>
      </w:r>
      <w:r w:rsidR="009330CC" w:rsidRPr="00173F61">
        <w:rPr>
          <w:rFonts w:asciiTheme="majorBidi" w:hAnsiTheme="majorBidi" w:cstheme="majorBidi"/>
        </w:rPr>
        <w:t xml:space="preserve"> countries indicate that</w:t>
      </w:r>
      <w:r w:rsidRPr="00173F61">
        <w:rPr>
          <w:rFonts w:asciiTheme="majorBidi" w:hAnsiTheme="majorBidi" w:cstheme="majorBidi"/>
        </w:rPr>
        <w:t xml:space="preserve"> the</w:t>
      </w:r>
      <w:r w:rsidR="009330CC" w:rsidRPr="00173F61">
        <w:rPr>
          <w:rFonts w:asciiTheme="majorBidi" w:hAnsiTheme="majorBidi" w:cstheme="majorBidi"/>
        </w:rPr>
        <w:t xml:space="preserve"> educational aspirations of young people determine their educational, professional and general life choices and outcomes. Young people who </w:t>
      </w:r>
      <w:r w:rsidRPr="00173F61">
        <w:rPr>
          <w:rFonts w:asciiTheme="majorBidi" w:hAnsiTheme="majorBidi" w:cstheme="majorBidi"/>
        </w:rPr>
        <w:t>hold</w:t>
      </w:r>
      <w:r w:rsidR="009E73E3" w:rsidRPr="00173F61">
        <w:rPr>
          <w:rFonts w:asciiTheme="majorBidi" w:hAnsiTheme="majorBidi" w:cstheme="majorBidi"/>
        </w:rPr>
        <w:t xml:space="preserve"> higher educational aspirations </w:t>
      </w:r>
      <w:r w:rsidR="009330CC" w:rsidRPr="00173F61">
        <w:rPr>
          <w:rFonts w:asciiTheme="majorBidi" w:hAnsiTheme="majorBidi" w:cstheme="majorBidi"/>
        </w:rPr>
        <w:t xml:space="preserve">tend to </w:t>
      </w:r>
      <w:r w:rsidRPr="00173F61">
        <w:rPr>
          <w:rFonts w:asciiTheme="majorBidi" w:hAnsiTheme="majorBidi" w:cstheme="majorBidi"/>
        </w:rPr>
        <w:t>demonstrate</w:t>
      </w:r>
      <w:r w:rsidR="009E73E3" w:rsidRPr="00173F61">
        <w:rPr>
          <w:rFonts w:asciiTheme="majorBidi" w:hAnsiTheme="majorBidi" w:cstheme="majorBidi"/>
        </w:rPr>
        <w:t xml:space="preserve"> greater motivation and higher educational attainment, as do those</w:t>
      </w:r>
      <w:r w:rsidR="009330CC" w:rsidRPr="00173F61">
        <w:rPr>
          <w:rFonts w:asciiTheme="majorBidi" w:hAnsiTheme="majorBidi" w:cstheme="majorBidi"/>
        </w:rPr>
        <w:t xml:space="preserve"> </w:t>
      </w:r>
      <w:r w:rsidRPr="00173F61">
        <w:rPr>
          <w:rFonts w:asciiTheme="majorBidi" w:hAnsiTheme="majorBidi" w:cstheme="majorBidi"/>
        </w:rPr>
        <w:t>whose parents and teachers express</w:t>
      </w:r>
      <w:r w:rsidR="009330CC" w:rsidRPr="00173F61">
        <w:rPr>
          <w:rFonts w:asciiTheme="majorBidi" w:hAnsiTheme="majorBidi" w:cstheme="majorBidi"/>
        </w:rPr>
        <w:t xml:space="preserve"> higher educational aspirations </w:t>
      </w:r>
      <w:r w:rsidR="009E73E3" w:rsidRPr="00173F61">
        <w:rPr>
          <w:rFonts w:asciiTheme="majorBidi" w:hAnsiTheme="majorBidi" w:cstheme="majorBidi"/>
        </w:rPr>
        <w:t>(</w:t>
      </w:r>
      <w:proofErr w:type="spellStart"/>
      <w:r w:rsidR="009E73E3" w:rsidRPr="00173F61">
        <w:rPr>
          <w:rFonts w:asciiTheme="majorBidi" w:hAnsiTheme="majorBidi" w:cstheme="majorBidi"/>
        </w:rPr>
        <w:t>Gorard</w:t>
      </w:r>
      <w:proofErr w:type="spellEnd"/>
      <w:r w:rsidR="009E73E3" w:rsidRPr="00173F61">
        <w:rPr>
          <w:rFonts w:asciiTheme="majorBidi" w:hAnsiTheme="majorBidi" w:cstheme="majorBidi"/>
        </w:rPr>
        <w:t>, See</w:t>
      </w:r>
      <w:r w:rsidR="00554F7F">
        <w:rPr>
          <w:rFonts w:asciiTheme="majorBidi" w:hAnsiTheme="majorBidi" w:cstheme="majorBidi"/>
        </w:rPr>
        <w:t>,</w:t>
      </w:r>
      <w:r w:rsidR="009E73E3" w:rsidRPr="00173F61">
        <w:rPr>
          <w:rFonts w:asciiTheme="majorBidi" w:hAnsiTheme="majorBidi" w:cstheme="majorBidi"/>
        </w:rPr>
        <w:t xml:space="preserve"> </w:t>
      </w:r>
      <w:r w:rsidR="00554F7F">
        <w:rPr>
          <w:rFonts w:asciiTheme="majorBidi" w:hAnsiTheme="majorBidi" w:cstheme="majorBidi"/>
        </w:rPr>
        <w:t>and</w:t>
      </w:r>
      <w:r w:rsidR="009E73E3" w:rsidRPr="00173F61">
        <w:rPr>
          <w:rFonts w:asciiTheme="majorBidi" w:hAnsiTheme="majorBidi" w:cstheme="majorBidi"/>
        </w:rPr>
        <w:t xml:space="preserve"> Davies 2012</w:t>
      </w:r>
      <w:r w:rsidR="00BC2B2F" w:rsidRPr="00173F61">
        <w:rPr>
          <w:rFonts w:asciiTheme="majorBidi" w:hAnsiTheme="majorBidi" w:cstheme="majorBidi"/>
        </w:rPr>
        <w:t xml:space="preserve">; </w:t>
      </w:r>
      <w:proofErr w:type="spellStart"/>
      <w:r w:rsidR="00BC2B2F" w:rsidRPr="00173F61">
        <w:rPr>
          <w:rFonts w:asciiTheme="majorBidi" w:hAnsiTheme="majorBidi" w:cstheme="majorBidi"/>
        </w:rPr>
        <w:t>Gutman</w:t>
      </w:r>
      <w:proofErr w:type="spellEnd"/>
      <w:r w:rsidR="00BC2B2F" w:rsidRPr="00173F61">
        <w:rPr>
          <w:rFonts w:asciiTheme="majorBidi" w:hAnsiTheme="majorBidi" w:cstheme="majorBidi"/>
        </w:rPr>
        <w:t xml:space="preserve"> </w:t>
      </w:r>
      <w:r w:rsidR="00554F7F">
        <w:rPr>
          <w:rFonts w:asciiTheme="majorBidi" w:hAnsiTheme="majorBidi" w:cstheme="majorBidi"/>
        </w:rPr>
        <w:t>and</w:t>
      </w:r>
      <w:r w:rsidR="00BC2B2F" w:rsidRPr="00173F61">
        <w:rPr>
          <w:rFonts w:asciiTheme="majorBidi" w:hAnsiTheme="majorBidi" w:cstheme="majorBidi"/>
        </w:rPr>
        <w:t xml:space="preserve"> </w:t>
      </w:r>
      <w:proofErr w:type="spellStart"/>
      <w:r w:rsidR="00BC2B2F" w:rsidRPr="00173F61">
        <w:rPr>
          <w:rFonts w:asciiTheme="majorBidi" w:hAnsiTheme="majorBidi" w:cstheme="majorBidi"/>
        </w:rPr>
        <w:t>Akerman</w:t>
      </w:r>
      <w:proofErr w:type="spellEnd"/>
      <w:r w:rsidR="00BC2B2F" w:rsidRPr="00173F61">
        <w:rPr>
          <w:rFonts w:asciiTheme="majorBidi" w:hAnsiTheme="majorBidi" w:cstheme="majorBidi"/>
        </w:rPr>
        <w:t xml:space="preserve"> 2008</w:t>
      </w:r>
      <w:r w:rsidR="009E73E3" w:rsidRPr="00173F61">
        <w:rPr>
          <w:rFonts w:asciiTheme="majorBidi" w:hAnsiTheme="majorBidi" w:cstheme="majorBidi"/>
        </w:rPr>
        <w:t>).</w:t>
      </w:r>
      <w:r w:rsidR="003048F0" w:rsidRPr="00173F61">
        <w:rPr>
          <w:rFonts w:asciiTheme="majorBidi" w:hAnsiTheme="majorBidi" w:cstheme="majorBidi"/>
        </w:rPr>
        <w:t xml:space="preserve"> </w:t>
      </w:r>
      <w:r w:rsidR="007E17A0" w:rsidRPr="00173F61">
        <w:rPr>
          <w:rFonts w:asciiTheme="majorBidi" w:hAnsiTheme="majorBidi" w:cstheme="majorBidi"/>
        </w:rPr>
        <w:t>In the present paper, w</w:t>
      </w:r>
      <w:r w:rsidR="009E73E3" w:rsidRPr="00173F61">
        <w:rPr>
          <w:rFonts w:asciiTheme="majorBidi" w:hAnsiTheme="majorBidi" w:cstheme="majorBidi"/>
        </w:rPr>
        <w:t xml:space="preserve">e define educational aspirations </w:t>
      </w:r>
      <w:r w:rsidR="00B70870" w:rsidRPr="00173F61">
        <w:rPr>
          <w:rFonts w:asciiTheme="majorBidi" w:hAnsiTheme="majorBidi" w:cstheme="majorBidi"/>
        </w:rPr>
        <w:t xml:space="preserve">as </w:t>
      </w:r>
      <w:r w:rsidR="009E73E3" w:rsidRPr="00173F61">
        <w:rPr>
          <w:rFonts w:asciiTheme="majorBidi" w:hAnsiTheme="majorBidi" w:cstheme="majorBidi"/>
        </w:rPr>
        <w:t xml:space="preserve">the ambitions and goals pupils and parents hold </w:t>
      </w:r>
      <w:proofErr w:type="gramStart"/>
      <w:r w:rsidR="009E73E3" w:rsidRPr="00173F61">
        <w:rPr>
          <w:rFonts w:asciiTheme="majorBidi" w:hAnsiTheme="majorBidi" w:cstheme="majorBidi"/>
        </w:rPr>
        <w:t>with regards to</w:t>
      </w:r>
      <w:proofErr w:type="gramEnd"/>
      <w:r w:rsidR="009E73E3" w:rsidRPr="00173F61">
        <w:rPr>
          <w:rFonts w:asciiTheme="majorBidi" w:hAnsiTheme="majorBidi" w:cstheme="majorBidi"/>
        </w:rPr>
        <w:t xml:space="preserve"> both immediate and future educational experiences and outcomes.</w:t>
      </w:r>
    </w:p>
    <w:p w14:paraId="4C8C33AF" w14:textId="59E14D28" w:rsidR="00F8163D" w:rsidRPr="00173F61" w:rsidRDefault="00303431" w:rsidP="004C08CD">
      <w:pPr>
        <w:pStyle w:val="Newparagraph"/>
        <w:rPr>
          <w:rFonts w:asciiTheme="majorBidi" w:hAnsiTheme="majorBidi" w:cstheme="majorBidi"/>
        </w:rPr>
      </w:pPr>
      <w:r w:rsidRPr="00173F61">
        <w:rPr>
          <w:rFonts w:asciiTheme="majorBidi" w:hAnsiTheme="majorBidi" w:cstheme="majorBidi"/>
        </w:rPr>
        <w:t>E</w:t>
      </w:r>
      <w:r w:rsidR="00F8163D" w:rsidRPr="00173F61">
        <w:rPr>
          <w:rFonts w:asciiTheme="majorBidi" w:hAnsiTheme="majorBidi" w:cstheme="majorBidi"/>
        </w:rPr>
        <w:t xml:space="preserve">ducational aspirations </w:t>
      </w:r>
      <w:proofErr w:type="gramStart"/>
      <w:r w:rsidR="00F8163D" w:rsidRPr="00173F61">
        <w:rPr>
          <w:rFonts w:asciiTheme="majorBidi" w:hAnsiTheme="majorBidi" w:cstheme="majorBidi"/>
        </w:rPr>
        <w:t xml:space="preserve">have </w:t>
      </w:r>
      <w:r w:rsidR="007E17A0" w:rsidRPr="00173F61">
        <w:rPr>
          <w:rFonts w:asciiTheme="majorBidi" w:hAnsiTheme="majorBidi" w:cstheme="majorBidi"/>
        </w:rPr>
        <w:t xml:space="preserve">most commonly </w:t>
      </w:r>
      <w:r w:rsidR="00F8163D" w:rsidRPr="00173F61">
        <w:rPr>
          <w:rFonts w:asciiTheme="majorBidi" w:hAnsiTheme="majorBidi" w:cstheme="majorBidi"/>
        </w:rPr>
        <w:t>been studied</w:t>
      </w:r>
      <w:proofErr w:type="gramEnd"/>
      <w:r w:rsidR="00F8163D" w:rsidRPr="00173F61">
        <w:rPr>
          <w:rFonts w:asciiTheme="majorBidi" w:hAnsiTheme="majorBidi" w:cstheme="majorBidi"/>
        </w:rPr>
        <w:t xml:space="preserve"> under one of two research frameworks: the status attainment model (</w:t>
      </w:r>
      <w:r w:rsidR="00F8163D" w:rsidRPr="004C08CD">
        <w:rPr>
          <w:rFonts w:asciiTheme="majorBidi" w:hAnsiTheme="majorBidi" w:cstheme="majorBidi"/>
        </w:rPr>
        <w:t xml:space="preserve">Haller </w:t>
      </w:r>
      <w:r w:rsidR="00554F7F" w:rsidRPr="004C08CD">
        <w:rPr>
          <w:rFonts w:asciiTheme="majorBidi" w:hAnsiTheme="majorBidi" w:cstheme="majorBidi"/>
        </w:rPr>
        <w:t>and</w:t>
      </w:r>
      <w:r w:rsidR="00F8163D" w:rsidRPr="004C08CD">
        <w:rPr>
          <w:rFonts w:asciiTheme="majorBidi" w:hAnsiTheme="majorBidi" w:cstheme="majorBidi"/>
        </w:rPr>
        <w:t xml:space="preserve"> </w:t>
      </w:r>
      <w:proofErr w:type="spellStart"/>
      <w:r w:rsidR="00852B5E" w:rsidRPr="004C08CD">
        <w:rPr>
          <w:rFonts w:asciiTheme="majorBidi" w:hAnsiTheme="majorBidi" w:cstheme="majorBidi"/>
        </w:rPr>
        <w:t>Portes</w:t>
      </w:r>
      <w:proofErr w:type="spellEnd"/>
      <w:r w:rsidR="00F8163D" w:rsidRPr="004C08CD">
        <w:rPr>
          <w:rFonts w:asciiTheme="majorBidi" w:hAnsiTheme="majorBidi" w:cstheme="majorBidi"/>
        </w:rPr>
        <w:t xml:space="preserve"> 1973; Sewell, Haller</w:t>
      </w:r>
      <w:r w:rsidR="00554F7F" w:rsidRPr="004C08CD">
        <w:rPr>
          <w:rFonts w:asciiTheme="majorBidi" w:hAnsiTheme="majorBidi" w:cstheme="majorBidi"/>
        </w:rPr>
        <w:t>, and</w:t>
      </w:r>
      <w:r w:rsidR="00852B5E" w:rsidRPr="004C08CD">
        <w:rPr>
          <w:rFonts w:asciiTheme="majorBidi" w:hAnsiTheme="majorBidi" w:cstheme="majorBidi"/>
        </w:rPr>
        <w:t xml:space="preserve"> </w:t>
      </w:r>
      <w:proofErr w:type="spellStart"/>
      <w:r w:rsidR="00852B5E" w:rsidRPr="004C08CD">
        <w:rPr>
          <w:rFonts w:asciiTheme="majorBidi" w:hAnsiTheme="majorBidi" w:cstheme="majorBidi"/>
        </w:rPr>
        <w:t>Ohlendorf</w:t>
      </w:r>
      <w:proofErr w:type="spellEnd"/>
      <w:r w:rsidR="00F8163D" w:rsidRPr="004C08CD">
        <w:rPr>
          <w:rFonts w:asciiTheme="majorBidi" w:hAnsiTheme="majorBidi" w:cstheme="majorBidi"/>
        </w:rPr>
        <w:t xml:space="preserve"> 1970; Sewell </w:t>
      </w:r>
      <w:r w:rsidR="00554F7F" w:rsidRPr="004C08CD">
        <w:rPr>
          <w:rFonts w:asciiTheme="majorBidi" w:hAnsiTheme="majorBidi" w:cstheme="majorBidi"/>
        </w:rPr>
        <w:t>and</w:t>
      </w:r>
      <w:r w:rsidR="00852B5E" w:rsidRPr="004C08CD">
        <w:rPr>
          <w:rFonts w:asciiTheme="majorBidi" w:hAnsiTheme="majorBidi" w:cstheme="majorBidi"/>
        </w:rPr>
        <w:t xml:space="preserve"> Hauser</w:t>
      </w:r>
      <w:r w:rsidR="00F8163D" w:rsidRPr="004C08CD">
        <w:rPr>
          <w:rFonts w:asciiTheme="majorBidi" w:hAnsiTheme="majorBidi" w:cstheme="majorBidi"/>
        </w:rPr>
        <w:t xml:space="preserve"> 1972</w:t>
      </w:r>
      <w:r w:rsidR="00F8163D" w:rsidRPr="00173F61">
        <w:rPr>
          <w:rFonts w:asciiTheme="majorBidi" w:hAnsiTheme="majorBidi" w:cstheme="majorBidi"/>
        </w:rPr>
        <w:t xml:space="preserve">) and the blocked opportunities model (e.g. </w:t>
      </w:r>
      <w:r w:rsidR="00F8163D" w:rsidRPr="004C08CD">
        <w:rPr>
          <w:rFonts w:asciiTheme="majorBidi" w:hAnsiTheme="majorBidi" w:cstheme="majorBidi"/>
        </w:rPr>
        <w:t xml:space="preserve">Kao </w:t>
      </w:r>
      <w:r w:rsidR="00554F7F" w:rsidRPr="004C08CD">
        <w:rPr>
          <w:rFonts w:asciiTheme="majorBidi" w:hAnsiTheme="majorBidi" w:cstheme="majorBidi"/>
        </w:rPr>
        <w:t>and</w:t>
      </w:r>
      <w:r w:rsidR="00F8163D" w:rsidRPr="004C08CD">
        <w:rPr>
          <w:rFonts w:asciiTheme="majorBidi" w:hAnsiTheme="majorBidi" w:cstheme="majorBidi"/>
        </w:rPr>
        <w:t xml:space="preserve"> </w:t>
      </w:r>
      <w:proofErr w:type="spellStart"/>
      <w:r w:rsidR="00F8163D" w:rsidRPr="004C08CD">
        <w:rPr>
          <w:rFonts w:asciiTheme="majorBidi" w:hAnsiTheme="majorBidi" w:cstheme="majorBidi"/>
        </w:rPr>
        <w:t>Tienda</w:t>
      </w:r>
      <w:proofErr w:type="spellEnd"/>
      <w:r w:rsidR="00F8163D" w:rsidRPr="004C08CD">
        <w:rPr>
          <w:rFonts w:asciiTheme="majorBidi" w:hAnsiTheme="majorBidi" w:cstheme="majorBidi"/>
        </w:rPr>
        <w:t xml:space="preserve"> 1998</w:t>
      </w:r>
      <w:r w:rsidR="00F8163D" w:rsidRPr="00173F61">
        <w:rPr>
          <w:rFonts w:asciiTheme="majorBidi" w:hAnsiTheme="majorBidi" w:cstheme="majorBidi"/>
        </w:rPr>
        <w:t xml:space="preserve">). The status attainment model </w:t>
      </w:r>
      <w:r w:rsidR="00B70870" w:rsidRPr="00173F61">
        <w:rPr>
          <w:rFonts w:asciiTheme="majorBidi" w:hAnsiTheme="majorBidi" w:cstheme="majorBidi"/>
        </w:rPr>
        <w:t>emphasises</w:t>
      </w:r>
      <w:r w:rsidR="00F8163D" w:rsidRPr="00173F61">
        <w:rPr>
          <w:rFonts w:asciiTheme="majorBidi" w:hAnsiTheme="majorBidi" w:cstheme="majorBidi"/>
        </w:rPr>
        <w:t xml:space="preserve"> the role of family background (e.g. parental educational and employment status, parental aspirations for their children) in forming </w:t>
      </w:r>
      <w:r w:rsidR="00B70870" w:rsidRPr="00173F61">
        <w:rPr>
          <w:rFonts w:asciiTheme="majorBidi" w:hAnsiTheme="majorBidi" w:cstheme="majorBidi"/>
        </w:rPr>
        <w:t xml:space="preserve">a </w:t>
      </w:r>
      <w:r w:rsidR="00F8163D" w:rsidRPr="00173F61">
        <w:rPr>
          <w:rFonts w:asciiTheme="majorBidi" w:hAnsiTheme="majorBidi" w:cstheme="majorBidi"/>
        </w:rPr>
        <w:t xml:space="preserve">child’s educational and career aspirations (e.g. </w:t>
      </w:r>
      <w:r w:rsidR="00554F7F" w:rsidRPr="004C08CD">
        <w:rPr>
          <w:rFonts w:asciiTheme="majorBidi" w:hAnsiTheme="majorBidi" w:cstheme="majorBidi"/>
        </w:rPr>
        <w:t>Ashby and</w:t>
      </w:r>
      <w:r w:rsidR="00F8163D" w:rsidRPr="004C08CD">
        <w:rPr>
          <w:rFonts w:asciiTheme="majorBidi" w:hAnsiTheme="majorBidi" w:cstheme="majorBidi"/>
        </w:rPr>
        <w:t xml:space="preserve"> </w:t>
      </w:r>
      <w:proofErr w:type="spellStart"/>
      <w:r w:rsidR="00F8163D" w:rsidRPr="004C08CD">
        <w:rPr>
          <w:rFonts w:asciiTheme="majorBidi" w:hAnsiTheme="majorBidi" w:cstheme="majorBidi"/>
        </w:rPr>
        <w:t>Schoon</w:t>
      </w:r>
      <w:proofErr w:type="spellEnd"/>
      <w:r w:rsidR="00F8163D" w:rsidRPr="00173F61">
        <w:rPr>
          <w:rFonts w:asciiTheme="majorBidi" w:hAnsiTheme="majorBidi" w:cstheme="majorBidi"/>
        </w:rPr>
        <w:t xml:space="preserve"> 2010; </w:t>
      </w:r>
      <w:proofErr w:type="spellStart"/>
      <w:r w:rsidR="00F8163D" w:rsidRPr="00173F61">
        <w:rPr>
          <w:rFonts w:asciiTheme="majorBidi" w:hAnsiTheme="majorBidi" w:cstheme="majorBidi"/>
        </w:rPr>
        <w:t>Dubow</w:t>
      </w:r>
      <w:proofErr w:type="spellEnd"/>
      <w:r w:rsidR="00F8163D" w:rsidRPr="00173F61">
        <w:rPr>
          <w:rFonts w:asciiTheme="majorBidi" w:hAnsiTheme="majorBidi" w:cstheme="majorBidi"/>
        </w:rPr>
        <w:t>, Boxer</w:t>
      </w:r>
      <w:r w:rsidR="00554F7F">
        <w:rPr>
          <w:rFonts w:asciiTheme="majorBidi" w:hAnsiTheme="majorBidi" w:cstheme="majorBidi"/>
        </w:rPr>
        <w:t>, and</w:t>
      </w:r>
      <w:r w:rsidR="00852B5E">
        <w:rPr>
          <w:rFonts w:asciiTheme="majorBidi" w:hAnsiTheme="majorBidi" w:cstheme="majorBidi"/>
        </w:rPr>
        <w:t xml:space="preserve"> </w:t>
      </w:r>
      <w:proofErr w:type="spellStart"/>
      <w:r w:rsidR="00852B5E">
        <w:rPr>
          <w:rFonts w:asciiTheme="majorBidi" w:hAnsiTheme="majorBidi" w:cstheme="majorBidi"/>
        </w:rPr>
        <w:t>Huesmann</w:t>
      </w:r>
      <w:proofErr w:type="spellEnd"/>
      <w:r w:rsidR="00F8163D" w:rsidRPr="00173F61">
        <w:rPr>
          <w:rFonts w:asciiTheme="majorBidi" w:hAnsiTheme="majorBidi" w:cstheme="majorBidi"/>
        </w:rPr>
        <w:t xml:space="preserve"> 2009). On the other hand, the blocked opportunities model emphasizes the role of </w:t>
      </w:r>
      <w:r w:rsidRPr="00173F61">
        <w:rPr>
          <w:rFonts w:asciiTheme="majorBidi" w:hAnsiTheme="majorBidi" w:cstheme="majorBidi"/>
        </w:rPr>
        <w:t xml:space="preserve">the </w:t>
      </w:r>
      <w:r w:rsidR="00F8163D" w:rsidRPr="00173F61">
        <w:rPr>
          <w:rFonts w:asciiTheme="majorBidi" w:hAnsiTheme="majorBidi" w:cstheme="majorBidi"/>
        </w:rPr>
        <w:t>children’s school experience in forming aspirations (</w:t>
      </w:r>
      <w:r w:rsidR="00F8163D" w:rsidRPr="004C08CD">
        <w:rPr>
          <w:rFonts w:asciiTheme="majorBidi" w:hAnsiTheme="majorBidi" w:cstheme="majorBidi"/>
        </w:rPr>
        <w:t xml:space="preserve">Kao </w:t>
      </w:r>
      <w:r w:rsidR="00691CB2" w:rsidRPr="004C08CD">
        <w:rPr>
          <w:rFonts w:asciiTheme="majorBidi" w:hAnsiTheme="majorBidi" w:cstheme="majorBidi"/>
        </w:rPr>
        <w:t>and</w:t>
      </w:r>
      <w:r w:rsidR="00852B5E" w:rsidRPr="004C08CD">
        <w:rPr>
          <w:rFonts w:asciiTheme="majorBidi" w:hAnsiTheme="majorBidi" w:cstheme="majorBidi"/>
        </w:rPr>
        <w:t xml:space="preserve"> </w:t>
      </w:r>
      <w:proofErr w:type="spellStart"/>
      <w:r w:rsidR="00852B5E" w:rsidRPr="004C08CD">
        <w:rPr>
          <w:rFonts w:asciiTheme="majorBidi" w:hAnsiTheme="majorBidi" w:cstheme="majorBidi"/>
        </w:rPr>
        <w:t>Tienda</w:t>
      </w:r>
      <w:proofErr w:type="spellEnd"/>
      <w:r w:rsidR="00852B5E" w:rsidRPr="004C08CD">
        <w:rPr>
          <w:rFonts w:asciiTheme="majorBidi" w:hAnsiTheme="majorBidi" w:cstheme="majorBidi"/>
        </w:rPr>
        <w:t xml:space="preserve"> 1998; Koo</w:t>
      </w:r>
      <w:r w:rsidR="00F8163D" w:rsidRPr="004C08CD">
        <w:rPr>
          <w:rFonts w:asciiTheme="majorBidi" w:hAnsiTheme="majorBidi" w:cstheme="majorBidi"/>
        </w:rPr>
        <w:t xml:space="preserve"> 2012</w:t>
      </w:r>
      <w:r w:rsidR="00F8163D" w:rsidRPr="00173F61">
        <w:rPr>
          <w:rFonts w:asciiTheme="majorBidi" w:hAnsiTheme="majorBidi" w:cstheme="majorBidi"/>
        </w:rPr>
        <w:t xml:space="preserve">). For example, </w:t>
      </w:r>
      <w:r w:rsidR="00B70870" w:rsidRPr="00173F61">
        <w:rPr>
          <w:rFonts w:asciiTheme="majorBidi" w:hAnsiTheme="majorBidi" w:cstheme="majorBidi"/>
        </w:rPr>
        <w:t xml:space="preserve">a pupil’s </w:t>
      </w:r>
      <w:r w:rsidR="00F8163D" w:rsidRPr="00173F61">
        <w:rPr>
          <w:rFonts w:asciiTheme="majorBidi" w:hAnsiTheme="majorBidi" w:cstheme="majorBidi"/>
        </w:rPr>
        <w:t>negative school experiences</w:t>
      </w:r>
      <w:r w:rsidR="00B70870" w:rsidRPr="00173F61">
        <w:rPr>
          <w:rFonts w:asciiTheme="majorBidi" w:hAnsiTheme="majorBidi" w:cstheme="majorBidi"/>
        </w:rPr>
        <w:t xml:space="preserve"> might </w:t>
      </w:r>
      <w:r w:rsidR="007E17A0" w:rsidRPr="00173F61">
        <w:rPr>
          <w:rFonts w:asciiTheme="majorBidi" w:hAnsiTheme="majorBidi" w:cstheme="majorBidi"/>
        </w:rPr>
        <w:t xml:space="preserve">contribute to </w:t>
      </w:r>
      <w:r w:rsidR="00F8163D" w:rsidRPr="00173F61">
        <w:rPr>
          <w:rFonts w:asciiTheme="majorBidi" w:hAnsiTheme="majorBidi" w:cstheme="majorBidi"/>
        </w:rPr>
        <w:t>lower expectations and aspirations for further schooling (</w:t>
      </w:r>
      <w:proofErr w:type="spellStart"/>
      <w:r w:rsidR="00F8163D" w:rsidRPr="00173F61">
        <w:rPr>
          <w:rFonts w:asciiTheme="majorBidi" w:hAnsiTheme="majorBidi" w:cstheme="majorBidi"/>
        </w:rPr>
        <w:t>Phalet</w:t>
      </w:r>
      <w:proofErr w:type="spellEnd"/>
      <w:r w:rsidR="00F8163D" w:rsidRPr="00173F61">
        <w:rPr>
          <w:rFonts w:asciiTheme="majorBidi" w:hAnsiTheme="majorBidi" w:cstheme="majorBidi"/>
        </w:rPr>
        <w:t xml:space="preserve">, </w:t>
      </w:r>
      <w:proofErr w:type="spellStart"/>
      <w:r w:rsidR="00F8163D" w:rsidRPr="00173F61">
        <w:rPr>
          <w:rFonts w:asciiTheme="majorBidi" w:hAnsiTheme="majorBidi" w:cstheme="majorBidi"/>
        </w:rPr>
        <w:t>Andriessen</w:t>
      </w:r>
      <w:proofErr w:type="spellEnd"/>
      <w:r w:rsidR="00691CB2">
        <w:rPr>
          <w:rFonts w:asciiTheme="majorBidi" w:hAnsiTheme="majorBidi" w:cstheme="majorBidi"/>
        </w:rPr>
        <w:t>, and</w:t>
      </w:r>
      <w:r w:rsidR="00852B5E">
        <w:rPr>
          <w:rFonts w:asciiTheme="majorBidi" w:hAnsiTheme="majorBidi" w:cstheme="majorBidi"/>
        </w:rPr>
        <w:t xml:space="preserve"> Lens</w:t>
      </w:r>
      <w:r w:rsidR="00F8163D" w:rsidRPr="00173F61">
        <w:rPr>
          <w:rFonts w:asciiTheme="majorBidi" w:hAnsiTheme="majorBidi" w:cstheme="majorBidi"/>
        </w:rPr>
        <w:t xml:space="preserve"> 2004). </w:t>
      </w:r>
    </w:p>
    <w:p w14:paraId="39A78DD3" w14:textId="3D06A486" w:rsidR="00F8163D" w:rsidRPr="00173F61" w:rsidRDefault="00F8163D" w:rsidP="004C08CD">
      <w:pPr>
        <w:pStyle w:val="Newparagraph"/>
        <w:rPr>
          <w:rFonts w:asciiTheme="majorBidi" w:hAnsiTheme="majorBidi" w:cstheme="majorBidi"/>
        </w:rPr>
      </w:pPr>
      <w:r w:rsidRPr="00173F61">
        <w:rPr>
          <w:rFonts w:asciiTheme="majorBidi" w:hAnsiTheme="majorBidi" w:cstheme="majorBidi"/>
        </w:rPr>
        <w:t xml:space="preserve">In previous studies, both models </w:t>
      </w:r>
      <w:r w:rsidR="00B70870" w:rsidRPr="00173F61">
        <w:rPr>
          <w:rFonts w:asciiTheme="majorBidi" w:hAnsiTheme="majorBidi" w:cstheme="majorBidi"/>
        </w:rPr>
        <w:t>have predominantly been examined with</w:t>
      </w:r>
      <w:r w:rsidR="00303431" w:rsidRPr="00173F61">
        <w:rPr>
          <w:rFonts w:asciiTheme="majorBidi" w:hAnsiTheme="majorBidi" w:cstheme="majorBidi"/>
        </w:rPr>
        <w:t xml:space="preserve"> </w:t>
      </w:r>
      <w:r w:rsidRPr="00173F61">
        <w:rPr>
          <w:rFonts w:asciiTheme="majorBidi" w:hAnsiTheme="majorBidi" w:cstheme="majorBidi"/>
        </w:rPr>
        <w:t xml:space="preserve">samples of pupils from different minority groups (e.g. </w:t>
      </w:r>
      <w:proofErr w:type="spellStart"/>
      <w:r w:rsidRPr="004C08CD">
        <w:rPr>
          <w:rFonts w:asciiTheme="majorBidi" w:hAnsiTheme="majorBidi" w:cstheme="majorBidi"/>
        </w:rPr>
        <w:t>Kandel</w:t>
      </w:r>
      <w:proofErr w:type="spellEnd"/>
      <w:r w:rsidRPr="004C08CD">
        <w:rPr>
          <w:rFonts w:asciiTheme="majorBidi" w:hAnsiTheme="majorBidi" w:cstheme="majorBidi"/>
        </w:rPr>
        <w:t xml:space="preserve"> </w:t>
      </w:r>
      <w:r w:rsidR="000A5546" w:rsidRPr="004C08CD">
        <w:rPr>
          <w:rFonts w:asciiTheme="majorBidi" w:hAnsiTheme="majorBidi" w:cstheme="majorBidi"/>
        </w:rPr>
        <w:t>and</w:t>
      </w:r>
      <w:r w:rsidR="00852B5E" w:rsidRPr="004C08CD">
        <w:rPr>
          <w:rFonts w:asciiTheme="majorBidi" w:hAnsiTheme="majorBidi" w:cstheme="majorBidi"/>
        </w:rPr>
        <w:t xml:space="preserve"> Kao 2001; Koo</w:t>
      </w:r>
      <w:r w:rsidRPr="004C08CD">
        <w:rPr>
          <w:rFonts w:asciiTheme="majorBidi" w:hAnsiTheme="majorBidi" w:cstheme="majorBidi"/>
        </w:rPr>
        <w:t xml:space="preserve"> 2012</w:t>
      </w:r>
      <w:r w:rsidRPr="00173F61">
        <w:rPr>
          <w:rFonts w:asciiTheme="majorBidi" w:hAnsiTheme="majorBidi" w:cstheme="majorBidi"/>
        </w:rPr>
        <w:t xml:space="preserve">; </w:t>
      </w:r>
      <w:r w:rsidR="004824B9" w:rsidRPr="004C08CD">
        <w:rPr>
          <w:rFonts w:asciiTheme="majorBidi" w:hAnsiTheme="majorBidi" w:cstheme="majorBidi"/>
        </w:rPr>
        <w:t xml:space="preserve">Mau </w:t>
      </w:r>
      <w:r w:rsidR="000A5546" w:rsidRPr="004C08CD">
        <w:rPr>
          <w:rFonts w:asciiTheme="majorBidi" w:hAnsiTheme="majorBidi" w:cstheme="majorBidi"/>
        </w:rPr>
        <w:t>and</w:t>
      </w:r>
      <w:r w:rsidR="00852B5E" w:rsidRPr="004C08CD">
        <w:rPr>
          <w:rFonts w:asciiTheme="majorBidi" w:hAnsiTheme="majorBidi" w:cstheme="majorBidi"/>
        </w:rPr>
        <w:t xml:space="preserve"> </w:t>
      </w:r>
      <w:proofErr w:type="spellStart"/>
      <w:r w:rsidR="00852B5E" w:rsidRPr="004C08CD">
        <w:rPr>
          <w:rFonts w:asciiTheme="majorBidi" w:hAnsiTheme="majorBidi" w:cstheme="majorBidi"/>
        </w:rPr>
        <w:t>Bikos</w:t>
      </w:r>
      <w:proofErr w:type="spellEnd"/>
      <w:r w:rsidR="004824B9" w:rsidRPr="004C08CD">
        <w:rPr>
          <w:rFonts w:asciiTheme="majorBidi" w:hAnsiTheme="majorBidi" w:cstheme="majorBidi"/>
        </w:rPr>
        <w:t xml:space="preserve"> 2000</w:t>
      </w:r>
      <w:r w:rsidRPr="004C08CD">
        <w:rPr>
          <w:rFonts w:asciiTheme="majorBidi" w:hAnsiTheme="majorBidi" w:cstheme="majorBidi"/>
        </w:rPr>
        <w:t xml:space="preserve">; </w:t>
      </w:r>
      <w:proofErr w:type="spellStart"/>
      <w:r w:rsidRPr="00173F61">
        <w:rPr>
          <w:rFonts w:asciiTheme="majorBidi" w:hAnsiTheme="majorBidi" w:cstheme="majorBidi"/>
        </w:rPr>
        <w:t>Phalet</w:t>
      </w:r>
      <w:proofErr w:type="spellEnd"/>
      <w:r w:rsidRPr="00173F61">
        <w:rPr>
          <w:rFonts w:asciiTheme="majorBidi" w:hAnsiTheme="majorBidi" w:cstheme="majorBidi"/>
        </w:rPr>
        <w:t xml:space="preserve">, </w:t>
      </w:r>
      <w:proofErr w:type="spellStart"/>
      <w:r w:rsidRPr="00173F61">
        <w:rPr>
          <w:rFonts w:asciiTheme="majorBidi" w:hAnsiTheme="majorBidi" w:cstheme="majorBidi"/>
        </w:rPr>
        <w:t>Andriessen</w:t>
      </w:r>
      <w:proofErr w:type="spellEnd"/>
      <w:r w:rsidR="000A5546">
        <w:rPr>
          <w:rFonts w:asciiTheme="majorBidi" w:hAnsiTheme="majorBidi" w:cstheme="majorBidi"/>
        </w:rPr>
        <w:t>, and</w:t>
      </w:r>
      <w:r w:rsidR="00852B5E">
        <w:rPr>
          <w:rFonts w:asciiTheme="majorBidi" w:hAnsiTheme="majorBidi" w:cstheme="majorBidi"/>
        </w:rPr>
        <w:t xml:space="preserve"> Lens</w:t>
      </w:r>
      <w:r w:rsidRPr="00173F61">
        <w:rPr>
          <w:rFonts w:asciiTheme="majorBidi" w:hAnsiTheme="majorBidi" w:cstheme="majorBidi"/>
        </w:rPr>
        <w:t xml:space="preserve"> 2004), as well as </w:t>
      </w:r>
      <w:r w:rsidR="00B70870" w:rsidRPr="00173F61">
        <w:rPr>
          <w:rFonts w:asciiTheme="majorBidi" w:hAnsiTheme="majorBidi" w:cstheme="majorBidi"/>
        </w:rPr>
        <w:t>with</w:t>
      </w:r>
      <w:r w:rsidRPr="00173F61">
        <w:rPr>
          <w:rFonts w:asciiTheme="majorBidi" w:hAnsiTheme="majorBidi" w:cstheme="majorBidi"/>
        </w:rPr>
        <w:t xml:space="preserve"> samples of pupils of low socioeconomic status (e.g. </w:t>
      </w:r>
      <w:proofErr w:type="spellStart"/>
      <w:r w:rsidRPr="00173F61">
        <w:rPr>
          <w:rFonts w:asciiTheme="majorBidi" w:hAnsiTheme="majorBidi" w:cstheme="majorBidi"/>
        </w:rPr>
        <w:t>Berzin</w:t>
      </w:r>
      <w:proofErr w:type="spellEnd"/>
      <w:r w:rsidRPr="00173F61">
        <w:rPr>
          <w:rFonts w:asciiTheme="majorBidi" w:hAnsiTheme="majorBidi" w:cstheme="majorBidi"/>
        </w:rPr>
        <w:t xml:space="preserve"> 2010; </w:t>
      </w:r>
      <w:proofErr w:type="spellStart"/>
      <w:r w:rsidR="00852B5E" w:rsidRPr="004C08CD">
        <w:rPr>
          <w:rFonts w:asciiTheme="majorBidi" w:hAnsiTheme="majorBidi" w:cstheme="majorBidi"/>
        </w:rPr>
        <w:t>Davaran</w:t>
      </w:r>
      <w:proofErr w:type="spellEnd"/>
      <w:r w:rsidRPr="004C08CD">
        <w:rPr>
          <w:rFonts w:asciiTheme="majorBidi" w:hAnsiTheme="majorBidi" w:cstheme="majorBidi"/>
        </w:rPr>
        <w:t xml:space="preserve"> 2011</w:t>
      </w:r>
      <w:r w:rsidRPr="00173F61">
        <w:rPr>
          <w:rFonts w:asciiTheme="majorBidi" w:hAnsiTheme="majorBidi" w:cstheme="majorBidi"/>
        </w:rPr>
        <w:t xml:space="preserve">). They </w:t>
      </w:r>
      <w:proofErr w:type="gramStart"/>
      <w:r w:rsidR="00B70870" w:rsidRPr="00173F61">
        <w:rPr>
          <w:rFonts w:asciiTheme="majorBidi" w:hAnsiTheme="majorBidi" w:cstheme="majorBidi"/>
        </w:rPr>
        <w:t xml:space="preserve">have </w:t>
      </w:r>
      <w:r w:rsidRPr="00173F61">
        <w:rPr>
          <w:rFonts w:asciiTheme="majorBidi" w:hAnsiTheme="majorBidi" w:cstheme="majorBidi"/>
        </w:rPr>
        <w:t xml:space="preserve">rarely </w:t>
      </w:r>
      <w:r w:rsidR="00B70870" w:rsidRPr="00173F61">
        <w:rPr>
          <w:rFonts w:asciiTheme="majorBidi" w:hAnsiTheme="majorBidi" w:cstheme="majorBidi"/>
        </w:rPr>
        <w:t>been examined</w:t>
      </w:r>
      <w:proofErr w:type="gramEnd"/>
      <w:r w:rsidR="00B70870" w:rsidRPr="00173F61">
        <w:rPr>
          <w:rFonts w:asciiTheme="majorBidi" w:hAnsiTheme="majorBidi" w:cstheme="majorBidi"/>
        </w:rPr>
        <w:t xml:space="preserve"> with </w:t>
      </w:r>
      <w:r w:rsidRPr="00173F61">
        <w:rPr>
          <w:rFonts w:asciiTheme="majorBidi" w:hAnsiTheme="majorBidi" w:cstheme="majorBidi"/>
        </w:rPr>
        <w:t xml:space="preserve">general populations of pupils (e.g. </w:t>
      </w:r>
      <w:proofErr w:type="spellStart"/>
      <w:r w:rsidR="00852B5E" w:rsidRPr="004C08CD">
        <w:rPr>
          <w:rFonts w:asciiTheme="majorBidi" w:hAnsiTheme="majorBidi" w:cstheme="majorBidi"/>
        </w:rPr>
        <w:t>Marjoribanks</w:t>
      </w:r>
      <w:proofErr w:type="spellEnd"/>
      <w:r w:rsidRPr="004C08CD">
        <w:rPr>
          <w:rFonts w:asciiTheme="majorBidi" w:hAnsiTheme="majorBidi" w:cstheme="majorBidi"/>
        </w:rPr>
        <w:t xml:space="preserve"> 2002</w:t>
      </w:r>
      <w:r w:rsidRPr="00173F61">
        <w:rPr>
          <w:rFonts w:asciiTheme="majorBidi" w:hAnsiTheme="majorBidi" w:cstheme="majorBidi"/>
        </w:rPr>
        <w:t xml:space="preserve">). Although the two aforementioned models </w:t>
      </w:r>
      <w:r w:rsidR="00B70870" w:rsidRPr="00173F61">
        <w:rPr>
          <w:rFonts w:asciiTheme="majorBidi" w:hAnsiTheme="majorBidi" w:cstheme="majorBidi"/>
        </w:rPr>
        <w:t xml:space="preserve">have typically been </w:t>
      </w:r>
      <w:r w:rsidRPr="00173F61">
        <w:rPr>
          <w:rFonts w:asciiTheme="majorBidi" w:hAnsiTheme="majorBidi" w:cstheme="majorBidi"/>
        </w:rPr>
        <w:t>used separately</w:t>
      </w:r>
      <w:r w:rsidR="00B70870" w:rsidRPr="00173F61">
        <w:rPr>
          <w:rFonts w:asciiTheme="majorBidi" w:hAnsiTheme="majorBidi" w:cstheme="majorBidi"/>
        </w:rPr>
        <w:t xml:space="preserve"> in research</w:t>
      </w:r>
      <w:r w:rsidRPr="00173F61">
        <w:rPr>
          <w:rFonts w:asciiTheme="majorBidi" w:hAnsiTheme="majorBidi" w:cstheme="majorBidi"/>
        </w:rPr>
        <w:t xml:space="preserve"> (i.e. </w:t>
      </w:r>
      <w:r w:rsidR="007E17A0" w:rsidRPr="00173F61">
        <w:rPr>
          <w:rFonts w:asciiTheme="majorBidi" w:hAnsiTheme="majorBidi" w:cstheme="majorBidi"/>
        </w:rPr>
        <w:t xml:space="preserve">studies have </w:t>
      </w:r>
      <w:r w:rsidR="007E17A0" w:rsidRPr="00173F61">
        <w:rPr>
          <w:rFonts w:asciiTheme="majorBidi" w:hAnsiTheme="majorBidi" w:cstheme="majorBidi"/>
        </w:rPr>
        <w:lastRenderedPageBreak/>
        <w:t>applied only a single model</w:t>
      </w:r>
      <w:r w:rsidRPr="00173F61">
        <w:rPr>
          <w:rFonts w:asciiTheme="majorBidi" w:hAnsiTheme="majorBidi" w:cstheme="majorBidi"/>
        </w:rPr>
        <w:t xml:space="preserve">), researchers </w:t>
      </w:r>
      <w:r w:rsidR="00B70870" w:rsidRPr="00173F61">
        <w:rPr>
          <w:rFonts w:asciiTheme="majorBidi" w:hAnsiTheme="majorBidi" w:cstheme="majorBidi"/>
        </w:rPr>
        <w:t xml:space="preserve">have increasingly </w:t>
      </w:r>
      <w:r w:rsidRPr="00173F61">
        <w:rPr>
          <w:rFonts w:asciiTheme="majorBidi" w:hAnsiTheme="majorBidi" w:cstheme="majorBidi"/>
        </w:rPr>
        <w:t>recognize</w:t>
      </w:r>
      <w:r w:rsidR="00B70870" w:rsidRPr="00173F61">
        <w:rPr>
          <w:rFonts w:asciiTheme="majorBidi" w:hAnsiTheme="majorBidi" w:cstheme="majorBidi"/>
        </w:rPr>
        <w:t>d</w:t>
      </w:r>
      <w:r w:rsidRPr="00173F61">
        <w:rPr>
          <w:rFonts w:asciiTheme="majorBidi" w:hAnsiTheme="majorBidi" w:cstheme="majorBidi"/>
        </w:rPr>
        <w:t xml:space="preserve"> that both models contribute to </w:t>
      </w:r>
      <w:r w:rsidR="00B70870" w:rsidRPr="00173F61">
        <w:rPr>
          <w:rFonts w:asciiTheme="majorBidi" w:hAnsiTheme="majorBidi" w:cstheme="majorBidi"/>
        </w:rPr>
        <w:t xml:space="preserve">current </w:t>
      </w:r>
      <w:r w:rsidRPr="00173F61">
        <w:rPr>
          <w:rFonts w:asciiTheme="majorBidi" w:hAnsiTheme="majorBidi" w:cstheme="majorBidi"/>
        </w:rPr>
        <w:t>understanding of educational</w:t>
      </w:r>
      <w:r w:rsidR="00852B5E">
        <w:rPr>
          <w:rFonts w:asciiTheme="majorBidi" w:hAnsiTheme="majorBidi" w:cstheme="majorBidi"/>
        </w:rPr>
        <w:t xml:space="preserve"> aspirations (e.g. </w:t>
      </w:r>
      <w:proofErr w:type="spellStart"/>
      <w:r w:rsidR="00852B5E">
        <w:rPr>
          <w:rFonts w:asciiTheme="majorBidi" w:hAnsiTheme="majorBidi" w:cstheme="majorBidi"/>
        </w:rPr>
        <w:t>Berzin</w:t>
      </w:r>
      <w:proofErr w:type="spellEnd"/>
      <w:r w:rsidRPr="00173F61">
        <w:rPr>
          <w:rFonts w:asciiTheme="majorBidi" w:hAnsiTheme="majorBidi" w:cstheme="majorBidi"/>
        </w:rPr>
        <w:t xml:space="preserve"> 2010; </w:t>
      </w:r>
      <w:proofErr w:type="spellStart"/>
      <w:r w:rsidR="00852B5E" w:rsidRPr="004C08CD">
        <w:rPr>
          <w:rFonts w:asciiTheme="majorBidi" w:hAnsiTheme="majorBidi" w:cstheme="majorBidi"/>
        </w:rPr>
        <w:t>Davaran</w:t>
      </w:r>
      <w:proofErr w:type="spellEnd"/>
      <w:r w:rsidRPr="004C08CD">
        <w:rPr>
          <w:rFonts w:asciiTheme="majorBidi" w:hAnsiTheme="majorBidi" w:cstheme="majorBidi"/>
        </w:rPr>
        <w:t xml:space="preserve"> 2011</w:t>
      </w:r>
      <w:r w:rsidRPr="00173F61">
        <w:rPr>
          <w:rFonts w:asciiTheme="majorBidi" w:hAnsiTheme="majorBidi" w:cstheme="majorBidi"/>
        </w:rPr>
        <w:t xml:space="preserve">; </w:t>
      </w:r>
      <w:proofErr w:type="spellStart"/>
      <w:r w:rsidRPr="00173F61">
        <w:rPr>
          <w:rFonts w:asciiTheme="majorBidi" w:hAnsiTheme="majorBidi" w:cstheme="majorBidi"/>
        </w:rPr>
        <w:t>Gutman</w:t>
      </w:r>
      <w:proofErr w:type="spellEnd"/>
      <w:r w:rsidRPr="00173F61">
        <w:rPr>
          <w:rFonts w:asciiTheme="majorBidi" w:hAnsiTheme="majorBidi" w:cstheme="majorBidi"/>
        </w:rPr>
        <w:t xml:space="preserve"> </w:t>
      </w:r>
      <w:r w:rsidR="000A5546">
        <w:rPr>
          <w:rFonts w:asciiTheme="majorBidi" w:hAnsiTheme="majorBidi" w:cstheme="majorBidi"/>
        </w:rPr>
        <w:t>and</w:t>
      </w:r>
      <w:r w:rsidR="00852B5E">
        <w:rPr>
          <w:rFonts w:asciiTheme="majorBidi" w:hAnsiTheme="majorBidi" w:cstheme="majorBidi"/>
        </w:rPr>
        <w:t xml:space="preserve"> </w:t>
      </w:r>
      <w:proofErr w:type="spellStart"/>
      <w:r w:rsidR="00852B5E">
        <w:rPr>
          <w:rFonts w:asciiTheme="majorBidi" w:hAnsiTheme="majorBidi" w:cstheme="majorBidi"/>
        </w:rPr>
        <w:t>Akerman</w:t>
      </w:r>
      <w:proofErr w:type="spellEnd"/>
      <w:r w:rsidR="00852B5E">
        <w:rPr>
          <w:rFonts w:asciiTheme="majorBidi" w:hAnsiTheme="majorBidi" w:cstheme="majorBidi"/>
        </w:rPr>
        <w:t xml:space="preserve"> 2008; </w:t>
      </w:r>
      <w:proofErr w:type="spellStart"/>
      <w:r w:rsidR="00852B5E">
        <w:rPr>
          <w:rFonts w:asciiTheme="majorBidi" w:hAnsiTheme="majorBidi" w:cstheme="majorBidi"/>
        </w:rPr>
        <w:t>Marjoribanks</w:t>
      </w:r>
      <w:proofErr w:type="spellEnd"/>
      <w:r w:rsidRPr="00173F61">
        <w:rPr>
          <w:rFonts w:asciiTheme="majorBidi" w:hAnsiTheme="majorBidi" w:cstheme="majorBidi"/>
        </w:rPr>
        <w:t xml:space="preserve"> 2002).</w:t>
      </w:r>
    </w:p>
    <w:p w14:paraId="6BF8BBE7" w14:textId="2A06AF62" w:rsidR="00F8163D" w:rsidRPr="00173F61" w:rsidRDefault="00B70870" w:rsidP="004C08CD">
      <w:pPr>
        <w:pStyle w:val="Newparagraph"/>
        <w:rPr>
          <w:rFonts w:asciiTheme="majorBidi" w:hAnsiTheme="majorBidi" w:cstheme="majorBidi"/>
        </w:rPr>
      </w:pPr>
      <w:r w:rsidRPr="00173F61">
        <w:rPr>
          <w:rFonts w:asciiTheme="majorBidi" w:hAnsiTheme="majorBidi" w:cstheme="majorBidi"/>
        </w:rPr>
        <w:t>Beyond these two models</w:t>
      </w:r>
      <w:r w:rsidR="00F8163D" w:rsidRPr="00173F61">
        <w:rPr>
          <w:rFonts w:asciiTheme="majorBidi" w:hAnsiTheme="majorBidi" w:cstheme="majorBidi"/>
        </w:rPr>
        <w:t xml:space="preserve">, other variables </w:t>
      </w:r>
      <w:r w:rsidRPr="00173F61">
        <w:rPr>
          <w:rFonts w:asciiTheme="majorBidi" w:hAnsiTheme="majorBidi" w:cstheme="majorBidi"/>
        </w:rPr>
        <w:t xml:space="preserve">have also been </w:t>
      </w:r>
      <w:r w:rsidR="00F8163D" w:rsidRPr="00173F61">
        <w:rPr>
          <w:rFonts w:asciiTheme="majorBidi" w:hAnsiTheme="majorBidi" w:cstheme="majorBidi"/>
        </w:rPr>
        <w:t xml:space="preserve">used in predicting pupils’ educational aspirations, </w:t>
      </w:r>
      <w:r w:rsidRPr="00173F61">
        <w:rPr>
          <w:rFonts w:asciiTheme="majorBidi" w:hAnsiTheme="majorBidi" w:cstheme="majorBidi"/>
        </w:rPr>
        <w:t>including</w:t>
      </w:r>
      <w:r w:rsidR="00F8163D" w:rsidRPr="00173F61">
        <w:rPr>
          <w:rFonts w:asciiTheme="majorBidi" w:hAnsiTheme="majorBidi" w:cstheme="majorBidi"/>
        </w:rPr>
        <w:t xml:space="preserve"> </w:t>
      </w:r>
      <w:r w:rsidR="00303431" w:rsidRPr="00173F61">
        <w:rPr>
          <w:rFonts w:asciiTheme="majorBidi" w:hAnsiTheme="majorBidi" w:cstheme="majorBidi"/>
        </w:rPr>
        <w:t xml:space="preserve">the </w:t>
      </w:r>
      <w:r w:rsidR="00F8163D" w:rsidRPr="00173F61">
        <w:rPr>
          <w:rFonts w:asciiTheme="majorBidi" w:hAnsiTheme="majorBidi" w:cstheme="majorBidi"/>
        </w:rPr>
        <w:t>influence of peers (</w:t>
      </w:r>
      <w:proofErr w:type="spellStart"/>
      <w:r w:rsidR="00F8163D" w:rsidRPr="00173F61">
        <w:rPr>
          <w:rFonts w:asciiTheme="majorBidi" w:hAnsiTheme="majorBidi" w:cstheme="majorBidi"/>
        </w:rPr>
        <w:t>Buchmann</w:t>
      </w:r>
      <w:proofErr w:type="spellEnd"/>
      <w:r w:rsidR="00F8163D" w:rsidRPr="00173F61">
        <w:rPr>
          <w:rFonts w:asciiTheme="majorBidi" w:hAnsiTheme="majorBidi" w:cstheme="majorBidi"/>
        </w:rPr>
        <w:t xml:space="preserve"> </w:t>
      </w:r>
      <w:r w:rsidR="000A5546">
        <w:rPr>
          <w:rFonts w:asciiTheme="majorBidi" w:hAnsiTheme="majorBidi" w:cstheme="majorBidi"/>
        </w:rPr>
        <w:t>and</w:t>
      </w:r>
      <w:r w:rsidR="00852B5E">
        <w:rPr>
          <w:rFonts w:asciiTheme="majorBidi" w:hAnsiTheme="majorBidi" w:cstheme="majorBidi"/>
        </w:rPr>
        <w:t xml:space="preserve"> Dalton</w:t>
      </w:r>
      <w:r w:rsidR="00F8163D" w:rsidRPr="00173F61">
        <w:rPr>
          <w:rFonts w:asciiTheme="majorBidi" w:hAnsiTheme="majorBidi" w:cstheme="majorBidi"/>
        </w:rPr>
        <w:t xml:space="preserve"> 2002)</w:t>
      </w:r>
      <w:r w:rsidR="00852B5E">
        <w:rPr>
          <w:rFonts w:asciiTheme="majorBidi" w:hAnsiTheme="majorBidi" w:cstheme="majorBidi"/>
        </w:rPr>
        <w:t>, parental involvement (</w:t>
      </w:r>
      <w:proofErr w:type="spellStart"/>
      <w:r w:rsidR="00852B5E">
        <w:rPr>
          <w:rFonts w:asciiTheme="majorBidi" w:hAnsiTheme="majorBidi" w:cstheme="majorBidi"/>
        </w:rPr>
        <w:t>Brasier</w:t>
      </w:r>
      <w:proofErr w:type="spellEnd"/>
      <w:r w:rsidR="00F8163D" w:rsidRPr="00173F61">
        <w:rPr>
          <w:rFonts w:asciiTheme="majorBidi" w:hAnsiTheme="majorBidi" w:cstheme="majorBidi"/>
        </w:rPr>
        <w:t xml:space="preserve"> 2008), social support from teachers, peers, parents and </w:t>
      </w:r>
      <w:r w:rsidR="0001022D" w:rsidRPr="00173F61">
        <w:rPr>
          <w:rFonts w:asciiTheme="majorBidi" w:hAnsiTheme="majorBidi" w:cstheme="majorBidi"/>
        </w:rPr>
        <w:t xml:space="preserve">the </w:t>
      </w:r>
      <w:r w:rsidR="00852B5E">
        <w:rPr>
          <w:rFonts w:asciiTheme="majorBidi" w:hAnsiTheme="majorBidi" w:cstheme="majorBidi"/>
        </w:rPr>
        <w:t>neighbourhood (</w:t>
      </w:r>
      <w:proofErr w:type="spellStart"/>
      <w:r w:rsidR="00852B5E">
        <w:rPr>
          <w:rFonts w:asciiTheme="majorBidi" w:hAnsiTheme="majorBidi" w:cstheme="majorBidi"/>
        </w:rPr>
        <w:t>Berzin</w:t>
      </w:r>
      <w:proofErr w:type="spellEnd"/>
      <w:r w:rsidR="009330CC" w:rsidRPr="00173F61">
        <w:rPr>
          <w:rFonts w:asciiTheme="majorBidi" w:hAnsiTheme="majorBidi" w:cstheme="majorBidi"/>
        </w:rPr>
        <w:t xml:space="preserve"> 2010)</w:t>
      </w:r>
      <w:r w:rsidR="00F8163D" w:rsidRPr="00173F61">
        <w:rPr>
          <w:rFonts w:asciiTheme="majorBidi" w:hAnsiTheme="majorBidi" w:cstheme="majorBidi"/>
        </w:rPr>
        <w:t xml:space="preserve"> and social capital (</w:t>
      </w:r>
      <w:r w:rsidR="00F8163D" w:rsidRPr="004C08CD">
        <w:rPr>
          <w:rFonts w:asciiTheme="majorBidi" w:hAnsiTheme="majorBidi" w:cstheme="majorBidi"/>
        </w:rPr>
        <w:t>Byun</w:t>
      </w:r>
      <w:r w:rsidR="0047316B" w:rsidRPr="004C08CD">
        <w:rPr>
          <w:rFonts w:asciiTheme="majorBidi" w:hAnsiTheme="majorBidi" w:cstheme="majorBidi"/>
        </w:rPr>
        <w:t xml:space="preserve"> et al.</w:t>
      </w:r>
      <w:r w:rsidR="00F8163D" w:rsidRPr="004C08CD">
        <w:rPr>
          <w:rFonts w:asciiTheme="majorBidi" w:hAnsiTheme="majorBidi" w:cstheme="majorBidi"/>
        </w:rPr>
        <w:t xml:space="preserve"> 2012</w:t>
      </w:r>
      <w:r w:rsidR="00F8163D" w:rsidRPr="00173F61">
        <w:rPr>
          <w:rFonts w:asciiTheme="majorBidi" w:hAnsiTheme="majorBidi" w:cstheme="majorBidi"/>
        </w:rPr>
        <w:t xml:space="preserve">). The effects of various school context variables on educational aspirations </w:t>
      </w:r>
      <w:r w:rsidRPr="00173F61">
        <w:rPr>
          <w:rFonts w:asciiTheme="majorBidi" w:hAnsiTheme="majorBidi" w:cstheme="majorBidi"/>
        </w:rPr>
        <w:t>have</w:t>
      </w:r>
      <w:r w:rsidR="00F8163D" w:rsidRPr="00173F61">
        <w:rPr>
          <w:rFonts w:asciiTheme="majorBidi" w:hAnsiTheme="majorBidi" w:cstheme="majorBidi"/>
        </w:rPr>
        <w:t xml:space="preserve"> also </w:t>
      </w:r>
      <w:r w:rsidRPr="00173F61">
        <w:rPr>
          <w:rFonts w:asciiTheme="majorBidi" w:hAnsiTheme="majorBidi" w:cstheme="majorBidi"/>
        </w:rPr>
        <w:t xml:space="preserve">been </w:t>
      </w:r>
      <w:r w:rsidR="007E17A0" w:rsidRPr="00173F61">
        <w:rPr>
          <w:rFonts w:asciiTheme="majorBidi" w:hAnsiTheme="majorBidi" w:cstheme="majorBidi"/>
        </w:rPr>
        <w:t>examined among</w:t>
      </w:r>
      <w:r w:rsidR="00F8163D" w:rsidRPr="00173F61">
        <w:rPr>
          <w:rFonts w:asciiTheme="majorBidi" w:hAnsiTheme="majorBidi" w:cstheme="majorBidi"/>
        </w:rPr>
        <w:t xml:space="preserve"> </w:t>
      </w:r>
      <w:r w:rsidR="009330CC" w:rsidRPr="00173F61">
        <w:rPr>
          <w:rFonts w:asciiTheme="majorBidi" w:hAnsiTheme="majorBidi" w:cstheme="majorBidi"/>
        </w:rPr>
        <w:t>prima</w:t>
      </w:r>
      <w:r w:rsidR="00336588" w:rsidRPr="00173F61">
        <w:rPr>
          <w:rFonts w:asciiTheme="majorBidi" w:hAnsiTheme="majorBidi" w:cstheme="majorBidi"/>
        </w:rPr>
        <w:t>ry</w:t>
      </w:r>
      <w:r w:rsidR="00F8163D" w:rsidRPr="00173F61">
        <w:rPr>
          <w:rFonts w:asciiTheme="majorBidi" w:hAnsiTheme="majorBidi" w:cstheme="majorBidi"/>
        </w:rPr>
        <w:t xml:space="preserve"> and</w:t>
      </w:r>
      <w:r w:rsidR="009330CC" w:rsidRPr="00173F61">
        <w:rPr>
          <w:rFonts w:asciiTheme="majorBidi" w:hAnsiTheme="majorBidi" w:cstheme="majorBidi"/>
        </w:rPr>
        <w:t xml:space="preserve"> both lower and upper</w:t>
      </w:r>
      <w:r w:rsidR="00F8163D" w:rsidRPr="00173F61">
        <w:rPr>
          <w:rFonts w:asciiTheme="majorBidi" w:hAnsiTheme="majorBidi" w:cstheme="majorBidi"/>
        </w:rPr>
        <w:t xml:space="preserve"> </w:t>
      </w:r>
      <w:r w:rsidR="0097333D" w:rsidRPr="00173F61">
        <w:rPr>
          <w:rFonts w:asciiTheme="majorBidi" w:hAnsiTheme="majorBidi" w:cstheme="majorBidi"/>
        </w:rPr>
        <w:t>secondary</w:t>
      </w:r>
      <w:r w:rsidR="00F8163D" w:rsidRPr="00173F61">
        <w:rPr>
          <w:rFonts w:asciiTheme="majorBidi" w:hAnsiTheme="majorBidi" w:cstheme="majorBidi"/>
        </w:rPr>
        <w:t xml:space="preserve"> school pupils (e.g. </w:t>
      </w:r>
      <w:r w:rsidR="00F8163D" w:rsidRPr="004C08CD">
        <w:rPr>
          <w:rFonts w:asciiTheme="majorBidi" w:hAnsiTheme="majorBidi" w:cstheme="majorBidi"/>
        </w:rPr>
        <w:t xml:space="preserve">Burke </w:t>
      </w:r>
      <w:r w:rsidR="001B26A8" w:rsidRPr="004C08CD">
        <w:rPr>
          <w:rFonts w:asciiTheme="majorBidi" w:hAnsiTheme="majorBidi" w:cstheme="majorBidi"/>
        </w:rPr>
        <w:t>and</w:t>
      </w:r>
      <w:r w:rsidR="00852B5E" w:rsidRPr="004C08CD">
        <w:rPr>
          <w:rFonts w:asciiTheme="majorBidi" w:hAnsiTheme="majorBidi" w:cstheme="majorBidi"/>
        </w:rPr>
        <w:t xml:space="preserve"> Sass</w:t>
      </w:r>
      <w:r w:rsidR="00F8163D" w:rsidRPr="004C08CD">
        <w:rPr>
          <w:rFonts w:asciiTheme="majorBidi" w:hAnsiTheme="majorBidi" w:cstheme="majorBidi"/>
        </w:rPr>
        <w:t xml:space="preserve"> 2013; </w:t>
      </w:r>
      <w:proofErr w:type="spellStart"/>
      <w:r w:rsidR="00F8163D" w:rsidRPr="004C08CD">
        <w:rPr>
          <w:rFonts w:asciiTheme="majorBidi" w:hAnsiTheme="majorBidi" w:cstheme="majorBidi"/>
        </w:rPr>
        <w:t>Hanushek</w:t>
      </w:r>
      <w:proofErr w:type="spellEnd"/>
      <w:r w:rsidR="007513B5" w:rsidRPr="004C08CD">
        <w:rPr>
          <w:rFonts w:asciiTheme="majorBidi" w:hAnsiTheme="majorBidi" w:cstheme="majorBidi"/>
        </w:rPr>
        <w:t xml:space="preserve"> et al.</w:t>
      </w:r>
      <w:r w:rsidR="00F8163D" w:rsidRPr="004C08CD">
        <w:rPr>
          <w:rFonts w:asciiTheme="majorBidi" w:hAnsiTheme="majorBidi" w:cstheme="majorBidi"/>
        </w:rPr>
        <w:t xml:space="preserve"> 2003</w:t>
      </w:r>
      <w:r w:rsidR="00852B5E">
        <w:rPr>
          <w:rFonts w:asciiTheme="majorBidi" w:hAnsiTheme="majorBidi" w:cstheme="majorBidi"/>
        </w:rPr>
        <w:t>; Nelson</w:t>
      </w:r>
      <w:r w:rsidR="00F8163D" w:rsidRPr="00173F61">
        <w:rPr>
          <w:rFonts w:asciiTheme="majorBidi" w:hAnsiTheme="majorBidi" w:cstheme="majorBidi"/>
        </w:rPr>
        <w:t xml:space="preserve"> 1972). </w:t>
      </w:r>
      <w:proofErr w:type="gramStart"/>
      <w:r w:rsidR="00F8163D" w:rsidRPr="00173F61">
        <w:rPr>
          <w:rFonts w:asciiTheme="majorBidi" w:hAnsiTheme="majorBidi" w:cstheme="majorBidi"/>
        </w:rPr>
        <w:t xml:space="preserve">However, there is </w:t>
      </w:r>
      <w:r w:rsidR="001B60D1" w:rsidRPr="00173F61">
        <w:rPr>
          <w:rFonts w:asciiTheme="majorBidi" w:hAnsiTheme="majorBidi" w:cstheme="majorBidi"/>
        </w:rPr>
        <w:t>currently a</w:t>
      </w:r>
      <w:r w:rsidR="00F8163D" w:rsidRPr="00173F61">
        <w:rPr>
          <w:rFonts w:asciiTheme="majorBidi" w:hAnsiTheme="majorBidi" w:cstheme="majorBidi"/>
        </w:rPr>
        <w:t xml:space="preserve"> lack of studies </w:t>
      </w:r>
      <w:r w:rsidR="007E17A0" w:rsidRPr="00173F61">
        <w:rPr>
          <w:rFonts w:asciiTheme="majorBidi" w:hAnsiTheme="majorBidi" w:cstheme="majorBidi"/>
        </w:rPr>
        <w:t>that concurrently examine</w:t>
      </w:r>
      <w:r w:rsidR="00F8163D" w:rsidRPr="00173F61">
        <w:rPr>
          <w:rFonts w:asciiTheme="majorBidi" w:hAnsiTheme="majorBidi" w:cstheme="majorBidi"/>
        </w:rPr>
        <w:t xml:space="preserve"> the effects of status attainment, blocked opportunities and school context </w:t>
      </w:r>
      <w:r w:rsidR="0001022D" w:rsidRPr="00173F61">
        <w:rPr>
          <w:rFonts w:asciiTheme="majorBidi" w:hAnsiTheme="majorBidi" w:cstheme="majorBidi"/>
        </w:rPr>
        <w:t>o</w:t>
      </w:r>
      <w:r w:rsidR="00F8163D" w:rsidRPr="00173F61">
        <w:rPr>
          <w:rFonts w:asciiTheme="majorBidi" w:hAnsiTheme="majorBidi" w:cstheme="majorBidi"/>
        </w:rPr>
        <w:t xml:space="preserve">n </w:t>
      </w:r>
      <w:r w:rsidR="001B60D1" w:rsidRPr="00173F61">
        <w:rPr>
          <w:rFonts w:asciiTheme="majorBidi" w:hAnsiTheme="majorBidi" w:cstheme="majorBidi"/>
        </w:rPr>
        <w:t>a single</w:t>
      </w:r>
      <w:r w:rsidR="00F8163D" w:rsidRPr="00173F61">
        <w:rPr>
          <w:rFonts w:asciiTheme="majorBidi" w:hAnsiTheme="majorBidi" w:cstheme="majorBidi"/>
        </w:rPr>
        <w:t xml:space="preserve"> </w:t>
      </w:r>
      <w:r w:rsidR="00C3463A" w:rsidRPr="00173F61">
        <w:rPr>
          <w:rFonts w:asciiTheme="majorBidi" w:hAnsiTheme="majorBidi" w:cstheme="majorBidi"/>
        </w:rPr>
        <w:t xml:space="preserve">pupil </w:t>
      </w:r>
      <w:r w:rsidR="00F8163D" w:rsidRPr="00173F61">
        <w:rPr>
          <w:rFonts w:asciiTheme="majorBidi" w:hAnsiTheme="majorBidi" w:cstheme="majorBidi"/>
        </w:rPr>
        <w:t>sample.</w:t>
      </w:r>
      <w:proofErr w:type="gramEnd"/>
    </w:p>
    <w:p w14:paraId="2414D60B" w14:textId="33EC420B" w:rsidR="0028755F" w:rsidRPr="00173F61" w:rsidRDefault="00F8163D" w:rsidP="004C08CD">
      <w:pPr>
        <w:pStyle w:val="Newparagraph"/>
        <w:rPr>
          <w:rFonts w:asciiTheme="majorBidi" w:hAnsiTheme="majorBidi" w:cstheme="majorBidi"/>
        </w:rPr>
      </w:pPr>
      <w:r w:rsidRPr="00173F61">
        <w:rPr>
          <w:rFonts w:asciiTheme="majorBidi" w:hAnsiTheme="majorBidi" w:cstheme="majorBidi"/>
        </w:rPr>
        <w:t>The purpose of the current study was to examine the contributions of variables commonly used within the status attainment and blocked opportunities model</w:t>
      </w:r>
      <w:r w:rsidR="001B60D1" w:rsidRPr="00173F61">
        <w:rPr>
          <w:rFonts w:asciiTheme="majorBidi" w:hAnsiTheme="majorBidi" w:cstheme="majorBidi"/>
        </w:rPr>
        <w:t>s</w:t>
      </w:r>
      <w:r w:rsidRPr="00173F61">
        <w:rPr>
          <w:rFonts w:asciiTheme="majorBidi" w:hAnsiTheme="majorBidi" w:cstheme="majorBidi"/>
        </w:rPr>
        <w:t xml:space="preserve">, </w:t>
      </w:r>
      <w:r w:rsidR="001B60D1" w:rsidRPr="00173F61">
        <w:rPr>
          <w:rFonts w:asciiTheme="majorBidi" w:hAnsiTheme="majorBidi" w:cstheme="majorBidi"/>
        </w:rPr>
        <w:t>in addition to a number of</w:t>
      </w:r>
      <w:r w:rsidRPr="00173F61">
        <w:rPr>
          <w:rFonts w:asciiTheme="majorBidi" w:hAnsiTheme="majorBidi" w:cstheme="majorBidi"/>
        </w:rPr>
        <w:t xml:space="preserve"> school context variables, in </w:t>
      </w:r>
      <w:r w:rsidR="00C3463A" w:rsidRPr="00173F61">
        <w:rPr>
          <w:rFonts w:asciiTheme="majorBidi" w:hAnsiTheme="majorBidi" w:cstheme="majorBidi"/>
        </w:rPr>
        <w:t>predicting</w:t>
      </w:r>
      <w:r w:rsidRPr="00173F61">
        <w:rPr>
          <w:rFonts w:asciiTheme="majorBidi" w:hAnsiTheme="majorBidi" w:cstheme="majorBidi"/>
        </w:rPr>
        <w:t xml:space="preserve"> pupils’ aspirations for higher education at the end of </w:t>
      </w:r>
      <w:r w:rsidR="00084250" w:rsidRPr="00173F61">
        <w:rPr>
          <w:rFonts w:asciiTheme="majorBidi" w:hAnsiTheme="majorBidi" w:cstheme="majorBidi"/>
        </w:rPr>
        <w:t xml:space="preserve">Croatian </w:t>
      </w:r>
      <w:r w:rsidR="00336588" w:rsidRPr="00173F61">
        <w:rPr>
          <w:rFonts w:asciiTheme="majorBidi" w:hAnsiTheme="majorBidi" w:cstheme="majorBidi"/>
        </w:rPr>
        <w:t>elementary</w:t>
      </w:r>
      <w:r w:rsidRPr="00173F61">
        <w:rPr>
          <w:rFonts w:asciiTheme="majorBidi" w:hAnsiTheme="majorBidi" w:cstheme="majorBidi"/>
        </w:rPr>
        <w:t xml:space="preserve"> </w:t>
      </w:r>
      <w:r w:rsidR="000F2D9C" w:rsidRPr="00173F61">
        <w:rPr>
          <w:rFonts w:asciiTheme="majorBidi" w:hAnsiTheme="majorBidi" w:cstheme="majorBidi"/>
        </w:rPr>
        <w:t>education</w:t>
      </w:r>
      <w:r w:rsidRPr="00173F61">
        <w:rPr>
          <w:rFonts w:asciiTheme="majorBidi" w:hAnsiTheme="majorBidi" w:cstheme="majorBidi"/>
        </w:rPr>
        <w:t>.</w:t>
      </w:r>
      <w:r w:rsidR="00543C9A" w:rsidRPr="00173F61">
        <w:rPr>
          <w:rFonts w:asciiTheme="majorBidi" w:hAnsiTheme="majorBidi" w:cstheme="majorBidi"/>
        </w:rPr>
        <w:t xml:space="preserve"> </w:t>
      </w:r>
      <w:r w:rsidR="00084250" w:rsidRPr="00173F61">
        <w:rPr>
          <w:rFonts w:asciiTheme="majorBidi" w:hAnsiTheme="majorBidi" w:cstheme="majorBidi"/>
        </w:rPr>
        <w:t>In Croatia, e</w:t>
      </w:r>
      <w:r w:rsidR="000F2D9C" w:rsidRPr="00173F61">
        <w:rPr>
          <w:rFonts w:asciiTheme="majorBidi" w:hAnsiTheme="majorBidi" w:cstheme="majorBidi"/>
        </w:rPr>
        <w:t xml:space="preserve">lementary education is organised </w:t>
      </w:r>
      <w:r w:rsidR="00084250" w:rsidRPr="00173F61">
        <w:rPr>
          <w:rFonts w:asciiTheme="majorBidi" w:hAnsiTheme="majorBidi" w:cstheme="majorBidi"/>
        </w:rPr>
        <w:t>within</w:t>
      </w:r>
      <w:r w:rsidR="000F2D9C" w:rsidRPr="00173F61">
        <w:rPr>
          <w:rFonts w:asciiTheme="majorBidi" w:hAnsiTheme="majorBidi" w:cstheme="majorBidi"/>
        </w:rPr>
        <w:t xml:space="preserve"> an 8-year single structure compulsory education </w:t>
      </w:r>
      <w:r w:rsidR="00084250" w:rsidRPr="00173F61">
        <w:rPr>
          <w:rFonts w:asciiTheme="majorBidi" w:hAnsiTheme="majorBidi" w:cstheme="majorBidi"/>
        </w:rPr>
        <w:t xml:space="preserve">programme </w:t>
      </w:r>
      <w:r w:rsidR="000F2D9C" w:rsidRPr="00173F61">
        <w:rPr>
          <w:rFonts w:asciiTheme="majorBidi" w:hAnsiTheme="majorBidi" w:cstheme="majorBidi"/>
        </w:rPr>
        <w:t>consisting of primary and lower secondary education</w:t>
      </w:r>
      <w:r w:rsidR="00084250" w:rsidRPr="00173F61">
        <w:rPr>
          <w:rFonts w:asciiTheme="majorBidi" w:hAnsiTheme="majorBidi" w:cstheme="majorBidi"/>
        </w:rPr>
        <w:t>. Enrolment in a specific elementary school</w:t>
      </w:r>
      <w:r w:rsidR="000F2D9C" w:rsidRPr="00173F61">
        <w:rPr>
          <w:rFonts w:asciiTheme="majorBidi" w:hAnsiTheme="majorBidi" w:cstheme="majorBidi"/>
        </w:rPr>
        <w:t xml:space="preserve"> </w:t>
      </w:r>
      <w:proofErr w:type="gramStart"/>
      <w:r w:rsidR="000F2D9C" w:rsidRPr="00173F61">
        <w:rPr>
          <w:rFonts w:asciiTheme="majorBidi" w:hAnsiTheme="majorBidi" w:cstheme="majorBidi"/>
        </w:rPr>
        <w:t xml:space="preserve">is </w:t>
      </w:r>
      <w:r w:rsidR="00084250" w:rsidRPr="00173F61">
        <w:rPr>
          <w:rFonts w:asciiTheme="majorBidi" w:hAnsiTheme="majorBidi" w:cstheme="majorBidi"/>
        </w:rPr>
        <w:t>determined</w:t>
      </w:r>
      <w:proofErr w:type="gramEnd"/>
      <w:r w:rsidR="00084250" w:rsidRPr="00173F61">
        <w:rPr>
          <w:rFonts w:asciiTheme="majorBidi" w:hAnsiTheme="majorBidi" w:cstheme="majorBidi"/>
        </w:rPr>
        <w:t xml:space="preserve"> by</w:t>
      </w:r>
      <w:r w:rsidR="000F2D9C" w:rsidRPr="00173F61">
        <w:rPr>
          <w:rFonts w:asciiTheme="majorBidi" w:hAnsiTheme="majorBidi" w:cstheme="majorBidi"/>
        </w:rPr>
        <w:t xml:space="preserve"> catchment area. </w:t>
      </w:r>
      <w:r w:rsidR="001B60D1" w:rsidRPr="00173F61">
        <w:rPr>
          <w:rFonts w:asciiTheme="majorBidi" w:hAnsiTheme="majorBidi" w:cstheme="majorBidi"/>
        </w:rPr>
        <w:t xml:space="preserve">Of particular interest in the present study was the examination of </w:t>
      </w:r>
      <w:r w:rsidR="00543C9A" w:rsidRPr="00173F61">
        <w:rPr>
          <w:rFonts w:asciiTheme="majorBidi" w:hAnsiTheme="majorBidi" w:cstheme="majorBidi"/>
        </w:rPr>
        <w:t xml:space="preserve">this topic in </w:t>
      </w:r>
      <w:r w:rsidR="001B60D1" w:rsidRPr="00173F61">
        <w:rPr>
          <w:rFonts w:asciiTheme="majorBidi" w:hAnsiTheme="majorBidi" w:cstheme="majorBidi"/>
        </w:rPr>
        <w:t xml:space="preserve">a pupil </w:t>
      </w:r>
      <w:r w:rsidR="00543C9A" w:rsidRPr="00173F61">
        <w:rPr>
          <w:rFonts w:asciiTheme="majorBidi" w:hAnsiTheme="majorBidi" w:cstheme="majorBidi"/>
        </w:rPr>
        <w:t xml:space="preserve">cohort </w:t>
      </w:r>
      <w:r w:rsidR="002F37FA" w:rsidRPr="00173F61">
        <w:rPr>
          <w:rFonts w:asciiTheme="majorBidi" w:hAnsiTheme="majorBidi" w:cstheme="majorBidi"/>
        </w:rPr>
        <w:t xml:space="preserve">that </w:t>
      </w:r>
      <w:proofErr w:type="gramStart"/>
      <w:r w:rsidR="002F37FA" w:rsidRPr="00173F61">
        <w:rPr>
          <w:rFonts w:asciiTheme="majorBidi" w:hAnsiTheme="majorBidi" w:cstheme="majorBidi"/>
        </w:rPr>
        <w:t xml:space="preserve">was </w:t>
      </w:r>
      <w:r w:rsidR="00F550AD" w:rsidRPr="00173F61">
        <w:rPr>
          <w:rFonts w:asciiTheme="majorBidi" w:hAnsiTheme="majorBidi" w:cstheme="majorBidi"/>
        </w:rPr>
        <w:t>followed</w:t>
      </w:r>
      <w:proofErr w:type="gramEnd"/>
      <w:r w:rsidR="002F37FA" w:rsidRPr="00173F61">
        <w:rPr>
          <w:rFonts w:asciiTheme="majorBidi" w:hAnsiTheme="majorBidi" w:cstheme="majorBidi"/>
        </w:rPr>
        <w:t xml:space="preserve"> longitudinally</w:t>
      </w:r>
      <w:r w:rsidR="00084250" w:rsidRPr="00173F61">
        <w:rPr>
          <w:rFonts w:asciiTheme="majorBidi" w:hAnsiTheme="majorBidi" w:cstheme="majorBidi"/>
        </w:rPr>
        <w:t xml:space="preserve"> over a period of two years during which participants were in their</w:t>
      </w:r>
      <w:r w:rsidR="002F37FA" w:rsidRPr="00173F61">
        <w:rPr>
          <w:rFonts w:asciiTheme="majorBidi" w:hAnsiTheme="majorBidi" w:cstheme="majorBidi"/>
        </w:rPr>
        <w:t xml:space="preserve"> </w:t>
      </w:r>
      <w:r w:rsidR="00084250" w:rsidRPr="00173F61">
        <w:rPr>
          <w:rFonts w:asciiTheme="majorBidi" w:hAnsiTheme="majorBidi" w:cstheme="majorBidi"/>
        </w:rPr>
        <w:t>final two years of elementary education. This phase of elementary education represents a</w:t>
      </w:r>
      <w:r w:rsidR="001B60D1" w:rsidRPr="00173F61">
        <w:rPr>
          <w:rFonts w:asciiTheme="majorBidi" w:hAnsiTheme="majorBidi" w:cstheme="majorBidi"/>
        </w:rPr>
        <w:t xml:space="preserve"> </w:t>
      </w:r>
      <w:r w:rsidR="00543C9A" w:rsidRPr="00173F61">
        <w:rPr>
          <w:rFonts w:asciiTheme="majorBidi" w:hAnsiTheme="majorBidi" w:cstheme="majorBidi"/>
        </w:rPr>
        <w:t xml:space="preserve">transitional period </w:t>
      </w:r>
      <w:r w:rsidR="00084250" w:rsidRPr="00173F61">
        <w:rPr>
          <w:rFonts w:asciiTheme="majorBidi" w:hAnsiTheme="majorBidi" w:cstheme="majorBidi"/>
        </w:rPr>
        <w:t>for Croatian pupils, where they must</w:t>
      </w:r>
      <w:r w:rsidR="001B60D1" w:rsidRPr="00173F61">
        <w:rPr>
          <w:rFonts w:asciiTheme="majorBidi" w:hAnsiTheme="majorBidi" w:cstheme="majorBidi"/>
        </w:rPr>
        <w:t xml:space="preserve"> decide to which </w:t>
      </w:r>
      <w:r w:rsidR="000F2D9C" w:rsidRPr="00173F61">
        <w:rPr>
          <w:rFonts w:asciiTheme="majorBidi" w:hAnsiTheme="majorBidi" w:cstheme="majorBidi"/>
        </w:rPr>
        <w:t xml:space="preserve">upper </w:t>
      </w:r>
      <w:r w:rsidR="001B60D1" w:rsidRPr="00173F61">
        <w:rPr>
          <w:rFonts w:asciiTheme="majorBidi" w:hAnsiTheme="majorBidi" w:cstheme="majorBidi"/>
        </w:rPr>
        <w:t>secondary school they are going to apply</w:t>
      </w:r>
      <w:r w:rsidR="000F2D9C" w:rsidRPr="00173F61">
        <w:rPr>
          <w:rFonts w:asciiTheme="majorBidi" w:hAnsiTheme="majorBidi" w:cstheme="majorBidi"/>
        </w:rPr>
        <w:t>.</w:t>
      </w:r>
      <w:r w:rsidR="00C3463A" w:rsidRPr="00173F61">
        <w:rPr>
          <w:rFonts w:asciiTheme="majorBidi" w:hAnsiTheme="majorBidi" w:cstheme="majorBidi"/>
        </w:rPr>
        <w:t xml:space="preserve"> </w:t>
      </w:r>
      <w:r w:rsidR="000F2D9C" w:rsidRPr="00173F61">
        <w:rPr>
          <w:rFonts w:asciiTheme="majorBidi" w:hAnsiTheme="majorBidi" w:cstheme="majorBidi"/>
        </w:rPr>
        <w:t xml:space="preserve">At the end of elementary education, </w:t>
      </w:r>
      <w:r w:rsidR="00966743" w:rsidRPr="00173F61">
        <w:rPr>
          <w:rFonts w:asciiTheme="majorBidi" w:hAnsiTheme="majorBidi" w:cstheme="majorBidi"/>
        </w:rPr>
        <w:t>Croatian</w:t>
      </w:r>
      <w:r w:rsidR="00EA1C22" w:rsidRPr="00173F61">
        <w:rPr>
          <w:rFonts w:asciiTheme="majorBidi" w:hAnsiTheme="majorBidi" w:cstheme="majorBidi"/>
        </w:rPr>
        <w:t xml:space="preserve"> pupils </w:t>
      </w:r>
      <w:r w:rsidR="00BB4F49" w:rsidRPr="00173F61">
        <w:rPr>
          <w:rFonts w:asciiTheme="majorBidi" w:hAnsiTheme="majorBidi" w:cstheme="majorBidi"/>
        </w:rPr>
        <w:t xml:space="preserve">can </w:t>
      </w:r>
      <w:r w:rsidR="00EA1C22" w:rsidRPr="00173F61">
        <w:rPr>
          <w:rFonts w:asciiTheme="majorBidi" w:hAnsiTheme="majorBidi" w:cstheme="majorBidi"/>
        </w:rPr>
        <w:t>continue their education in one of three types of</w:t>
      </w:r>
      <w:r w:rsidR="0072554D" w:rsidRPr="00173F61">
        <w:rPr>
          <w:rFonts w:asciiTheme="majorBidi" w:hAnsiTheme="majorBidi" w:cstheme="majorBidi"/>
        </w:rPr>
        <w:t xml:space="preserve"> </w:t>
      </w:r>
      <w:r w:rsidR="00336588" w:rsidRPr="00173F61">
        <w:rPr>
          <w:rFonts w:asciiTheme="majorBidi" w:hAnsiTheme="majorBidi" w:cstheme="majorBidi"/>
        </w:rPr>
        <w:t xml:space="preserve">upper </w:t>
      </w:r>
      <w:r w:rsidR="0072554D" w:rsidRPr="00173F61">
        <w:rPr>
          <w:rFonts w:asciiTheme="majorBidi" w:hAnsiTheme="majorBidi" w:cstheme="majorBidi"/>
        </w:rPr>
        <w:t xml:space="preserve">secondary </w:t>
      </w:r>
      <w:r w:rsidR="00BB4F49" w:rsidRPr="00173F61">
        <w:rPr>
          <w:rFonts w:asciiTheme="majorBidi" w:hAnsiTheme="majorBidi" w:cstheme="majorBidi"/>
        </w:rPr>
        <w:t xml:space="preserve">education </w:t>
      </w:r>
      <w:r w:rsidR="0072554D" w:rsidRPr="00173F61">
        <w:rPr>
          <w:rFonts w:asciiTheme="majorBidi" w:hAnsiTheme="majorBidi" w:cstheme="majorBidi"/>
        </w:rPr>
        <w:t>programmes</w:t>
      </w:r>
      <w:r w:rsidR="00EA1C22" w:rsidRPr="00173F61">
        <w:rPr>
          <w:rFonts w:asciiTheme="majorBidi" w:hAnsiTheme="majorBidi" w:cstheme="majorBidi"/>
        </w:rPr>
        <w:t>.</w:t>
      </w:r>
      <w:r w:rsidR="00CF7D37" w:rsidRPr="00173F61">
        <w:rPr>
          <w:rFonts w:asciiTheme="majorBidi" w:hAnsiTheme="majorBidi" w:cstheme="majorBidi"/>
        </w:rPr>
        <w:t xml:space="preserve"> </w:t>
      </w:r>
      <w:r w:rsidR="00BB4F49" w:rsidRPr="00173F61">
        <w:rPr>
          <w:rFonts w:asciiTheme="majorBidi" w:hAnsiTheme="majorBidi" w:cstheme="majorBidi"/>
        </w:rPr>
        <w:t>G</w:t>
      </w:r>
      <w:r w:rsidR="00336588" w:rsidRPr="00173F61">
        <w:rPr>
          <w:rFonts w:asciiTheme="majorBidi" w:hAnsiTheme="majorBidi" w:cstheme="majorBidi"/>
        </w:rPr>
        <w:t>eneral upper secondary education programme</w:t>
      </w:r>
      <w:r w:rsidR="00A6347F" w:rsidRPr="00173F61">
        <w:rPr>
          <w:rFonts w:asciiTheme="majorBidi" w:hAnsiTheme="majorBidi" w:cstheme="majorBidi"/>
        </w:rPr>
        <w:t>s</w:t>
      </w:r>
      <w:r w:rsidR="00336588" w:rsidRPr="00173F61">
        <w:rPr>
          <w:rFonts w:asciiTheme="majorBidi" w:hAnsiTheme="majorBidi" w:cstheme="majorBidi"/>
        </w:rPr>
        <w:t xml:space="preserve"> (gymnasium)</w:t>
      </w:r>
      <w:r w:rsidR="00F23018" w:rsidRPr="00173F61">
        <w:rPr>
          <w:rFonts w:asciiTheme="majorBidi" w:hAnsiTheme="majorBidi" w:cstheme="majorBidi"/>
        </w:rPr>
        <w:t xml:space="preserve"> </w:t>
      </w:r>
      <w:r w:rsidR="00BB4F49" w:rsidRPr="00173F61">
        <w:rPr>
          <w:rFonts w:asciiTheme="majorBidi" w:hAnsiTheme="majorBidi" w:cstheme="majorBidi"/>
        </w:rPr>
        <w:t xml:space="preserve">are </w:t>
      </w:r>
      <w:r w:rsidR="00F23018" w:rsidRPr="00173F61">
        <w:rPr>
          <w:rFonts w:asciiTheme="majorBidi" w:hAnsiTheme="majorBidi" w:cstheme="majorBidi"/>
        </w:rPr>
        <w:lastRenderedPageBreak/>
        <w:t>four years</w:t>
      </w:r>
      <w:r w:rsidR="00BB4F49" w:rsidRPr="00173F61">
        <w:rPr>
          <w:rFonts w:asciiTheme="majorBidi" w:hAnsiTheme="majorBidi" w:cstheme="majorBidi"/>
        </w:rPr>
        <w:t xml:space="preserve"> in duration</w:t>
      </w:r>
      <w:r w:rsidR="007B05D0" w:rsidRPr="00173F61">
        <w:rPr>
          <w:rFonts w:asciiTheme="majorBidi" w:hAnsiTheme="majorBidi" w:cstheme="majorBidi"/>
        </w:rPr>
        <w:t xml:space="preserve"> </w:t>
      </w:r>
      <w:r w:rsidR="00F23018" w:rsidRPr="00173F61">
        <w:rPr>
          <w:rFonts w:asciiTheme="majorBidi" w:hAnsiTheme="majorBidi" w:cstheme="majorBidi"/>
        </w:rPr>
        <w:t xml:space="preserve">and prepare </w:t>
      </w:r>
      <w:r w:rsidR="007B05D0" w:rsidRPr="00173F61">
        <w:rPr>
          <w:rFonts w:asciiTheme="majorBidi" w:hAnsiTheme="majorBidi" w:cstheme="majorBidi"/>
        </w:rPr>
        <w:t xml:space="preserve">pupils for </w:t>
      </w:r>
      <w:r w:rsidR="00783C25" w:rsidRPr="00173F61">
        <w:rPr>
          <w:rFonts w:asciiTheme="majorBidi" w:hAnsiTheme="majorBidi" w:cstheme="majorBidi"/>
        </w:rPr>
        <w:t>higher education.</w:t>
      </w:r>
      <w:r w:rsidR="00407886" w:rsidRPr="00173F61">
        <w:rPr>
          <w:rFonts w:asciiTheme="majorBidi" w:hAnsiTheme="majorBidi" w:cstheme="majorBidi"/>
        </w:rPr>
        <w:t xml:space="preserve"> </w:t>
      </w:r>
      <w:r w:rsidR="00E0299C" w:rsidRPr="00173F61">
        <w:rPr>
          <w:rFonts w:asciiTheme="majorBidi" w:hAnsiTheme="majorBidi" w:cstheme="majorBidi"/>
        </w:rPr>
        <w:t>At</w:t>
      </w:r>
      <w:r w:rsidR="00407886" w:rsidRPr="00173F61">
        <w:rPr>
          <w:rFonts w:asciiTheme="majorBidi" w:hAnsiTheme="majorBidi" w:cstheme="majorBidi"/>
        </w:rPr>
        <w:t xml:space="preserve"> </w:t>
      </w:r>
      <w:r w:rsidR="00E0299C" w:rsidRPr="00173F61">
        <w:rPr>
          <w:rFonts w:asciiTheme="majorBidi" w:hAnsiTheme="majorBidi" w:cstheme="majorBidi"/>
        </w:rPr>
        <w:t xml:space="preserve">the </w:t>
      </w:r>
      <w:r w:rsidR="00407886" w:rsidRPr="00173F61">
        <w:rPr>
          <w:rFonts w:asciiTheme="majorBidi" w:hAnsiTheme="majorBidi" w:cstheme="majorBidi"/>
        </w:rPr>
        <w:t>end</w:t>
      </w:r>
      <w:r w:rsidR="00E0299C" w:rsidRPr="00173F61">
        <w:rPr>
          <w:rFonts w:asciiTheme="majorBidi" w:hAnsiTheme="majorBidi" w:cstheme="majorBidi"/>
        </w:rPr>
        <w:t xml:space="preserve"> of the </w:t>
      </w:r>
      <w:r w:rsidR="00CE00C8" w:rsidRPr="00173F61">
        <w:rPr>
          <w:rFonts w:asciiTheme="majorBidi" w:hAnsiTheme="majorBidi" w:cstheme="majorBidi"/>
        </w:rPr>
        <w:t>fourth</w:t>
      </w:r>
      <w:r w:rsidR="00E0299C" w:rsidRPr="00173F61">
        <w:rPr>
          <w:rFonts w:asciiTheme="majorBidi" w:hAnsiTheme="majorBidi" w:cstheme="majorBidi"/>
        </w:rPr>
        <w:t xml:space="preserve"> year, </w:t>
      </w:r>
      <w:r w:rsidR="007401D1" w:rsidRPr="00173F61">
        <w:rPr>
          <w:rFonts w:asciiTheme="majorBidi" w:hAnsiTheme="majorBidi" w:cstheme="majorBidi"/>
        </w:rPr>
        <w:t xml:space="preserve">gymnasium </w:t>
      </w:r>
      <w:r w:rsidR="00E0299C" w:rsidRPr="00173F61">
        <w:rPr>
          <w:rFonts w:asciiTheme="majorBidi" w:hAnsiTheme="majorBidi" w:cstheme="majorBidi"/>
        </w:rPr>
        <w:t xml:space="preserve">pupils are </w:t>
      </w:r>
      <w:r w:rsidR="00BB4F49" w:rsidRPr="00173F61">
        <w:rPr>
          <w:rFonts w:asciiTheme="majorBidi" w:hAnsiTheme="majorBidi" w:cstheme="majorBidi"/>
        </w:rPr>
        <w:t xml:space="preserve">obligated </w:t>
      </w:r>
      <w:r w:rsidR="00E0299C" w:rsidRPr="00173F61">
        <w:rPr>
          <w:rFonts w:asciiTheme="majorBidi" w:hAnsiTheme="majorBidi" w:cstheme="majorBidi"/>
        </w:rPr>
        <w:t>to take</w:t>
      </w:r>
      <w:r w:rsidR="00407886" w:rsidRPr="00173F61">
        <w:rPr>
          <w:rFonts w:asciiTheme="majorBidi" w:hAnsiTheme="majorBidi" w:cstheme="majorBidi"/>
        </w:rPr>
        <w:t xml:space="preserve"> </w:t>
      </w:r>
      <w:r w:rsidR="000F2D9C" w:rsidRPr="00173F61">
        <w:rPr>
          <w:rFonts w:asciiTheme="majorBidi" w:hAnsiTheme="majorBidi" w:cstheme="majorBidi"/>
        </w:rPr>
        <w:t xml:space="preserve">externally administered </w:t>
      </w:r>
      <w:r w:rsidR="00407886" w:rsidRPr="00173F61">
        <w:rPr>
          <w:rFonts w:asciiTheme="majorBidi" w:hAnsiTheme="majorBidi" w:cstheme="majorBidi"/>
        </w:rPr>
        <w:t>State Matura examinations</w:t>
      </w:r>
      <w:r w:rsidR="00084250" w:rsidRPr="00173F61">
        <w:rPr>
          <w:rFonts w:asciiTheme="majorBidi" w:hAnsiTheme="majorBidi" w:cstheme="majorBidi"/>
        </w:rPr>
        <w:t>,</w:t>
      </w:r>
      <w:r w:rsidR="000F2D9C" w:rsidRPr="00173F61">
        <w:rPr>
          <w:rFonts w:asciiTheme="majorBidi" w:hAnsiTheme="majorBidi" w:cstheme="majorBidi"/>
        </w:rPr>
        <w:t xml:space="preserve"> which serve </w:t>
      </w:r>
      <w:r w:rsidR="00084250" w:rsidRPr="00173F61">
        <w:rPr>
          <w:rFonts w:asciiTheme="majorBidi" w:hAnsiTheme="majorBidi" w:cstheme="majorBidi"/>
        </w:rPr>
        <w:t>the</w:t>
      </w:r>
      <w:r w:rsidR="00ED324C" w:rsidRPr="00173F61">
        <w:rPr>
          <w:rFonts w:asciiTheme="majorBidi" w:hAnsiTheme="majorBidi" w:cstheme="majorBidi"/>
        </w:rPr>
        <w:t xml:space="preserve"> dual </w:t>
      </w:r>
      <w:r w:rsidR="000F2D9C" w:rsidRPr="00173F61">
        <w:rPr>
          <w:rFonts w:asciiTheme="majorBidi" w:hAnsiTheme="majorBidi" w:cstheme="majorBidi"/>
        </w:rPr>
        <w:t xml:space="preserve">role of </w:t>
      </w:r>
      <w:r w:rsidR="00ED324C" w:rsidRPr="00173F61">
        <w:rPr>
          <w:rFonts w:asciiTheme="majorBidi" w:hAnsiTheme="majorBidi" w:cstheme="majorBidi"/>
        </w:rPr>
        <w:t>certifying</w:t>
      </w:r>
      <w:r w:rsidR="000F2D9C" w:rsidRPr="00173F61">
        <w:rPr>
          <w:rFonts w:asciiTheme="majorBidi" w:hAnsiTheme="majorBidi" w:cstheme="majorBidi"/>
        </w:rPr>
        <w:t xml:space="preserve"> completion of secondary education </w:t>
      </w:r>
      <w:r w:rsidR="00ED324C" w:rsidRPr="00173F61">
        <w:rPr>
          <w:rFonts w:asciiTheme="majorBidi" w:hAnsiTheme="majorBidi" w:cstheme="majorBidi"/>
        </w:rPr>
        <w:t>and qualifying</w:t>
      </w:r>
      <w:r w:rsidR="000F2D9C" w:rsidRPr="00173F61">
        <w:rPr>
          <w:rFonts w:asciiTheme="majorBidi" w:hAnsiTheme="majorBidi" w:cstheme="majorBidi"/>
        </w:rPr>
        <w:t xml:space="preserve"> </w:t>
      </w:r>
      <w:r w:rsidR="00ED324C" w:rsidRPr="00173F61">
        <w:rPr>
          <w:rFonts w:asciiTheme="majorBidi" w:hAnsiTheme="majorBidi" w:cstheme="majorBidi"/>
        </w:rPr>
        <w:t xml:space="preserve">a pupil </w:t>
      </w:r>
      <w:r w:rsidR="000F2D9C" w:rsidRPr="00173F61">
        <w:rPr>
          <w:rFonts w:asciiTheme="majorBidi" w:hAnsiTheme="majorBidi" w:cstheme="majorBidi"/>
        </w:rPr>
        <w:t xml:space="preserve">for entrance to higher education. </w:t>
      </w:r>
      <w:r w:rsidR="002B16BE" w:rsidRPr="00173F61">
        <w:rPr>
          <w:rFonts w:asciiTheme="majorBidi" w:hAnsiTheme="majorBidi" w:cstheme="majorBidi"/>
        </w:rPr>
        <w:t xml:space="preserve">These programmes </w:t>
      </w:r>
      <w:r w:rsidR="00BC4120" w:rsidRPr="00173F61">
        <w:rPr>
          <w:rFonts w:asciiTheme="majorBidi" w:hAnsiTheme="majorBidi" w:cstheme="majorBidi"/>
        </w:rPr>
        <w:t xml:space="preserve">do not qualify </w:t>
      </w:r>
      <w:r w:rsidR="00CC435D" w:rsidRPr="00173F61">
        <w:rPr>
          <w:rFonts w:asciiTheme="majorBidi" w:hAnsiTheme="majorBidi" w:cstheme="majorBidi"/>
        </w:rPr>
        <w:t>pupils</w:t>
      </w:r>
      <w:r w:rsidR="00BC4120" w:rsidRPr="00173F61">
        <w:rPr>
          <w:rFonts w:asciiTheme="majorBidi" w:hAnsiTheme="majorBidi" w:cstheme="majorBidi"/>
        </w:rPr>
        <w:t xml:space="preserve"> for a particular profession</w:t>
      </w:r>
      <w:r w:rsidR="00ED324C" w:rsidRPr="00173F61">
        <w:rPr>
          <w:rFonts w:asciiTheme="majorBidi" w:hAnsiTheme="majorBidi" w:cstheme="majorBidi"/>
        </w:rPr>
        <w:t xml:space="preserve">. Instead, pupils </w:t>
      </w:r>
      <w:proofErr w:type="gramStart"/>
      <w:r w:rsidR="000F2D9C" w:rsidRPr="00173F61">
        <w:rPr>
          <w:rFonts w:asciiTheme="majorBidi" w:hAnsiTheme="majorBidi" w:cstheme="majorBidi"/>
        </w:rPr>
        <w:t>are expected</w:t>
      </w:r>
      <w:proofErr w:type="gramEnd"/>
      <w:r w:rsidR="000F2D9C" w:rsidRPr="00173F61">
        <w:rPr>
          <w:rFonts w:asciiTheme="majorBidi" w:hAnsiTheme="majorBidi" w:cstheme="majorBidi"/>
        </w:rPr>
        <w:t xml:space="preserve"> to continue education at the tertiary level</w:t>
      </w:r>
      <w:r w:rsidR="00407886" w:rsidRPr="00173F61">
        <w:rPr>
          <w:rFonts w:asciiTheme="majorBidi" w:hAnsiTheme="majorBidi" w:cstheme="majorBidi"/>
        </w:rPr>
        <w:t>.</w:t>
      </w:r>
      <w:r w:rsidR="008D7010" w:rsidRPr="00173F61">
        <w:rPr>
          <w:rFonts w:asciiTheme="majorBidi" w:hAnsiTheme="majorBidi" w:cstheme="majorBidi"/>
        </w:rPr>
        <w:t xml:space="preserve"> </w:t>
      </w:r>
      <w:r w:rsidR="00BB4F49" w:rsidRPr="00173F61">
        <w:rPr>
          <w:rFonts w:asciiTheme="majorBidi" w:hAnsiTheme="majorBidi" w:cstheme="majorBidi"/>
        </w:rPr>
        <w:t>In contrast</w:t>
      </w:r>
      <w:r w:rsidR="00BA73B1" w:rsidRPr="00173F61">
        <w:rPr>
          <w:rFonts w:asciiTheme="majorBidi" w:hAnsiTheme="majorBidi" w:cstheme="majorBidi"/>
        </w:rPr>
        <w:t>,</w:t>
      </w:r>
      <w:r w:rsidR="0072554D" w:rsidRPr="00173F61">
        <w:rPr>
          <w:rFonts w:asciiTheme="majorBidi" w:hAnsiTheme="majorBidi" w:cstheme="majorBidi"/>
        </w:rPr>
        <w:t xml:space="preserve"> four-year </w:t>
      </w:r>
      <w:r w:rsidR="00D42E0E" w:rsidRPr="00173F61">
        <w:rPr>
          <w:rFonts w:asciiTheme="majorBidi" w:hAnsiTheme="majorBidi" w:cstheme="majorBidi"/>
        </w:rPr>
        <w:t>VET</w:t>
      </w:r>
      <w:r w:rsidR="0072554D" w:rsidRPr="00173F61">
        <w:rPr>
          <w:rFonts w:asciiTheme="majorBidi" w:hAnsiTheme="majorBidi" w:cstheme="majorBidi"/>
        </w:rPr>
        <w:t xml:space="preserve"> programmes</w:t>
      </w:r>
      <w:r w:rsidR="002524C5" w:rsidRPr="001133D0">
        <w:rPr>
          <w:vertAlign w:val="superscript"/>
        </w:rPr>
        <w:footnoteReference w:id="2"/>
      </w:r>
      <w:r w:rsidR="005D30E3" w:rsidRPr="00173F61">
        <w:rPr>
          <w:rFonts w:asciiTheme="majorBidi" w:hAnsiTheme="majorBidi" w:cstheme="majorBidi"/>
        </w:rPr>
        <w:t xml:space="preserve"> </w:t>
      </w:r>
      <w:r w:rsidR="00BB750A" w:rsidRPr="00173F61">
        <w:rPr>
          <w:rFonts w:asciiTheme="majorBidi" w:hAnsiTheme="majorBidi" w:cstheme="majorBidi"/>
        </w:rPr>
        <w:t xml:space="preserve">prepare </w:t>
      </w:r>
      <w:r w:rsidR="00024E3D" w:rsidRPr="00173F61">
        <w:rPr>
          <w:rFonts w:asciiTheme="majorBidi" w:hAnsiTheme="majorBidi" w:cstheme="majorBidi"/>
        </w:rPr>
        <w:t>pupils</w:t>
      </w:r>
      <w:r w:rsidR="00BB750A" w:rsidRPr="00173F61">
        <w:rPr>
          <w:rFonts w:asciiTheme="majorBidi" w:hAnsiTheme="majorBidi" w:cstheme="majorBidi"/>
        </w:rPr>
        <w:t xml:space="preserve"> for </w:t>
      </w:r>
      <w:r w:rsidR="00BB4F49" w:rsidRPr="00173F61">
        <w:rPr>
          <w:rFonts w:asciiTheme="majorBidi" w:hAnsiTheme="majorBidi" w:cstheme="majorBidi"/>
        </w:rPr>
        <w:t xml:space="preserve">the </w:t>
      </w:r>
      <w:r w:rsidR="00BB750A" w:rsidRPr="00173F61">
        <w:rPr>
          <w:rFonts w:asciiTheme="majorBidi" w:hAnsiTheme="majorBidi" w:cstheme="majorBidi"/>
        </w:rPr>
        <w:t xml:space="preserve">labour market </w:t>
      </w:r>
      <w:r w:rsidR="00BB4F49" w:rsidRPr="00173F61">
        <w:rPr>
          <w:rFonts w:asciiTheme="majorBidi" w:hAnsiTheme="majorBidi" w:cstheme="majorBidi"/>
        </w:rPr>
        <w:t xml:space="preserve">while still allowing for the </w:t>
      </w:r>
      <w:r w:rsidR="00BB750A" w:rsidRPr="00173F61">
        <w:rPr>
          <w:rFonts w:asciiTheme="majorBidi" w:hAnsiTheme="majorBidi" w:cstheme="majorBidi"/>
        </w:rPr>
        <w:t xml:space="preserve">possibility </w:t>
      </w:r>
      <w:r w:rsidR="00C3463A" w:rsidRPr="00173F61">
        <w:rPr>
          <w:rFonts w:asciiTheme="majorBidi" w:hAnsiTheme="majorBidi" w:cstheme="majorBidi"/>
        </w:rPr>
        <w:t xml:space="preserve">of </w:t>
      </w:r>
      <w:r w:rsidR="00BB4F49" w:rsidRPr="00173F61">
        <w:rPr>
          <w:rFonts w:asciiTheme="majorBidi" w:hAnsiTheme="majorBidi" w:cstheme="majorBidi"/>
        </w:rPr>
        <w:t>continuing</w:t>
      </w:r>
      <w:r w:rsidR="00BB750A" w:rsidRPr="00173F61">
        <w:rPr>
          <w:rFonts w:asciiTheme="majorBidi" w:hAnsiTheme="majorBidi" w:cstheme="majorBidi"/>
        </w:rPr>
        <w:t xml:space="preserve"> education at</w:t>
      </w:r>
      <w:r w:rsidR="00BB4F49" w:rsidRPr="00173F61">
        <w:rPr>
          <w:rFonts w:asciiTheme="majorBidi" w:hAnsiTheme="majorBidi" w:cstheme="majorBidi"/>
        </w:rPr>
        <w:t xml:space="preserve"> a</w:t>
      </w:r>
      <w:r w:rsidR="00BB750A" w:rsidRPr="00173F61">
        <w:rPr>
          <w:rFonts w:asciiTheme="majorBidi" w:hAnsiTheme="majorBidi" w:cstheme="majorBidi"/>
        </w:rPr>
        <w:t xml:space="preserve"> higher level</w:t>
      </w:r>
      <w:r w:rsidR="003F011D" w:rsidRPr="00173F61">
        <w:rPr>
          <w:rFonts w:asciiTheme="majorBidi" w:hAnsiTheme="majorBidi" w:cstheme="majorBidi"/>
        </w:rPr>
        <w:t xml:space="preserve"> if </w:t>
      </w:r>
      <w:r w:rsidR="00C3463A" w:rsidRPr="00173F61">
        <w:rPr>
          <w:rFonts w:asciiTheme="majorBidi" w:hAnsiTheme="majorBidi" w:cstheme="majorBidi"/>
        </w:rPr>
        <w:t xml:space="preserve">a pupil </w:t>
      </w:r>
      <w:r w:rsidR="00BB4F49" w:rsidRPr="00173F61">
        <w:rPr>
          <w:rFonts w:asciiTheme="majorBidi" w:hAnsiTheme="majorBidi" w:cstheme="majorBidi"/>
        </w:rPr>
        <w:t>sit</w:t>
      </w:r>
      <w:r w:rsidR="00C3463A" w:rsidRPr="00173F61">
        <w:rPr>
          <w:rFonts w:asciiTheme="majorBidi" w:hAnsiTheme="majorBidi" w:cstheme="majorBidi"/>
        </w:rPr>
        <w:t xml:space="preserve">s </w:t>
      </w:r>
      <w:r w:rsidR="003F011D" w:rsidRPr="00173F61">
        <w:rPr>
          <w:rFonts w:asciiTheme="majorBidi" w:hAnsiTheme="majorBidi" w:cstheme="majorBidi"/>
        </w:rPr>
        <w:t>the State Matura examinations</w:t>
      </w:r>
      <w:r w:rsidR="00BB750A" w:rsidRPr="00173F61">
        <w:rPr>
          <w:rFonts w:asciiTheme="majorBidi" w:hAnsiTheme="majorBidi" w:cstheme="majorBidi"/>
        </w:rPr>
        <w:t>.</w:t>
      </w:r>
      <w:r w:rsidR="001B2FFD" w:rsidRPr="00173F61">
        <w:rPr>
          <w:rFonts w:asciiTheme="majorBidi" w:hAnsiTheme="majorBidi" w:cstheme="majorBidi"/>
        </w:rPr>
        <w:t xml:space="preserve"> T</w:t>
      </w:r>
      <w:r w:rsidR="0072554D" w:rsidRPr="00173F61">
        <w:rPr>
          <w:rFonts w:asciiTheme="majorBidi" w:hAnsiTheme="majorBidi" w:cstheme="majorBidi"/>
        </w:rPr>
        <w:t xml:space="preserve">hree-year </w:t>
      </w:r>
      <w:r w:rsidR="007022C3" w:rsidRPr="00173F61">
        <w:rPr>
          <w:rFonts w:asciiTheme="majorBidi" w:hAnsiTheme="majorBidi" w:cstheme="majorBidi"/>
        </w:rPr>
        <w:t>VET</w:t>
      </w:r>
      <w:r w:rsidR="0072554D" w:rsidRPr="00173F61">
        <w:rPr>
          <w:rFonts w:asciiTheme="majorBidi" w:hAnsiTheme="majorBidi" w:cstheme="majorBidi"/>
        </w:rPr>
        <w:t xml:space="preserve"> programmes</w:t>
      </w:r>
      <w:r w:rsidR="00B2631D" w:rsidRPr="00173F61">
        <w:rPr>
          <w:rFonts w:asciiTheme="majorBidi" w:hAnsiTheme="majorBidi" w:cstheme="majorBidi"/>
        </w:rPr>
        <w:t xml:space="preserve"> prepare </w:t>
      </w:r>
      <w:r w:rsidR="00CC435D" w:rsidRPr="00173F61">
        <w:rPr>
          <w:rFonts w:asciiTheme="majorBidi" w:hAnsiTheme="majorBidi" w:cstheme="majorBidi"/>
        </w:rPr>
        <w:t>pupils</w:t>
      </w:r>
      <w:r w:rsidR="00B2631D" w:rsidRPr="00173F61">
        <w:rPr>
          <w:rFonts w:asciiTheme="majorBidi" w:hAnsiTheme="majorBidi" w:cstheme="majorBidi"/>
        </w:rPr>
        <w:t xml:space="preserve"> for working in the field</w:t>
      </w:r>
      <w:r w:rsidR="00C3463A" w:rsidRPr="00173F61">
        <w:rPr>
          <w:rFonts w:asciiTheme="majorBidi" w:hAnsiTheme="majorBidi" w:cstheme="majorBidi"/>
        </w:rPr>
        <w:t>s</w:t>
      </w:r>
      <w:r w:rsidR="00B2631D" w:rsidRPr="00173F61">
        <w:rPr>
          <w:rFonts w:asciiTheme="majorBidi" w:hAnsiTheme="majorBidi" w:cstheme="majorBidi"/>
        </w:rPr>
        <w:t xml:space="preserve"> of </w:t>
      </w:r>
      <w:r w:rsidR="00181D64" w:rsidRPr="00173F61">
        <w:rPr>
          <w:rFonts w:asciiTheme="majorBidi" w:hAnsiTheme="majorBidi" w:cstheme="majorBidi"/>
        </w:rPr>
        <w:t>industry, economy and crafts</w:t>
      </w:r>
      <w:r w:rsidR="0072554D" w:rsidRPr="00173F61">
        <w:rPr>
          <w:rFonts w:asciiTheme="majorBidi" w:hAnsiTheme="majorBidi" w:cstheme="majorBidi"/>
        </w:rPr>
        <w:t>.</w:t>
      </w:r>
      <w:r w:rsidR="00CC435D" w:rsidRPr="00173F61">
        <w:rPr>
          <w:rFonts w:asciiTheme="majorBidi" w:hAnsiTheme="majorBidi" w:cstheme="majorBidi"/>
        </w:rPr>
        <w:t xml:space="preserve"> </w:t>
      </w:r>
      <w:r w:rsidR="00C3463A" w:rsidRPr="00173F61">
        <w:rPr>
          <w:rFonts w:asciiTheme="majorBidi" w:hAnsiTheme="majorBidi" w:cstheme="majorBidi"/>
        </w:rPr>
        <w:t>A</w:t>
      </w:r>
      <w:r w:rsidR="00315D77" w:rsidRPr="00173F61">
        <w:rPr>
          <w:rFonts w:asciiTheme="majorBidi" w:hAnsiTheme="majorBidi" w:cstheme="majorBidi"/>
        </w:rPr>
        <w:t xml:space="preserve"> certificate from this type of school does not entitle pupils to further their education in universities and </w:t>
      </w:r>
      <w:r w:rsidR="003F25E4" w:rsidRPr="00173F61">
        <w:rPr>
          <w:rFonts w:asciiTheme="majorBidi" w:hAnsiTheme="majorBidi" w:cstheme="majorBidi"/>
        </w:rPr>
        <w:t>polytechnics</w:t>
      </w:r>
      <w:r w:rsidR="00AD5766" w:rsidRPr="00173F61">
        <w:rPr>
          <w:rFonts w:asciiTheme="majorBidi" w:hAnsiTheme="majorBidi" w:cstheme="majorBidi"/>
        </w:rPr>
        <w:t xml:space="preserve"> (</w:t>
      </w:r>
      <w:r w:rsidR="00FE7695" w:rsidRPr="00173F61">
        <w:rPr>
          <w:rFonts w:asciiTheme="majorBidi" w:hAnsiTheme="majorBidi" w:cstheme="majorBidi"/>
        </w:rPr>
        <w:t>e.g.</w:t>
      </w:r>
      <w:r w:rsidR="00852B5E">
        <w:rPr>
          <w:rFonts w:asciiTheme="majorBidi" w:hAnsiTheme="majorBidi" w:cstheme="majorBidi"/>
        </w:rPr>
        <w:t xml:space="preserve"> Eurydice</w:t>
      </w:r>
      <w:r w:rsidR="0077613A" w:rsidRPr="00173F61">
        <w:rPr>
          <w:rFonts w:asciiTheme="majorBidi" w:hAnsiTheme="majorBidi" w:cstheme="majorBidi"/>
        </w:rPr>
        <w:t xml:space="preserve"> 2019;</w:t>
      </w:r>
      <w:r w:rsidR="00FE7695" w:rsidRPr="00173F61">
        <w:rPr>
          <w:rFonts w:asciiTheme="majorBidi" w:hAnsiTheme="majorBidi" w:cstheme="majorBidi"/>
        </w:rPr>
        <w:t xml:space="preserve"> </w:t>
      </w:r>
      <w:proofErr w:type="spellStart"/>
      <w:r w:rsidR="00FE7695" w:rsidRPr="00173F61">
        <w:rPr>
          <w:rFonts w:asciiTheme="majorBidi" w:hAnsiTheme="majorBidi" w:cstheme="majorBidi"/>
        </w:rPr>
        <w:t>Palekčić</w:t>
      </w:r>
      <w:proofErr w:type="spellEnd"/>
      <w:r w:rsidR="00FE7695" w:rsidRPr="00173F61">
        <w:rPr>
          <w:rFonts w:asciiTheme="majorBidi" w:hAnsiTheme="majorBidi" w:cstheme="majorBidi"/>
        </w:rPr>
        <w:t xml:space="preserve">, </w:t>
      </w:r>
      <w:proofErr w:type="spellStart"/>
      <w:r w:rsidR="00FE7695" w:rsidRPr="00173F61">
        <w:rPr>
          <w:rFonts w:asciiTheme="majorBidi" w:hAnsiTheme="majorBidi" w:cstheme="majorBidi"/>
        </w:rPr>
        <w:t>Radeka</w:t>
      </w:r>
      <w:proofErr w:type="spellEnd"/>
      <w:r w:rsidR="001B26A8">
        <w:rPr>
          <w:rFonts w:asciiTheme="majorBidi" w:hAnsiTheme="majorBidi" w:cstheme="majorBidi"/>
        </w:rPr>
        <w:t>, and</w:t>
      </w:r>
      <w:r w:rsidR="00852B5E">
        <w:rPr>
          <w:rFonts w:asciiTheme="majorBidi" w:hAnsiTheme="majorBidi" w:cstheme="majorBidi"/>
        </w:rPr>
        <w:t xml:space="preserve"> </w:t>
      </w:r>
      <w:proofErr w:type="spellStart"/>
      <w:r w:rsidR="00852B5E">
        <w:rPr>
          <w:rFonts w:asciiTheme="majorBidi" w:hAnsiTheme="majorBidi" w:cstheme="majorBidi"/>
        </w:rPr>
        <w:t>Zekanović</w:t>
      </w:r>
      <w:proofErr w:type="spellEnd"/>
      <w:r w:rsidR="00FE7695" w:rsidRPr="00173F61">
        <w:rPr>
          <w:rFonts w:asciiTheme="majorBidi" w:hAnsiTheme="majorBidi" w:cstheme="majorBidi"/>
        </w:rPr>
        <w:t xml:space="preserve"> 2015</w:t>
      </w:r>
      <w:r w:rsidR="00AD5766" w:rsidRPr="00173F61">
        <w:rPr>
          <w:rFonts w:asciiTheme="majorBidi" w:hAnsiTheme="majorBidi" w:cstheme="majorBidi"/>
        </w:rPr>
        <w:t>)</w:t>
      </w:r>
      <w:r w:rsidR="00315D77" w:rsidRPr="00173F61">
        <w:rPr>
          <w:rFonts w:asciiTheme="majorBidi" w:hAnsiTheme="majorBidi" w:cstheme="majorBidi"/>
        </w:rPr>
        <w:t>.</w:t>
      </w:r>
      <w:r w:rsidR="00D70C67" w:rsidRPr="00173F61">
        <w:rPr>
          <w:rFonts w:asciiTheme="majorBidi" w:hAnsiTheme="majorBidi" w:cstheme="majorBidi"/>
        </w:rPr>
        <w:t xml:space="preserve"> </w:t>
      </w:r>
    </w:p>
    <w:p w14:paraId="404D8E78" w14:textId="14B7DFEF" w:rsidR="00F8163D" w:rsidRPr="00173F61" w:rsidRDefault="00BB4F49" w:rsidP="004C08CD">
      <w:pPr>
        <w:pStyle w:val="Newparagraph"/>
        <w:rPr>
          <w:rFonts w:asciiTheme="majorBidi" w:hAnsiTheme="majorBidi" w:cstheme="majorBidi"/>
        </w:rPr>
      </w:pPr>
      <w:r w:rsidRPr="00173F61">
        <w:rPr>
          <w:rFonts w:asciiTheme="majorBidi" w:hAnsiTheme="majorBidi" w:cstheme="majorBidi"/>
        </w:rPr>
        <w:t xml:space="preserve">In the following paragraphs, </w:t>
      </w:r>
      <w:r w:rsidR="00F8163D" w:rsidRPr="00173F61">
        <w:rPr>
          <w:rFonts w:asciiTheme="majorBidi" w:hAnsiTheme="majorBidi" w:cstheme="majorBidi"/>
        </w:rPr>
        <w:t xml:space="preserve">a short overview of the theoretical models used in the </w:t>
      </w:r>
      <w:r w:rsidRPr="00173F61">
        <w:rPr>
          <w:rFonts w:asciiTheme="majorBidi" w:hAnsiTheme="majorBidi" w:cstheme="majorBidi"/>
        </w:rPr>
        <w:t xml:space="preserve">present </w:t>
      </w:r>
      <w:r w:rsidR="00F8163D" w:rsidRPr="00173F61">
        <w:rPr>
          <w:rFonts w:asciiTheme="majorBidi" w:hAnsiTheme="majorBidi" w:cstheme="majorBidi"/>
        </w:rPr>
        <w:t>study</w:t>
      </w:r>
      <w:r w:rsidRPr="00173F61">
        <w:rPr>
          <w:rFonts w:asciiTheme="majorBidi" w:hAnsiTheme="majorBidi" w:cstheme="majorBidi"/>
        </w:rPr>
        <w:t xml:space="preserve"> </w:t>
      </w:r>
      <w:proofErr w:type="gramStart"/>
      <w:r w:rsidRPr="00173F61">
        <w:rPr>
          <w:rFonts w:asciiTheme="majorBidi" w:hAnsiTheme="majorBidi" w:cstheme="majorBidi"/>
        </w:rPr>
        <w:t>is presented</w:t>
      </w:r>
      <w:proofErr w:type="gramEnd"/>
      <w:r w:rsidR="00F8163D" w:rsidRPr="00173F61">
        <w:rPr>
          <w:rFonts w:asciiTheme="majorBidi" w:hAnsiTheme="majorBidi" w:cstheme="majorBidi"/>
        </w:rPr>
        <w:t xml:space="preserve">. </w:t>
      </w:r>
    </w:p>
    <w:p w14:paraId="39FF8F1E" w14:textId="658A03CB" w:rsidR="00F8163D" w:rsidRPr="00173F61" w:rsidRDefault="00F8163D" w:rsidP="00D6471A">
      <w:pPr>
        <w:pStyle w:val="Heading2"/>
        <w:rPr>
          <w:rFonts w:asciiTheme="majorBidi" w:hAnsiTheme="majorBidi" w:cstheme="majorBidi"/>
          <w:b w:val="0"/>
          <w:bCs w:val="0"/>
          <w:i w:val="0"/>
          <w:szCs w:val="24"/>
        </w:rPr>
      </w:pPr>
      <w:r w:rsidRPr="00173F61">
        <w:rPr>
          <w:rFonts w:asciiTheme="majorBidi" w:hAnsiTheme="majorBidi" w:cstheme="majorBidi"/>
          <w:szCs w:val="24"/>
        </w:rPr>
        <w:t xml:space="preserve">Status </w:t>
      </w:r>
      <w:r w:rsidR="008E3788" w:rsidRPr="00173F61">
        <w:rPr>
          <w:rFonts w:asciiTheme="majorBidi" w:hAnsiTheme="majorBidi" w:cstheme="majorBidi"/>
          <w:szCs w:val="24"/>
        </w:rPr>
        <w:t>A</w:t>
      </w:r>
      <w:r w:rsidRPr="00173F61">
        <w:rPr>
          <w:rFonts w:asciiTheme="majorBidi" w:hAnsiTheme="majorBidi" w:cstheme="majorBidi"/>
          <w:szCs w:val="24"/>
        </w:rPr>
        <w:t xml:space="preserve">ttainment </w:t>
      </w:r>
      <w:r w:rsidR="008E3788" w:rsidRPr="00173F61">
        <w:rPr>
          <w:rFonts w:asciiTheme="majorBidi" w:hAnsiTheme="majorBidi" w:cstheme="majorBidi"/>
          <w:szCs w:val="24"/>
        </w:rPr>
        <w:t>M</w:t>
      </w:r>
      <w:r w:rsidRPr="00173F61">
        <w:rPr>
          <w:rFonts w:asciiTheme="majorBidi" w:hAnsiTheme="majorBidi" w:cstheme="majorBidi"/>
          <w:szCs w:val="24"/>
        </w:rPr>
        <w:t>odel</w:t>
      </w:r>
    </w:p>
    <w:p w14:paraId="1C2242C0" w14:textId="73E1EB41" w:rsidR="00F8163D" w:rsidRPr="00173F61" w:rsidRDefault="00BB4F49" w:rsidP="004C08CD">
      <w:pPr>
        <w:pStyle w:val="Paragraph"/>
        <w:rPr>
          <w:rFonts w:asciiTheme="majorBidi" w:hAnsiTheme="majorBidi" w:cstheme="majorBidi"/>
        </w:rPr>
      </w:pPr>
      <w:r w:rsidRPr="00173F61">
        <w:rPr>
          <w:rFonts w:asciiTheme="majorBidi" w:hAnsiTheme="majorBidi" w:cstheme="majorBidi"/>
        </w:rPr>
        <w:t>For at least fifty years, t</w:t>
      </w:r>
      <w:r w:rsidR="0001022D" w:rsidRPr="00173F61">
        <w:rPr>
          <w:rFonts w:asciiTheme="majorBidi" w:hAnsiTheme="majorBidi" w:cstheme="majorBidi"/>
        </w:rPr>
        <w:t>he s</w:t>
      </w:r>
      <w:r w:rsidR="00F8163D" w:rsidRPr="00173F61">
        <w:rPr>
          <w:rFonts w:asciiTheme="majorBidi" w:hAnsiTheme="majorBidi" w:cstheme="majorBidi"/>
        </w:rPr>
        <w:t xml:space="preserve">tatus attainment model has been the dominant paradigm </w:t>
      </w:r>
      <w:r w:rsidRPr="00173F61">
        <w:rPr>
          <w:rFonts w:asciiTheme="majorBidi" w:hAnsiTheme="majorBidi" w:cstheme="majorBidi"/>
        </w:rPr>
        <w:t xml:space="preserve">for </w:t>
      </w:r>
      <w:r w:rsidR="00F8163D" w:rsidRPr="00173F61">
        <w:rPr>
          <w:rFonts w:asciiTheme="majorBidi" w:hAnsiTheme="majorBidi" w:cstheme="majorBidi"/>
        </w:rPr>
        <w:t>exploring educational aspirations (</w:t>
      </w:r>
      <w:proofErr w:type="spellStart"/>
      <w:r w:rsidR="00F8163D" w:rsidRPr="00173F61">
        <w:rPr>
          <w:rFonts w:asciiTheme="majorBidi" w:hAnsiTheme="majorBidi" w:cstheme="majorBidi"/>
          <w:shd w:val="clear" w:color="auto" w:fill="FFFFFF"/>
        </w:rPr>
        <w:t>Berrington</w:t>
      </w:r>
      <w:proofErr w:type="spellEnd"/>
      <w:r w:rsidR="00F8163D" w:rsidRPr="00173F61">
        <w:rPr>
          <w:rFonts w:asciiTheme="majorBidi" w:hAnsiTheme="majorBidi" w:cstheme="majorBidi"/>
          <w:shd w:val="clear" w:color="auto" w:fill="FFFFFF"/>
        </w:rPr>
        <w:t>, Roberts</w:t>
      </w:r>
      <w:r w:rsidR="00E4381E">
        <w:rPr>
          <w:rFonts w:asciiTheme="majorBidi" w:hAnsiTheme="majorBidi" w:cstheme="majorBidi"/>
          <w:shd w:val="clear" w:color="auto" w:fill="FFFFFF"/>
        </w:rPr>
        <w:t>, and</w:t>
      </w:r>
      <w:r w:rsidR="00852B5E">
        <w:rPr>
          <w:rFonts w:asciiTheme="majorBidi" w:hAnsiTheme="majorBidi" w:cstheme="majorBidi"/>
          <w:shd w:val="clear" w:color="auto" w:fill="FFFFFF"/>
        </w:rPr>
        <w:t xml:space="preserve"> </w:t>
      </w:r>
      <w:proofErr w:type="spellStart"/>
      <w:r w:rsidR="00852B5E">
        <w:rPr>
          <w:rFonts w:asciiTheme="majorBidi" w:hAnsiTheme="majorBidi" w:cstheme="majorBidi"/>
          <w:shd w:val="clear" w:color="auto" w:fill="FFFFFF"/>
        </w:rPr>
        <w:t>Tammes</w:t>
      </w:r>
      <w:proofErr w:type="spellEnd"/>
      <w:r w:rsidR="00F8163D" w:rsidRPr="00173F61">
        <w:rPr>
          <w:rFonts w:asciiTheme="majorBidi" w:hAnsiTheme="majorBidi" w:cstheme="majorBidi"/>
          <w:shd w:val="clear" w:color="auto" w:fill="FFFFFF"/>
        </w:rPr>
        <w:t xml:space="preserve"> 2016; </w:t>
      </w:r>
      <w:proofErr w:type="spellStart"/>
      <w:r w:rsidR="00F8163D" w:rsidRPr="00173F61">
        <w:rPr>
          <w:rFonts w:asciiTheme="majorBidi" w:hAnsiTheme="majorBidi" w:cstheme="majorBidi"/>
          <w:shd w:val="clear" w:color="auto" w:fill="FFFFFF"/>
        </w:rPr>
        <w:t>Bohon</w:t>
      </w:r>
      <w:proofErr w:type="spellEnd"/>
      <w:r w:rsidR="00F8163D" w:rsidRPr="00173F61">
        <w:rPr>
          <w:rFonts w:asciiTheme="majorBidi" w:hAnsiTheme="majorBidi" w:cstheme="majorBidi"/>
          <w:shd w:val="clear" w:color="auto" w:fill="FFFFFF"/>
        </w:rPr>
        <w:t>, Johnson</w:t>
      </w:r>
      <w:r w:rsidR="00E4381E">
        <w:rPr>
          <w:rFonts w:asciiTheme="majorBidi" w:hAnsiTheme="majorBidi" w:cstheme="majorBidi"/>
          <w:shd w:val="clear" w:color="auto" w:fill="FFFFFF"/>
        </w:rPr>
        <w:t>, and</w:t>
      </w:r>
      <w:r w:rsidR="00852B5E">
        <w:rPr>
          <w:rFonts w:asciiTheme="majorBidi" w:hAnsiTheme="majorBidi" w:cstheme="majorBidi"/>
          <w:shd w:val="clear" w:color="auto" w:fill="FFFFFF"/>
        </w:rPr>
        <w:t xml:space="preserve"> Gorman</w:t>
      </w:r>
      <w:r w:rsidR="00F8163D" w:rsidRPr="00173F61">
        <w:rPr>
          <w:rFonts w:asciiTheme="majorBidi" w:hAnsiTheme="majorBidi" w:cstheme="majorBidi"/>
          <w:shd w:val="clear" w:color="auto" w:fill="FFFFFF"/>
        </w:rPr>
        <w:t xml:space="preserve"> 2006; </w:t>
      </w:r>
      <w:r w:rsidR="00852B5E">
        <w:rPr>
          <w:rStyle w:val="Emphasis"/>
          <w:rFonts w:asciiTheme="majorBidi" w:hAnsiTheme="majorBidi" w:cstheme="majorBidi"/>
          <w:i w:val="0"/>
          <w:iCs w:val="0"/>
          <w:shd w:val="clear" w:color="auto" w:fill="FFFFFF"/>
        </w:rPr>
        <w:t>Hanson</w:t>
      </w:r>
      <w:r w:rsidR="00F8163D" w:rsidRPr="00173F61">
        <w:rPr>
          <w:rStyle w:val="Emphasis"/>
          <w:rFonts w:asciiTheme="majorBidi" w:hAnsiTheme="majorBidi" w:cstheme="majorBidi"/>
          <w:i w:val="0"/>
          <w:iCs w:val="0"/>
          <w:shd w:val="clear" w:color="auto" w:fill="FFFFFF"/>
        </w:rPr>
        <w:t xml:space="preserve"> 1994; </w:t>
      </w:r>
      <w:r w:rsidR="00F8163D" w:rsidRPr="00173F61">
        <w:rPr>
          <w:rFonts w:asciiTheme="majorBidi" w:hAnsiTheme="majorBidi" w:cstheme="majorBidi"/>
          <w:shd w:val="clear" w:color="auto" w:fill="FFFFFF"/>
        </w:rPr>
        <w:t>Jencks, Crouse</w:t>
      </w:r>
      <w:r w:rsidR="00E4381E">
        <w:rPr>
          <w:rFonts w:asciiTheme="majorBidi" w:hAnsiTheme="majorBidi" w:cstheme="majorBidi"/>
          <w:shd w:val="clear" w:color="auto" w:fill="FFFFFF"/>
        </w:rPr>
        <w:t>, and</w:t>
      </w:r>
      <w:r w:rsidR="00852B5E">
        <w:rPr>
          <w:rFonts w:asciiTheme="majorBidi" w:hAnsiTheme="majorBidi" w:cstheme="majorBidi"/>
          <w:shd w:val="clear" w:color="auto" w:fill="FFFFFF"/>
        </w:rPr>
        <w:t xml:space="preserve"> </w:t>
      </w:r>
      <w:proofErr w:type="spellStart"/>
      <w:r w:rsidR="00852B5E">
        <w:rPr>
          <w:rFonts w:asciiTheme="majorBidi" w:hAnsiTheme="majorBidi" w:cstheme="majorBidi"/>
          <w:shd w:val="clear" w:color="auto" w:fill="FFFFFF"/>
        </w:rPr>
        <w:t>Mueser</w:t>
      </w:r>
      <w:proofErr w:type="spellEnd"/>
      <w:r w:rsidR="00F8163D" w:rsidRPr="00173F61">
        <w:rPr>
          <w:rFonts w:asciiTheme="majorBidi" w:hAnsiTheme="majorBidi" w:cstheme="majorBidi"/>
          <w:shd w:val="clear" w:color="auto" w:fill="FFFFFF"/>
        </w:rPr>
        <w:t xml:space="preserve"> 1983</w:t>
      </w:r>
      <w:r w:rsidR="00F8163D" w:rsidRPr="00173F61">
        <w:rPr>
          <w:rFonts w:asciiTheme="majorBidi" w:hAnsiTheme="majorBidi" w:cstheme="majorBidi"/>
        </w:rPr>
        <w:t xml:space="preserve">; </w:t>
      </w:r>
      <w:proofErr w:type="spellStart"/>
      <w:r w:rsidR="00852B5E">
        <w:rPr>
          <w:rFonts w:asciiTheme="majorBidi" w:hAnsiTheme="majorBidi" w:cstheme="majorBidi"/>
          <w:shd w:val="clear" w:color="auto" w:fill="FFFFFF"/>
        </w:rPr>
        <w:t>Kerckhoff</w:t>
      </w:r>
      <w:proofErr w:type="spellEnd"/>
      <w:r w:rsidR="00F8163D" w:rsidRPr="00173F61">
        <w:rPr>
          <w:rFonts w:asciiTheme="majorBidi" w:hAnsiTheme="majorBidi" w:cstheme="majorBidi"/>
          <w:shd w:val="clear" w:color="auto" w:fill="FFFFFF"/>
        </w:rPr>
        <w:t xml:space="preserve"> 1976; </w:t>
      </w:r>
      <w:r w:rsidR="00F8163D" w:rsidRPr="00173F61">
        <w:rPr>
          <w:rFonts w:asciiTheme="majorBidi" w:hAnsiTheme="majorBidi" w:cstheme="majorBidi"/>
        </w:rPr>
        <w:t>Sewell, Haller</w:t>
      </w:r>
      <w:r w:rsidR="00E4381E">
        <w:rPr>
          <w:rFonts w:asciiTheme="majorBidi" w:hAnsiTheme="majorBidi" w:cstheme="majorBidi"/>
        </w:rPr>
        <w:t>, and</w:t>
      </w:r>
      <w:r w:rsidR="00852B5E">
        <w:rPr>
          <w:rFonts w:asciiTheme="majorBidi" w:hAnsiTheme="majorBidi" w:cstheme="majorBidi"/>
        </w:rPr>
        <w:t xml:space="preserve"> </w:t>
      </w:r>
      <w:proofErr w:type="spellStart"/>
      <w:r w:rsidR="00852B5E">
        <w:rPr>
          <w:rFonts w:asciiTheme="majorBidi" w:hAnsiTheme="majorBidi" w:cstheme="majorBidi"/>
        </w:rPr>
        <w:t>Portes</w:t>
      </w:r>
      <w:proofErr w:type="spellEnd"/>
      <w:r w:rsidR="00F8163D" w:rsidRPr="00173F61">
        <w:rPr>
          <w:rFonts w:asciiTheme="majorBidi" w:hAnsiTheme="majorBidi" w:cstheme="majorBidi"/>
        </w:rPr>
        <w:t xml:space="preserve"> 1969). In this model, parents are seen as </w:t>
      </w:r>
      <w:proofErr w:type="gramStart"/>
      <w:r w:rsidR="00F8163D" w:rsidRPr="00173F61">
        <w:rPr>
          <w:rFonts w:asciiTheme="majorBidi" w:hAnsiTheme="majorBidi" w:cstheme="majorBidi"/>
        </w:rPr>
        <w:t>role-models</w:t>
      </w:r>
      <w:proofErr w:type="gramEnd"/>
      <w:r w:rsidR="00F8163D" w:rsidRPr="00173F61">
        <w:rPr>
          <w:rFonts w:asciiTheme="majorBidi" w:hAnsiTheme="majorBidi" w:cstheme="majorBidi"/>
        </w:rPr>
        <w:t xml:space="preserve"> and providers of academic resources for their children. Accordingly, parental socioeconomic status, academic support and educational expectations for </w:t>
      </w:r>
      <w:r w:rsidRPr="00173F61">
        <w:rPr>
          <w:rFonts w:asciiTheme="majorBidi" w:hAnsiTheme="majorBidi" w:cstheme="majorBidi"/>
        </w:rPr>
        <w:t xml:space="preserve">one’s </w:t>
      </w:r>
      <w:r w:rsidR="00F8163D" w:rsidRPr="00173F61">
        <w:rPr>
          <w:rFonts w:asciiTheme="majorBidi" w:hAnsiTheme="majorBidi" w:cstheme="majorBidi"/>
        </w:rPr>
        <w:t xml:space="preserve">child </w:t>
      </w:r>
      <w:proofErr w:type="gramStart"/>
      <w:r w:rsidR="00F8163D" w:rsidRPr="00173F61">
        <w:rPr>
          <w:rFonts w:asciiTheme="majorBidi" w:hAnsiTheme="majorBidi" w:cstheme="majorBidi"/>
        </w:rPr>
        <w:t xml:space="preserve">are </w:t>
      </w:r>
      <w:r w:rsidRPr="00173F61">
        <w:rPr>
          <w:rFonts w:asciiTheme="majorBidi" w:hAnsiTheme="majorBidi" w:cstheme="majorBidi"/>
        </w:rPr>
        <w:t>viewed</w:t>
      </w:r>
      <w:proofErr w:type="gramEnd"/>
      <w:r w:rsidRPr="00173F61">
        <w:rPr>
          <w:rFonts w:asciiTheme="majorBidi" w:hAnsiTheme="majorBidi" w:cstheme="majorBidi"/>
        </w:rPr>
        <w:t xml:space="preserve"> </w:t>
      </w:r>
      <w:r w:rsidR="00F8163D" w:rsidRPr="00173F61">
        <w:rPr>
          <w:rFonts w:asciiTheme="majorBidi" w:hAnsiTheme="majorBidi" w:cstheme="majorBidi"/>
        </w:rPr>
        <w:t xml:space="preserve">as major determinants of </w:t>
      </w:r>
      <w:r w:rsidRPr="00173F61">
        <w:rPr>
          <w:rFonts w:asciiTheme="majorBidi" w:hAnsiTheme="majorBidi" w:cstheme="majorBidi"/>
        </w:rPr>
        <w:t xml:space="preserve">a </w:t>
      </w:r>
      <w:r w:rsidR="00F8163D" w:rsidRPr="00173F61">
        <w:rPr>
          <w:rFonts w:asciiTheme="majorBidi" w:hAnsiTheme="majorBidi" w:cstheme="majorBidi"/>
        </w:rPr>
        <w:t xml:space="preserve">child’s educational aspirations. Children and young persons of higher socioeconomic status, and those who receive higher levels of parental academic support, often have higher educational and occupational aspirations (e.g. </w:t>
      </w:r>
      <w:r w:rsidR="00F8163D" w:rsidRPr="00173F61">
        <w:rPr>
          <w:rFonts w:asciiTheme="majorBidi" w:hAnsiTheme="majorBidi" w:cstheme="majorBidi"/>
          <w:shd w:val="clear" w:color="auto" w:fill="FFFFFF"/>
        </w:rPr>
        <w:t xml:space="preserve">Davis </w:t>
      </w:r>
      <w:r w:rsidR="003E12B6">
        <w:rPr>
          <w:rFonts w:asciiTheme="majorBidi" w:hAnsiTheme="majorBidi" w:cstheme="majorBidi"/>
          <w:shd w:val="clear" w:color="auto" w:fill="FFFFFF"/>
        </w:rPr>
        <w:t>and</w:t>
      </w:r>
      <w:r w:rsidR="00852B5E">
        <w:rPr>
          <w:rFonts w:asciiTheme="majorBidi" w:hAnsiTheme="majorBidi" w:cstheme="majorBidi"/>
          <w:shd w:val="clear" w:color="auto" w:fill="FFFFFF"/>
        </w:rPr>
        <w:t xml:space="preserve"> Pearce</w:t>
      </w:r>
      <w:r w:rsidR="00F8163D" w:rsidRPr="00173F61">
        <w:rPr>
          <w:rFonts w:asciiTheme="majorBidi" w:hAnsiTheme="majorBidi" w:cstheme="majorBidi"/>
          <w:shd w:val="clear" w:color="auto" w:fill="FFFFFF"/>
        </w:rPr>
        <w:t xml:space="preserve"> 2007; </w:t>
      </w:r>
      <w:proofErr w:type="spellStart"/>
      <w:r w:rsidR="003E12B6">
        <w:rPr>
          <w:rFonts w:asciiTheme="majorBidi" w:hAnsiTheme="majorBidi" w:cstheme="majorBidi"/>
          <w:shd w:val="clear" w:color="auto" w:fill="FFFFFF"/>
        </w:rPr>
        <w:t>Metheny</w:t>
      </w:r>
      <w:proofErr w:type="spellEnd"/>
      <w:r w:rsidR="003E12B6">
        <w:rPr>
          <w:rFonts w:asciiTheme="majorBidi" w:hAnsiTheme="majorBidi" w:cstheme="majorBidi"/>
          <w:shd w:val="clear" w:color="auto" w:fill="FFFFFF"/>
        </w:rPr>
        <w:t xml:space="preserve"> and</w:t>
      </w:r>
      <w:r w:rsidR="00F8163D" w:rsidRPr="00173F61">
        <w:rPr>
          <w:rFonts w:asciiTheme="majorBidi" w:hAnsiTheme="majorBidi" w:cstheme="majorBidi"/>
          <w:shd w:val="clear" w:color="auto" w:fill="FFFFFF"/>
        </w:rPr>
        <w:t xml:space="preserve"> </w:t>
      </w:r>
      <w:proofErr w:type="spellStart"/>
      <w:r w:rsidR="00F8163D" w:rsidRPr="00173F61">
        <w:rPr>
          <w:rFonts w:asciiTheme="majorBidi" w:hAnsiTheme="majorBidi" w:cstheme="majorBidi"/>
          <w:shd w:val="clear" w:color="auto" w:fill="FFFFFF"/>
        </w:rPr>
        <w:lastRenderedPageBreak/>
        <w:t>M</w:t>
      </w:r>
      <w:r w:rsidR="00852B5E">
        <w:rPr>
          <w:rFonts w:asciiTheme="majorBidi" w:hAnsiTheme="majorBidi" w:cstheme="majorBidi"/>
          <w:shd w:val="clear" w:color="auto" w:fill="FFFFFF"/>
        </w:rPr>
        <w:t>cwhirter</w:t>
      </w:r>
      <w:proofErr w:type="spellEnd"/>
      <w:r w:rsidR="00F8163D" w:rsidRPr="00173F61">
        <w:rPr>
          <w:rFonts w:asciiTheme="majorBidi" w:hAnsiTheme="majorBidi" w:cstheme="majorBidi"/>
          <w:shd w:val="clear" w:color="auto" w:fill="FFFFFF"/>
        </w:rPr>
        <w:t xml:space="preserve"> 2013; </w:t>
      </w:r>
      <w:r w:rsidR="00852B5E">
        <w:rPr>
          <w:rFonts w:asciiTheme="majorBidi" w:hAnsiTheme="majorBidi" w:cstheme="majorBidi"/>
        </w:rPr>
        <w:t>Trusty</w:t>
      </w:r>
      <w:r w:rsidR="00F8163D" w:rsidRPr="00173F61">
        <w:rPr>
          <w:rFonts w:asciiTheme="majorBidi" w:hAnsiTheme="majorBidi" w:cstheme="majorBidi"/>
        </w:rPr>
        <w:t xml:space="preserve"> 2000). </w:t>
      </w:r>
      <w:r w:rsidR="0001022D" w:rsidRPr="00173F61">
        <w:rPr>
          <w:rFonts w:asciiTheme="majorBidi" w:hAnsiTheme="majorBidi" w:cstheme="majorBidi"/>
        </w:rPr>
        <w:t>The s</w:t>
      </w:r>
      <w:r w:rsidR="00F8163D" w:rsidRPr="00173F61">
        <w:rPr>
          <w:rFonts w:asciiTheme="majorBidi" w:hAnsiTheme="majorBidi" w:cstheme="majorBidi"/>
        </w:rPr>
        <w:t>tatus attainment model has commonly been operationalized through variables such as parental employment status, parental educational status, parental income, parental educational aspirations for their children, parental encouragement, support and praise for their children when they perform we</w:t>
      </w:r>
      <w:r w:rsidR="00852B5E">
        <w:rPr>
          <w:rFonts w:asciiTheme="majorBidi" w:hAnsiTheme="majorBidi" w:cstheme="majorBidi"/>
        </w:rPr>
        <w:t xml:space="preserve">ll in school, etc. (e.g. </w:t>
      </w:r>
      <w:proofErr w:type="spellStart"/>
      <w:r w:rsidR="00852B5E">
        <w:rPr>
          <w:rFonts w:asciiTheme="majorBidi" w:hAnsiTheme="majorBidi" w:cstheme="majorBidi"/>
        </w:rPr>
        <w:t>Berzin</w:t>
      </w:r>
      <w:proofErr w:type="spellEnd"/>
      <w:r w:rsidR="00F8163D" w:rsidRPr="00173F61">
        <w:rPr>
          <w:rFonts w:asciiTheme="majorBidi" w:hAnsiTheme="majorBidi" w:cstheme="majorBidi"/>
        </w:rPr>
        <w:t xml:space="preserve"> 2010).  </w:t>
      </w:r>
    </w:p>
    <w:p w14:paraId="57883AB8" w14:textId="5FE0B9A4" w:rsidR="00F8163D" w:rsidRPr="00173F61" w:rsidRDefault="008E3788" w:rsidP="00D6471A">
      <w:pPr>
        <w:pStyle w:val="Heading2"/>
        <w:rPr>
          <w:rFonts w:asciiTheme="majorBidi" w:hAnsiTheme="majorBidi" w:cstheme="majorBidi"/>
          <w:b w:val="0"/>
          <w:bCs w:val="0"/>
          <w:i w:val="0"/>
          <w:szCs w:val="24"/>
        </w:rPr>
      </w:pPr>
      <w:r w:rsidRPr="00173F61">
        <w:rPr>
          <w:rFonts w:asciiTheme="majorBidi" w:hAnsiTheme="majorBidi" w:cstheme="majorBidi"/>
          <w:szCs w:val="24"/>
        </w:rPr>
        <w:t>Blocked O</w:t>
      </w:r>
      <w:r w:rsidR="00F8163D" w:rsidRPr="00173F61">
        <w:rPr>
          <w:rFonts w:asciiTheme="majorBidi" w:hAnsiTheme="majorBidi" w:cstheme="majorBidi"/>
          <w:szCs w:val="24"/>
        </w:rPr>
        <w:t>pportunities</w:t>
      </w:r>
      <w:r w:rsidRPr="00173F61">
        <w:rPr>
          <w:rFonts w:asciiTheme="majorBidi" w:hAnsiTheme="majorBidi" w:cstheme="majorBidi"/>
          <w:szCs w:val="24"/>
        </w:rPr>
        <w:t xml:space="preserve"> M</w:t>
      </w:r>
      <w:r w:rsidR="00F8163D" w:rsidRPr="00173F61">
        <w:rPr>
          <w:rFonts w:asciiTheme="majorBidi" w:hAnsiTheme="majorBidi" w:cstheme="majorBidi"/>
          <w:szCs w:val="24"/>
        </w:rPr>
        <w:t>odel</w:t>
      </w:r>
    </w:p>
    <w:p w14:paraId="20418248" w14:textId="26D01C73" w:rsidR="00F8163D" w:rsidRPr="00173F61" w:rsidRDefault="00C3463A" w:rsidP="004C08CD">
      <w:pPr>
        <w:pStyle w:val="Paragraph"/>
        <w:rPr>
          <w:rFonts w:asciiTheme="majorBidi" w:hAnsiTheme="majorBidi" w:cstheme="majorBidi"/>
        </w:rPr>
      </w:pPr>
      <w:r w:rsidRPr="00173F61">
        <w:rPr>
          <w:rFonts w:asciiTheme="majorBidi" w:hAnsiTheme="majorBidi" w:cstheme="majorBidi"/>
        </w:rPr>
        <w:t>Among researchers in the field of educational aspirations, t</w:t>
      </w:r>
      <w:r w:rsidR="0001022D" w:rsidRPr="00173F61">
        <w:rPr>
          <w:rFonts w:asciiTheme="majorBidi" w:hAnsiTheme="majorBidi" w:cstheme="majorBidi"/>
        </w:rPr>
        <w:t>he b</w:t>
      </w:r>
      <w:r w:rsidR="00F8163D" w:rsidRPr="00173F61">
        <w:rPr>
          <w:rFonts w:asciiTheme="majorBidi" w:hAnsiTheme="majorBidi" w:cstheme="majorBidi"/>
        </w:rPr>
        <w:t>locked opportunities model is somewhat less popular than the statu</w:t>
      </w:r>
      <w:r w:rsidR="00852B5E">
        <w:rPr>
          <w:rFonts w:asciiTheme="majorBidi" w:hAnsiTheme="majorBidi" w:cstheme="majorBidi"/>
        </w:rPr>
        <w:t xml:space="preserve">s attainment model (e.g. </w:t>
      </w:r>
      <w:proofErr w:type="spellStart"/>
      <w:r w:rsidR="00852B5E">
        <w:rPr>
          <w:rFonts w:asciiTheme="majorBidi" w:hAnsiTheme="majorBidi" w:cstheme="majorBidi"/>
        </w:rPr>
        <w:t>Berzin</w:t>
      </w:r>
      <w:proofErr w:type="spellEnd"/>
      <w:r w:rsidR="00F8163D" w:rsidRPr="00173F61">
        <w:rPr>
          <w:rFonts w:asciiTheme="majorBidi" w:hAnsiTheme="majorBidi" w:cstheme="majorBidi"/>
        </w:rPr>
        <w:t xml:space="preserve"> 2010). According to this model, </w:t>
      </w:r>
      <w:r w:rsidR="0001022D" w:rsidRPr="00173F61">
        <w:rPr>
          <w:rFonts w:asciiTheme="majorBidi" w:hAnsiTheme="majorBidi" w:cstheme="majorBidi"/>
        </w:rPr>
        <w:t xml:space="preserve">a </w:t>
      </w:r>
      <w:r w:rsidR="00F8163D" w:rsidRPr="00173F61">
        <w:rPr>
          <w:rFonts w:asciiTheme="majorBidi" w:hAnsiTheme="majorBidi" w:cstheme="majorBidi"/>
        </w:rPr>
        <w:t xml:space="preserve">person’s negative experiences with school and </w:t>
      </w:r>
      <w:r w:rsidR="00BB4F49" w:rsidRPr="00173F61">
        <w:rPr>
          <w:rFonts w:asciiTheme="majorBidi" w:hAnsiTheme="majorBidi" w:cstheme="majorBidi"/>
        </w:rPr>
        <w:t xml:space="preserve">the </w:t>
      </w:r>
      <w:r w:rsidR="00F8163D" w:rsidRPr="00173F61">
        <w:rPr>
          <w:rFonts w:asciiTheme="majorBidi" w:hAnsiTheme="majorBidi" w:cstheme="majorBidi"/>
        </w:rPr>
        <w:t xml:space="preserve">educational system can </w:t>
      </w:r>
      <w:r w:rsidR="00BB4F49" w:rsidRPr="00173F61">
        <w:rPr>
          <w:rFonts w:asciiTheme="majorBidi" w:hAnsiTheme="majorBidi" w:cstheme="majorBidi"/>
        </w:rPr>
        <w:t xml:space="preserve">produce </w:t>
      </w:r>
      <w:r w:rsidR="00F8163D" w:rsidRPr="00173F61">
        <w:rPr>
          <w:rFonts w:asciiTheme="majorBidi" w:hAnsiTheme="majorBidi" w:cstheme="majorBidi"/>
        </w:rPr>
        <w:t>lower aspirations f</w:t>
      </w:r>
      <w:r w:rsidR="00F35FCD">
        <w:rPr>
          <w:rFonts w:asciiTheme="majorBidi" w:hAnsiTheme="majorBidi" w:cstheme="majorBidi"/>
        </w:rPr>
        <w:t>or further schooling (e.g. Kao and</w:t>
      </w:r>
      <w:r w:rsidR="00852B5E">
        <w:rPr>
          <w:rFonts w:asciiTheme="majorBidi" w:hAnsiTheme="majorBidi" w:cstheme="majorBidi"/>
        </w:rPr>
        <w:t xml:space="preserve"> </w:t>
      </w:r>
      <w:proofErr w:type="spellStart"/>
      <w:r w:rsidR="00852B5E">
        <w:rPr>
          <w:rFonts w:asciiTheme="majorBidi" w:hAnsiTheme="majorBidi" w:cstheme="majorBidi"/>
        </w:rPr>
        <w:t>Tienda</w:t>
      </w:r>
      <w:proofErr w:type="spellEnd"/>
      <w:r w:rsidR="00F8163D" w:rsidRPr="00173F61">
        <w:rPr>
          <w:rFonts w:asciiTheme="majorBidi" w:hAnsiTheme="majorBidi" w:cstheme="majorBidi"/>
        </w:rPr>
        <w:t xml:space="preserve"> 1998). This model </w:t>
      </w:r>
      <w:proofErr w:type="gramStart"/>
      <w:r w:rsidR="00BB4F49" w:rsidRPr="00173F61">
        <w:rPr>
          <w:rFonts w:asciiTheme="majorBidi" w:hAnsiTheme="majorBidi" w:cstheme="majorBidi"/>
        </w:rPr>
        <w:t>has typically been</w:t>
      </w:r>
      <w:r w:rsidR="00F8163D" w:rsidRPr="00173F61">
        <w:rPr>
          <w:rFonts w:asciiTheme="majorBidi" w:hAnsiTheme="majorBidi" w:cstheme="majorBidi"/>
        </w:rPr>
        <w:t xml:space="preserve"> used</w:t>
      </w:r>
      <w:proofErr w:type="gramEnd"/>
      <w:r w:rsidR="00F8163D" w:rsidRPr="00173F61">
        <w:rPr>
          <w:rFonts w:asciiTheme="majorBidi" w:hAnsiTheme="majorBidi" w:cstheme="majorBidi"/>
        </w:rPr>
        <w:t xml:space="preserve"> in research </w:t>
      </w:r>
      <w:r w:rsidR="00BB4F49" w:rsidRPr="00173F61">
        <w:rPr>
          <w:rFonts w:asciiTheme="majorBidi" w:hAnsiTheme="majorBidi" w:cstheme="majorBidi"/>
        </w:rPr>
        <w:t>examining the aspirations of</w:t>
      </w:r>
      <w:r w:rsidR="0001022D" w:rsidRPr="00173F61">
        <w:rPr>
          <w:rFonts w:asciiTheme="majorBidi" w:hAnsiTheme="majorBidi" w:cstheme="majorBidi"/>
        </w:rPr>
        <w:t xml:space="preserve"> </w:t>
      </w:r>
      <w:r w:rsidR="00F8163D" w:rsidRPr="00173F61">
        <w:rPr>
          <w:rFonts w:asciiTheme="majorBidi" w:hAnsiTheme="majorBidi" w:cstheme="majorBidi"/>
        </w:rPr>
        <w:t>ethnic minority youth</w:t>
      </w:r>
      <w:r w:rsidR="00BB4F49" w:rsidRPr="00173F61">
        <w:rPr>
          <w:rFonts w:asciiTheme="majorBidi" w:hAnsiTheme="majorBidi" w:cstheme="majorBidi"/>
        </w:rPr>
        <w:t xml:space="preserve">, </w:t>
      </w:r>
      <w:r w:rsidR="00F8163D" w:rsidRPr="00173F61">
        <w:rPr>
          <w:rFonts w:asciiTheme="majorBidi" w:hAnsiTheme="majorBidi" w:cstheme="majorBidi"/>
        </w:rPr>
        <w:t xml:space="preserve">with </w:t>
      </w:r>
      <w:r w:rsidR="0001022D" w:rsidRPr="00173F61">
        <w:rPr>
          <w:rFonts w:asciiTheme="majorBidi" w:hAnsiTheme="majorBidi" w:cstheme="majorBidi"/>
        </w:rPr>
        <w:t xml:space="preserve">the </w:t>
      </w:r>
      <w:r w:rsidR="00F8163D" w:rsidRPr="00173F61">
        <w:rPr>
          <w:rFonts w:asciiTheme="majorBidi" w:hAnsiTheme="majorBidi" w:cstheme="majorBidi"/>
        </w:rPr>
        <w:t>assumption that pupils from the same minority group share similar experiences that affect their academic achievement, aspirations and expectations for further schooling (</w:t>
      </w:r>
      <w:r w:rsidR="00B755AE">
        <w:rPr>
          <w:shd w:val="clear" w:color="auto" w:fill="FFFFFF"/>
        </w:rPr>
        <w:t>Bowman and</w:t>
      </w:r>
      <w:r w:rsidR="00852B5E">
        <w:rPr>
          <w:shd w:val="clear" w:color="auto" w:fill="FFFFFF"/>
        </w:rPr>
        <w:t xml:space="preserve"> Howard 1985; </w:t>
      </w:r>
      <w:proofErr w:type="spellStart"/>
      <w:r w:rsidR="00852B5E">
        <w:rPr>
          <w:shd w:val="clear" w:color="auto" w:fill="FFFFFF"/>
        </w:rPr>
        <w:t>Khattab</w:t>
      </w:r>
      <w:proofErr w:type="spellEnd"/>
      <w:r w:rsidR="00F8163D" w:rsidRPr="00173F61">
        <w:rPr>
          <w:shd w:val="clear" w:color="auto" w:fill="FFFFFF"/>
        </w:rPr>
        <w:t xml:space="preserve"> 2003</w:t>
      </w:r>
      <w:r w:rsidR="00F8163D" w:rsidRPr="00173F61">
        <w:rPr>
          <w:rFonts w:asciiTheme="majorBidi" w:hAnsiTheme="majorBidi" w:cstheme="majorBidi"/>
        </w:rPr>
        <w:t xml:space="preserve">). Of course, negative academic experience can diminish the aspirations of pupils from </w:t>
      </w:r>
      <w:r w:rsidR="0001022D" w:rsidRPr="00173F61">
        <w:rPr>
          <w:rFonts w:asciiTheme="majorBidi" w:hAnsiTheme="majorBidi" w:cstheme="majorBidi"/>
        </w:rPr>
        <w:t xml:space="preserve">the </w:t>
      </w:r>
      <w:r w:rsidR="00F8163D" w:rsidRPr="00173F61">
        <w:rPr>
          <w:rFonts w:asciiTheme="majorBidi" w:hAnsiTheme="majorBidi" w:cstheme="majorBidi"/>
        </w:rPr>
        <w:t>general population</w:t>
      </w:r>
      <w:r w:rsidR="000F4CA2" w:rsidRPr="00173F61">
        <w:rPr>
          <w:rFonts w:asciiTheme="majorBidi" w:hAnsiTheme="majorBidi" w:cstheme="majorBidi"/>
        </w:rPr>
        <w:t xml:space="preserve"> as well</w:t>
      </w:r>
      <w:r w:rsidR="00F8163D" w:rsidRPr="00173F61">
        <w:rPr>
          <w:rFonts w:asciiTheme="majorBidi" w:hAnsiTheme="majorBidi" w:cstheme="majorBidi"/>
        </w:rPr>
        <w:t xml:space="preserve">. </w:t>
      </w:r>
      <w:r w:rsidR="000F4CA2" w:rsidRPr="00173F61">
        <w:rPr>
          <w:rFonts w:asciiTheme="majorBidi" w:hAnsiTheme="majorBidi" w:cstheme="majorBidi"/>
        </w:rPr>
        <w:t>In the present study, w</w:t>
      </w:r>
      <w:r w:rsidR="00F8163D" w:rsidRPr="00173F61">
        <w:rPr>
          <w:rFonts w:asciiTheme="majorBidi" w:hAnsiTheme="majorBidi" w:cstheme="majorBidi"/>
        </w:rPr>
        <w:t xml:space="preserve">e expect that the effects of different predictors from the blocked opportunities model </w:t>
      </w:r>
      <w:r w:rsidR="000F4CA2" w:rsidRPr="00173F61">
        <w:rPr>
          <w:rFonts w:asciiTheme="majorBidi" w:hAnsiTheme="majorBidi" w:cstheme="majorBidi"/>
        </w:rPr>
        <w:t xml:space="preserve">would </w:t>
      </w:r>
      <w:r w:rsidR="00F8163D" w:rsidRPr="00173F61">
        <w:rPr>
          <w:rFonts w:asciiTheme="majorBidi" w:hAnsiTheme="majorBidi" w:cstheme="majorBidi"/>
        </w:rPr>
        <w:t xml:space="preserve">be larger in samples from </w:t>
      </w:r>
      <w:r w:rsidR="0001022D" w:rsidRPr="00173F61">
        <w:rPr>
          <w:rFonts w:asciiTheme="majorBidi" w:hAnsiTheme="majorBidi" w:cstheme="majorBidi"/>
        </w:rPr>
        <w:t xml:space="preserve">the </w:t>
      </w:r>
      <w:r w:rsidR="00F8163D" w:rsidRPr="00173F61">
        <w:rPr>
          <w:rFonts w:asciiTheme="majorBidi" w:hAnsiTheme="majorBidi" w:cstheme="majorBidi"/>
        </w:rPr>
        <w:t xml:space="preserve">general population of pupils than in highly selected samples of minority pupils. Variables typically used under this model are academic achievement, school satisfaction, school engagement, </w:t>
      </w:r>
      <w:r w:rsidR="0001022D" w:rsidRPr="00173F61">
        <w:rPr>
          <w:rFonts w:asciiTheme="majorBidi" w:hAnsiTheme="majorBidi" w:cstheme="majorBidi"/>
        </w:rPr>
        <w:t xml:space="preserve">the </w:t>
      </w:r>
      <w:r w:rsidR="00F8163D" w:rsidRPr="00173F61">
        <w:rPr>
          <w:rFonts w:asciiTheme="majorBidi" w:hAnsiTheme="majorBidi" w:cstheme="majorBidi"/>
        </w:rPr>
        <w:t>subjective probability of educational and economic success</w:t>
      </w:r>
      <w:r w:rsidR="0001022D" w:rsidRPr="00173F61">
        <w:rPr>
          <w:rFonts w:asciiTheme="majorBidi" w:hAnsiTheme="majorBidi" w:cstheme="majorBidi"/>
        </w:rPr>
        <w:t>,</w:t>
      </w:r>
      <w:r w:rsidR="00852B5E">
        <w:rPr>
          <w:rFonts w:asciiTheme="majorBidi" w:hAnsiTheme="majorBidi" w:cstheme="majorBidi"/>
        </w:rPr>
        <w:t xml:space="preserve"> etc. (e.g. </w:t>
      </w:r>
      <w:proofErr w:type="spellStart"/>
      <w:r w:rsidR="00852B5E">
        <w:rPr>
          <w:rFonts w:asciiTheme="majorBidi" w:hAnsiTheme="majorBidi" w:cstheme="majorBidi"/>
        </w:rPr>
        <w:t>Berzin</w:t>
      </w:r>
      <w:proofErr w:type="spellEnd"/>
      <w:r w:rsidR="00F8163D" w:rsidRPr="00173F61">
        <w:rPr>
          <w:rFonts w:asciiTheme="majorBidi" w:hAnsiTheme="majorBidi" w:cstheme="majorBidi"/>
        </w:rPr>
        <w:t xml:space="preserve"> 2010; </w:t>
      </w:r>
      <w:r w:rsidR="00B755AE">
        <w:rPr>
          <w:rFonts w:asciiTheme="majorBidi" w:hAnsiTheme="majorBidi" w:cstheme="majorBidi"/>
          <w:shd w:val="clear" w:color="auto" w:fill="FFFFFF"/>
        </w:rPr>
        <w:t>Kao and</w:t>
      </w:r>
      <w:r w:rsidR="00852B5E">
        <w:rPr>
          <w:rFonts w:asciiTheme="majorBidi" w:hAnsiTheme="majorBidi" w:cstheme="majorBidi"/>
          <w:shd w:val="clear" w:color="auto" w:fill="FFFFFF"/>
        </w:rPr>
        <w:t xml:space="preserve"> </w:t>
      </w:r>
      <w:proofErr w:type="spellStart"/>
      <w:r w:rsidR="00852B5E">
        <w:rPr>
          <w:rFonts w:asciiTheme="majorBidi" w:hAnsiTheme="majorBidi" w:cstheme="majorBidi"/>
          <w:shd w:val="clear" w:color="auto" w:fill="FFFFFF"/>
        </w:rPr>
        <w:t>Tienda</w:t>
      </w:r>
      <w:proofErr w:type="spellEnd"/>
      <w:r w:rsidR="00F8163D" w:rsidRPr="00173F61">
        <w:rPr>
          <w:rFonts w:asciiTheme="majorBidi" w:hAnsiTheme="majorBidi" w:cstheme="majorBidi"/>
          <w:shd w:val="clear" w:color="auto" w:fill="FFFFFF"/>
        </w:rPr>
        <w:t xml:space="preserve"> 1998; </w:t>
      </w:r>
      <w:proofErr w:type="spellStart"/>
      <w:r w:rsidR="00852B5E">
        <w:rPr>
          <w:shd w:val="clear" w:color="auto" w:fill="FFFFFF"/>
        </w:rPr>
        <w:t>Khattab</w:t>
      </w:r>
      <w:proofErr w:type="spellEnd"/>
      <w:r w:rsidR="00F8163D" w:rsidRPr="00173F61">
        <w:rPr>
          <w:shd w:val="clear" w:color="auto" w:fill="FFFFFF"/>
        </w:rPr>
        <w:t xml:space="preserve"> 2003</w:t>
      </w:r>
      <w:r w:rsidR="00F8163D" w:rsidRPr="00173F61">
        <w:rPr>
          <w:rFonts w:asciiTheme="majorBidi" w:hAnsiTheme="majorBidi" w:cstheme="majorBidi"/>
        </w:rPr>
        <w:t xml:space="preserve">). </w:t>
      </w:r>
    </w:p>
    <w:p w14:paraId="208D1208" w14:textId="3C9C1809" w:rsidR="00F8163D" w:rsidRPr="00173F61" w:rsidRDefault="008E3788" w:rsidP="00D6471A">
      <w:pPr>
        <w:pStyle w:val="Heading2"/>
        <w:rPr>
          <w:rFonts w:asciiTheme="majorBidi" w:hAnsiTheme="majorBidi" w:cstheme="majorBidi"/>
          <w:b w:val="0"/>
          <w:bCs w:val="0"/>
          <w:i w:val="0"/>
          <w:szCs w:val="24"/>
        </w:rPr>
      </w:pPr>
      <w:r w:rsidRPr="00173F61">
        <w:rPr>
          <w:rFonts w:asciiTheme="majorBidi" w:hAnsiTheme="majorBidi" w:cstheme="majorBidi"/>
          <w:szCs w:val="24"/>
        </w:rPr>
        <w:t>School C</w:t>
      </w:r>
      <w:r w:rsidR="00F8163D" w:rsidRPr="00173F61">
        <w:rPr>
          <w:rFonts w:asciiTheme="majorBidi" w:hAnsiTheme="majorBidi" w:cstheme="majorBidi"/>
          <w:szCs w:val="24"/>
        </w:rPr>
        <w:t>ontext</w:t>
      </w:r>
    </w:p>
    <w:p w14:paraId="5EF976C0" w14:textId="6864F124" w:rsidR="00F8163D" w:rsidRPr="00173F61" w:rsidRDefault="00F8163D" w:rsidP="004C08CD">
      <w:pPr>
        <w:pStyle w:val="Paragraph"/>
        <w:rPr>
          <w:rFonts w:asciiTheme="majorBidi" w:hAnsiTheme="majorBidi" w:cstheme="majorBidi"/>
        </w:rPr>
      </w:pPr>
      <w:r w:rsidRPr="00173F61">
        <w:rPr>
          <w:rFonts w:asciiTheme="majorBidi" w:hAnsiTheme="majorBidi" w:cstheme="majorBidi"/>
        </w:rPr>
        <w:t xml:space="preserve">The effects of school context on pupils’ educational and occupational aspirations </w:t>
      </w:r>
      <w:r w:rsidR="00EF67A4" w:rsidRPr="00173F61">
        <w:rPr>
          <w:rFonts w:asciiTheme="majorBidi" w:hAnsiTheme="majorBidi" w:cstheme="majorBidi"/>
        </w:rPr>
        <w:t xml:space="preserve">have </w:t>
      </w:r>
      <w:r w:rsidR="00FC07AB" w:rsidRPr="00173F61">
        <w:rPr>
          <w:rFonts w:asciiTheme="majorBidi" w:hAnsiTheme="majorBidi" w:cstheme="majorBidi"/>
        </w:rPr>
        <w:t xml:space="preserve">also long </w:t>
      </w:r>
      <w:r w:rsidR="00EF67A4" w:rsidRPr="00173F61">
        <w:rPr>
          <w:rFonts w:asciiTheme="majorBidi" w:hAnsiTheme="majorBidi" w:cstheme="majorBidi"/>
        </w:rPr>
        <w:t xml:space="preserve">been </w:t>
      </w:r>
      <w:r w:rsidR="0001022D" w:rsidRPr="00173F61">
        <w:rPr>
          <w:rFonts w:asciiTheme="majorBidi" w:hAnsiTheme="majorBidi" w:cstheme="majorBidi"/>
        </w:rPr>
        <w:t xml:space="preserve">the </w:t>
      </w:r>
      <w:r w:rsidRPr="00173F61">
        <w:rPr>
          <w:rFonts w:asciiTheme="majorBidi" w:hAnsiTheme="majorBidi" w:cstheme="majorBidi"/>
        </w:rPr>
        <w:t>subject of research (</w:t>
      </w:r>
      <w:r w:rsidR="000C2ACD">
        <w:rPr>
          <w:shd w:val="clear" w:color="auto" w:fill="FFFFFF"/>
        </w:rPr>
        <w:t>Boyle</w:t>
      </w:r>
      <w:r w:rsidRPr="00173F61">
        <w:rPr>
          <w:shd w:val="clear" w:color="auto" w:fill="FFFFFF"/>
        </w:rPr>
        <w:t xml:space="preserve"> 1966; Meyer</w:t>
      </w:r>
      <w:r w:rsidR="000C2ACD">
        <w:rPr>
          <w:shd w:val="clear" w:color="auto" w:fill="FFFFFF"/>
        </w:rPr>
        <w:t xml:space="preserve"> 1970; Nelson</w:t>
      </w:r>
      <w:r w:rsidRPr="00173F61">
        <w:rPr>
          <w:shd w:val="clear" w:color="auto" w:fill="FFFFFF"/>
        </w:rPr>
        <w:t xml:space="preserve"> 1972</w:t>
      </w:r>
      <w:r w:rsidRPr="00173F61">
        <w:rPr>
          <w:rFonts w:asciiTheme="majorBidi" w:hAnsiTheme="majorBidi" w:cstheme="majorBidi"/>
        </w:rPr>
        <w:t xml:space="preserve">). For example, it </w:t>
      </w:r>
      <w:r w:rsidR="0001022D" w:rsidRPr="00173F61">
        <w:rPr>
          <w:rFonts w:asciiTheme="majorBidi" w:hAnsiTheme="majorBidi" w:cstheme="majorBidi"/>
        </w:rPr>
        <w:t>has been</w:t>
      </w:r>
      <w:r w:rsidRPr="00173F61">
        <w:rPr>
          <w:rFonts w:asciiTheme="majorBidi" w:hAnsiTheme="majorBidi" w:cstheme="majorBidi"/>
        </w:rPr>
        <w:t xml:space="preserve"> demonstrated that the achievement of peers within the same school can have a </w:t>
      </w:r>
      <w:r w:rsidRPr="00173F61">
        <w:rPr>
          <w:rFonts w:asciiTheme="majorBidi" w:hAnsiTheme="majorBidi" w:cstheme="majorBidi"/>
        </w:rPr>
        <w:lastRenderedPageBreak/>
        <w:t xml:space="preserve">positive effect on the achievement of </w:t>
      </w:r>
      <w:r w:rsidR="0001022D" w:rsidRPr="00173F61">
        <w:rPr>
          <w:rFonts w:asciiTheme="majorBidi" w:hAnsiTheme="majorBidi" w:cstheme="majorBidi"/>
        </w:rPr>
        <w:t xml:space="preserve">the </w:t>
      </w:r>
      <w:r w:rsidRPr="00173F61">
        <w:rPr>
          <w:rFonts w:asciiTheme="majorBidi" w:hAnsiTheme="majorBidi" w:cstheme="majorBidi"/>
        </w:rPr>
        <w:t>individual pupil (</w:t>
      </w:r>
      <w:r w:rsidR="00B755AE">
        <w:rPr>
          <w:shd w:val="clear" w:color="auto" w:fill="FFFFFF"/>
        </w:rPr>
        <w:t>Burke and</w:t>
      </w:r>
      <w:r w:rsidR="00852B5E">
        <w:rPr>
          <w:shd w:val="clear" w:color="auto" w:fill="FFFFFF"/>
        </w:rPr>
        <w:t xml:space="preserve"> Sass</w:t>
      </w:r>
      <w:r w:rsidRPr="00173F61">
        <w:rPr>
          <w:shd w:val="clear" w:color="auto" w:fill="FFFFFF"/>
        </w:rPr>
        <w:t xml:space="preserve"> 2013; </w:t>
      </w:r>
      <w:proofErr w:type="spellStart"/>
      <w:r w:rsidRPr="00173F61">
        <w:rPr>
          <w:shd w:val="clear" w:color="auto" w:fill="FFFFFF"/>
        </w:rPr>
        <w:t>Hanushek</w:t>
      </w:r>
      <w:proofErr w:type="spellEnd"/>
      <w:r w:rsidR="000C2ACD">
        <w:rPr>
          <w:shd w:val="clear" w:color="auto" w:fill="FFFFFF"/>
        </w:rPr>
        <w:t xml:space="preserve"> et al.</w:t>
      </w:r>
      <w:r w:rsidRPr="00173F61">
        <w:rPr>
          <w:shd w:val="clear" w:color="auto" w:fill="FFFFFF"/>
        </w:rPr>
        <w:t xml:space="preserve"> 2003</w:t>
      </w:r>
      <w:r w:rsidRPr="00173F61">
        <w:rPr>
          <w:rFonts w:asciiTheme="majorBidi" w:hAnsiTheme="majorBidi" w:cstheme="majorBidi"/>
        </w:rPr>
        <w:t>).</w:t>
      </w:r>
    </w:p>
    <w:p w14:paraId="234D8648" w14:textId="7D1E7B0F" w:rsidR="00F8163D" w:rsidRPr="00173F61" w:rsidRDefault="00F8163D" w:rsidP="004C08CD">
      <w:pPr>
        <w:pStyle w:val="Newparagraph"/>
        <w:rPr>
          <w:rFonts w:asciiTheme="majorBidi" w:hAnsiTheme="majorBidi" w:cstheme="majorBidi"/>
        </w:rPr>
      </w:pPr>
      <w:r w:rsidRPr="00173F61">
        <w:rPr>
          <w:rFonts w:asciiTheme="majorBidi" w:hAnsiTheme="majorBidi" w:cstheme="majorBidi"/>
        </w:rPr>
        <w:t xml:space="preserve">In his review, Boyle (1966) concluded that the socioeconomic status of </w:t>
      </w:r>
      <w:r w:rsidR="00FC07AB" w:rsidRPr="00173F61">
        <w:rPr>
          <w:rFonts w:asciiTheme="majorBidi" w:hAnsiTheme="majorBidi" w:cstheme="majorBidi"/>
        </w:rPr>
        <w:t xml:space="preserve">a </w:t>
      </w:r>
      <w:r w:rsidR="0097333D" w:rsidRPr="00173F61">
        <w:rPr>
          <w:rFonts w:asciiTheme="majorBidi" w:hAnsiTheme="majorBidi" w:cstheme="majorBidi"/>
        </w:rPr>
        <w:t>secondary</w:t>
      </w:r>
      <w:r w:rsidRPr="00173F61">
        <w:rPr>
          <w:rFonts w:asciiTheme="majorBidi" w:hAnsiTheme="majorBidi" w:cstheme="majorBidi"/>
        </w:rPr>
        <w:t xml:space="preserve"> school had an augmentative effect on the aspirations of </w:t>
      </w:r>
      <w:r w:rsidR="00FC07AB" w:rsidRPr="00173F61">
        <w:rPr>
          <w:rFonts w:asciiTheme="majorBidi" w:hAnsiTheme="majorBidi" w:cstheme="majorBidi"/>
        </w:rPr>
        <w:t xml:space="preserve">pupils </w:t>
      </w:r>
      <w:r w:rsidRPr="00173F61">
        <w:rPr>
          <w:rFonts w:asciiTheme="majorBidi" w:hAnsiTheme="majorBidi" w:cstheme="majorBidi"/>
        </w:rPr>
        <w:t xml:space="preserve">and </w:t>
      </w:r>
      <w:r w:rsidR="00FC07AB" w:rsidRPr="00173F61">
        <w:rPr>
          <w:rFonts w:asciiTheme="majorBidi" w:hAnsiTheme="majorBidi" w:cstheme="majorBidi"/>
        </w:rPr>
        <w:t xml:space="preserve">that </w:t>
      </w:r>
      <w:r w:rsidRPr="00173F61">
        <w:rPr>
          <w:rFonts w:asciiTheme="majorBidi" w:hAnsiTheme="majorBidi" w:cstheme="majorBidi"/>
        </w:rPr>
        <w:t xml:space="preserve">this effect was particularly strong in large cities. Recent studies also acknowledge the effect of </w:t>
      </w:r>
      <w:r w:rsidR="0001022D" w:rsidRPr="00173F61">
        <w:rPr>
          <w:rFonts w:asciiTheme="majorBidi" w:hAnsiTheme="majorBidi" w:cstheme="majorBidi"/>
        </w:rPr>
        <w:t xml:space="preserve">the </w:t>
      </w:r>
      <w:r w:rsidR="00FC07AB" w:rsidRPr="00173F61">
        <w:rPr>
          <w:rFonts w:asciiTheme="majorBidi" w:hAnsiTheme="majorBidi" w:cstheme="majorBidi"/>
        </w:rPr>
        <w:t xml:space="preserve">socioeconomic status of </w:t>
      </w:r>
      <w:r w:rsidR="000632D9" w:rsidRPr="00173F61">
        <w:rPr>
          <w:rFonts w:asciiTheme="majorBidi" w:hAnsiTheme="majorBidi" w:cstheme="majorBidi"/>
        </w:rPr>
        <w:t>a</w:t>
      </w:r>
      <w:r w:rsidR="00FC07AB" w:rsidRPr="00173F61">
        <w:rPr>
          <w:rFonts w:asciiTheme="majorBidi" w:hAnsiTheme="majorBidi" w:cstheme="majorBidi"/>
        </w:rPr>
        <w:t xml:space="preserve"> </w:t>
      </w:r>
      <w:r w:rsidRPr="00173F61">
        <w:rPr>
          <w:rFonts w:asciiTheme="majorBidi" w:hAnsiTheme="majorBidi" w:cstheme="majorBidi"/>
        </w:rPr>
        <w:t xml:space="preserve">school on </w:t>
      </w:r>
      <w:r w:rsidR="0001022D" w:rsidRPr="00173F61">
        <w:rPr>
          <w:rFonts w:asciiTheme="majorBidi" w:hAnsiTheme="majorBidi" w:cstheme="majorBidi"/>
        </w:rPr>
        <w:t xml:space="preserve">the </w:t>
      </w:r>
      <w:r w:rsidRPr="00173F61">
        <w:rPr>
          <w:rFonts w:asciiTheme="majorBidi" w:hAnsiTheme="majorBidi" w:cstheme="majorBidi"/>
        </w:rPr>
        <w:t xml:space="preserve">educational aspirations of </w:t>
      </w:r>
      <w:r w:rsidR="0097333D" w:rsidRPr="00173F61">
        <w:rPr>
          <w:rFonts w:asciiTheme="majorBidi" w:hAnsiTheme="majorBidi" w:cstheme="majorBidi"/>
        </w:rPr>
        <w:t>secondary</w:t>
      </w:r>
      <w:r w:rsidRPr="00173F61">
        <w:rPr>
          <w:rFonts w:asciiTheme="majorBidi" w:hAnsiTheme="majorBidi" w:cstheme="majorBidi"/>
        </w:rPr>
        <w:t xml:space="preserve"> school </w:t>
      </w:r>
      <w:r w:rsidR="00FC07AB" w:rsidRPr="00173F61">
        <w:rPr>
          <w:rFonts w:asciiTheme="majorBidi" w:hAnsiTheme="majorBidi" w:cstheme="majorBidi"/>
        </w:rPr>
        <w:t xml:space="preserve">pupils </w:t>
      </w:r>
      <w:r w:rsidRPr="00173F61">
        <w:rPr>
          <w:rFonts w:asciiTheme="majorBidi" w:hAnsiTheme="majorBidi" w:cstheme="majorBidi"/>
        </w:rPr>
        <w:t>(</w:t>
      </w:r>
      <w:r w:rsidR="00760DDE" w:rsidRPr="004C08CD">
        <w:rPr>
          <w:rFonts w:asciiTheme="majorBidi" w:hAnsiTheme="majorBidi" w:cstheme="majorBidi"/>
        </w:rPr>
        <w:t>Deil-Amen and</w:t>
      </w:r>
      <w:r w:rsidR="00852B5E" w:rsidRPr="004C08CD">
        <w:rPr>
          <w:rFonts w:asciiTheme="majorBidi" w:hAnsiTheme="majorBidi" w:cstheme="majorBidi"/>
        </w:rPr>
        <w:t xml:space="preserve"> Martinez</w:t>
      </w:r>
      <w:r w:rsidR="00760DDE" w:rsidRPr="004C08CD">
        <w:rPr>
          <w:rFonts w:asciiTheme="majorBidi" w:hAnsiTheme="majorBidi" w:cstheme="majorBidi"/>
        </w:rPr>
        <w:t xml:space="preserve"> 2015; Engberg and</w:t>
      </w:r>
      <w:r w:rsidR="00852B5E" w:rsidRPr="004C08CD">
        <w:rPr>
          <w:rFonts w:asciiTheme="majorBidi" w:hAnsiTheme="majorBidi" w:cstheme="majorBidi"/>
        </w:rPr>
        <w:t xml:space="preserve"> </w:t>
      </w:r>
      <w:proofErr w:type="spellStart"/>
      <w:r w:rsidR="00852B5E" w:rsidRPr="004C08CD">
        <w:rPr>
          <w:rFonts w:asciiTheme="majorBidi" w:hAnsiTheme="majorBidi" w:cstheme="majorBidi"/>
        </w:rPr>
        <w:t>Wolniak</w:t>
      </w:r>
      <w:proofErr w:type="spellEnd"/>
      <w:r w:rsidRPr="004C08CD">
        <w:rPr>
          <w:rFonts w:asciiTheme="majorBidi" w:hAnsiTheme="majorBidi" w:cstheme="majorBidi"/>
        </w:rPr>
        <w:t xml:space="preserve"> 2014).</w:t>
      </w:r>
    </w:p>
    <w:p w14:paraId="70254C86" w14:textId="53F4A384" w:rsidR="00F8163D" w:rsidRPr="004C08CD" w:rsidRDefault="000632D9" w:rsidP="004C08CD">
      <w:pPr>
        <w:pStyle w:val="Newparagraph"/>
        <w:rPr>
          <w:rFonts w:asciiTheme="majorBidi" w:hAnsiTheme="majorBidi" w:cstheme="majorBidi"/>
        </w:rPr>
      </w:pPr>
      <w:r w:rsidRPr="00173F61">
        <w:rPr>
          <w:rFonts w:asciiTheme="majorBidi" w:hAnsiTheme="majorBidi" w:cstheme="majorBidi"/>
        </w:rPr>
        <w:t>Furthermore, a</w:t>
      </w:r>
      <w:r w:rsidR="0001022D" w:rsidRPr="00173F61">
        <w:rPr>
          <w:rFonts w:asciiTheme="majorBidi" w:hAnsiTheme="majorBidi" w:cstheme="majorBidi"/>
        </w:rPr>
        <w:t xml:space="preserve"> l</w:t>
      </w:r>
      <w:r w:rsidR="00F8163D" w:rsidRPr="00173F61">
        <w:rPr>
          <w:rFonts w:asciiTheme="majorBidi" w:hAnsiTheme="majorBidi" w:cstheme="majorBidi"/>
        </w:rPr>
        <w:t xml:space="preserve">arge number of studies </w:t>
      </w:r>
      <w:r w:rsidR="00FC07AB" w:rsidRPr="00173F61">
        <w:rPr>
          <w:rFonts w:asciiTheme="majorBidi" w:hAnsiTheme="majorBidi" w:cstheme="majorBidi"/>
        </w:rPr>
        <w:t xml:space="preserve">have </w:t>
      </w:r>
      <w:r w:rsidR="00F8163D" w:rsidRPr="00173F61">
        <w:rPr>
          <w:rFonts w:asciiTheme="majorBidi" w:hAnsiTheme="majorBidi" w:cstheme="majorBidi"/>
        </w:rPr>
        <w:t xml:space="preserve">addressed the effects of school and class sizes on </w:t>
      </w:r>
      <w:r w:rsidRPr="00173F61">
        <w:rPr>
          <w:rFonts w:asciiTheme="majorBidi" w:hAnsiTheme="majorBidi" w:cstheme="majorBidi"/>
        </w:rPr>
        <w:t xml:space="preserve">a number of </w:t>
      </w:r>
      <w:r w:rsidR="00F8163D" w:rsidRPr="00173F61">
        <w:rPr>
          <w:rFonts w:asciiTheme="majorBidi" w:hAnsiTheme="majorBidi" w:cstheme="majorBidi"/>
        </w:rPr>
        <w:t>educational var</w:t>
      </w:r>
      <w:r w:rsidR="00852B5E">
        <w:rPr>
          <w:rFonts w:asciiTheme="majorBidi" w:hAnsiTheme="majorBidi" w:cstheme="majorBidi"/>
        </w:rPr>
        <w:t xml:space="preserve">iables (e.g. </w:t>
      </w:r>
      <w:proofErr w:type="spellStart"/>
      <w:r w:rsidR="00852B5E">
        <w:rPr>
          <w:rFonts w:asciiTheme="majorBidi" w:hAnsiTheme="majorBidi" w:cstheme="majorBidi"/>
        </w:rPr>
        <w:t>Howley</w:t>
      </w:r>
      <w:proofErr w:type="spellEnd"/>
      <w:r w:rsidR="00760DDE">
        <w:rPr>
          <w:rFonts w:asciiTheme="majorBidi" w:hAnsiTheme="majorBidi" w:cstheme="majorBidi"/>
        </w:rPr>
        <w:t xml:space="preserve"> 1996; Lee and</w:t>
      </w:r>
      <w:r w:rsidR="00852B5E">
        <w:rPr>
          <w:rFonts w:asciiTheme="majorBidi" w:hAnsiTheme="majorBidi" w:cstheme="majorBidi"/>
        </w:rPr>
        <w:t xml:space="preserve"> Loeb</w:t>
      </w:r>
      <w:r w:rsidR="00F8163D" w:rsidRPr="00173F61">
        <w:rPr>
          <w:rFonts w:asciiTheme="majorBidi" w:hAnsiTheme="majorBidi" w:cstheme="majorBidi"/>
        </w:rPr>
        <w:t xml:space="preserve"> 2000; </w:t>
      </w:r>
      <w:proofErr w:type="spellStart"/>
      <w:r w:rsidR="00F8163D" w:rsidRPr="00173F61">
        <w:rPr>
          <w:rFonts w:asciiTheme="majorBidi" w:hAnsiTheme="majorBidi" w:cstheme="majorBidi"/>
        </w:rPr>
        <w:t>Stiefel</w:t>
      </w:r>
      <w:proofErr w:type="spellEnd"/>
      <w:r w:rsidR="00E3094D">
        <w:rPr>
          <w:rFonts w:asciiTheme="majorBidi" w:hAnsiTheme="majorBidi" w:cstheme="majorBidi"/>
        </w:rPr>
        <w:t xml:space="preserve"> et al.</w:t>
      </w:r>
      <w:r w:rsidR="00F8163D" w:rsidRPr="00173F61">
        <w:rPr>
          <w:rFonts w:asciiTheme="majorBidi" w:hAnsiTheme="majorBidi" w:cstheme="majorBidi"/>
        </w:rPr>
        <w:t xml:space="preserve"> 2000). </w:t>
      </w:r>
      <w:r w:rsidR="00FC07AB" w:rsidRPr="00173F61">
        <w:rPr>
          <w:rFonts w:asciiTheme="majorBidi" w:hAnsiTheme="majorBidi" w:cstheme="majorBidi"/>
        </w:rPr>
        <w:t>In a review of more than one hundred documents examining the relationships between school size and various aspects of schooling</w:t>
      </w:r>
      <w:r w:rsidRPr="00173F61">
        <w:rPr>
          <w:rFonts w:asciiTheme="majorBidi" w:hAnsiTheme="majorBidi" w:cstheme="majorBidi"/>
        </w:rPr>
        <w:t>,</w:t>
      </w:r>
      <w:r w:rsidR="00FC07AB" w:rsidRPr="00173F61">
        <w:rPr>
          <w:rFonts w:asciiTheme="majorBidi" w:hAnsiTheme="majorBidi" w:cstheme="majorBidi"/>
        </w:rPr>
        <w:t xml:space="preserve"> </w:t>
      </w:r>
      <w:r w:rsidR="00F8163D" w:rsidRPr="00173F61">
        <w:rPr>
          <w:rFonts w:asciiTheme="majorBidi" w:hAnsiTheme="majorBidi" w:cstheme="majorBidi"/>
        </w:rPr>
        <w:t>Cotton (1996</w:t>
      </w:r>
      <w:r w:rsidR="008F748E">
        <w:rPr>
          <w:rFonts w:asciiTheme="majorBidi" w:hAnsiTheme="majorBidi" w:cstheme="majorBidi"/>
        </w:rPr>
        <w:t>, 12</w:t>
      </w:r>
      <w:r w:rsidR="00F8163D" w:rsidRPr="00173F61">
        <w:rPr>
          <w:rFonts w:asciiTheme="majorBidi" w:hAnsiTheme="majorBidi" w:cstheme="majorBidi"/>
        </w:rPr>
        <w:t xml:space="preserve">) concluded that “we who have become convinced of the superiority of small schools have [...] the task of communicating our findings to those who have the power to influence decisions about the size of our schools”. Although Cotton did not </w:t>
      </w:r>
      <w:r w:rsidR="00FC07AB" w:rsidRPr="00173F61">
        <w:rPr>
          <w:rFonts w:asciiTheme="majorBidi" w:hAnsiTheme="majorBidi" w:cstheme="majorBidi"/>
        </w:rPr>
        <w:t>directly discuss</w:t>
      </w:r>
      <w:r w:rsidR="00F8163D" w:rsidRPr="00173F61">
        <w:rPr>
          <w:rFonts w:asciiTheme="majorBidi" w:hAnsiTheme="majorBidi" w:cstheme="majorBidi"/>
        </w:rPr>
        <w:t xml:space="preserve"> differences in educational aspirations between </w:t>
      </w:r>
      <w:r w:rsidR="00FC07AB" w:rsidRPr="00173F61">
        <w:rPr>
          <w:rFonts w:asciiTheme="majorBidi" w:hAnsiTheme="majorBidi" w:cstheme="majorBidi"/>
        </w:rPr>
        <w:t>pupils</w:t>
      </w:r>
      <w:r w:rsidR="00F8163D" w:rsidRPr="00173F61">
        <w:rPr>
          <w:rFonts w:asciiTheme="majorBidi" w:hAnsiTheme="majorBidi" w:cstheme="majorBidi"/>
        </w:rPr>
        <w:t xml:space="preserve"> from small and large schools, she </w:t>
      </w:r>
      <w:r w:rsidR="00FC07AB" w:rsidRPr="00173F61">
        <w:rPr>
          <w:rFonts w:asciiTheme="majorBidi" w:hAnsiTheme="majorBidi" w:cstheme="majorBidi"/>
        </w:rPr>
        <w:t>did identify a number of</w:t>
      </w:r>
      <w:r w:rsidR="00F8163D" w:rsidRPr="00173F61">
        <w:rPr>
          <w:rFonts w:asciiTheme="majorBidi" w:hAnsiTheme="majorBidi" w:cstheme="majorBidi"/>
        </w:rPr>
        <w:t xml:space="preserve"> benefits of attending a small school; e.g. higher academic achievement, more positive student attitudes toward school and particular school subjects, more positive student social behavio</w:t>
      </w:r>
      <w:r w:rsidR="00FC07AB" w:rsidRPr="00173F61">
        <w:rPr>
          <w:rFonts w:asciiTheme="majorBidi" w:hAnsiTheme="majorBidi" w:cstheme="majorBidi"/>
        </w:rPr>
        <w:t>u</w:t>
      </w:r>
      <w:r w:rsidR="00F8163D" w:rsidRPr="00173F61">
        <w:rPr>
          <w:rFonts w:asciiTheme="majorBidi" w:hAnsiTheme="majorBidi" w:cstheme="majorBidi"/>
        </w:rPr>
        <w:t xml:space="preserve">r and interpersonal relations, etc. In a more recent review, </w:t>
      </w:r>
      <w:proofErr w:type="spellStart"/>
      <w:r w:rsidR="00F8163D" w:rsidRPr="00173F61">
        <w:rPr>
          <w:rFonts w:asciiTheme="majorBidi" w:hAnsiTheme="majorBidi" w:cstheme="majorBidi"/>
        </w:rPr>
        <w:t>Leithwood</w:t>
      </w:r>
      <w:proofErr w:type="spellEnd"/>
      <w:r w:rsidR="00F8163D" w:rsidRPr="00173F61">
        <w:rPr>
          <w:rFonts w:asciiTheme="majorBidi" w:hAnsiTheme="majorBidi" w:cstheme="majorBidi"/>
        </w:rPr>
        <w:t xml:space="preserve"> and </w:t>
      </w:r>
      <w:proofErr w:type="spellStart"/>
      <w:r w:rsidR="00F8163D" w:rsidRPr="00173F61">
        <w:rPr>
          <w:rFonts w:asciiTheme="majorBidi" w:hAnsiTheme="majorBidi" w:cstheme="majorBidi"/>
        </w:rPr>
        <w:t>Jantzi</w:t>
      </w:r>
      <w:proofErr w:type="spellEnd"/>
      <w:r w:rsidR="00F8163D" w:rsidRPr="00173F61">
        <w:rPr>
          <w:rFonts w:asciiTheme="majorBidi" w:hAnsiTheme="majorBidi" w:cstheme="majorBidi"/>
        </w:rPr>
        <w:t xml:space="preserve"> (2009) also highlighted the advantages of small schools in comparison to large schools. Similar findings </w:t>
      </w:r>
      <w:r w:rsidRPr="00173F61">
        <w:rPr>
          <w:rFonts w:asciiTheme="majorBidi" w:hAnsiTheme="majorBidi" w:cstheme="majorBidi"/>
        </w:rPr>
        <w:t xml:space="preserve">have also been demonstrated </w:t>
      </w:r>
      <w:r w:rsidR="00F8163D" w:rsidRPr="00173F61">
        <w:rPr>
          <w:rFonts w:asciiTheme="majorBidi" w:hAnsiTheme="majorBidi" w:cstheme="majorBidi"/>
        </w:rPr>
        <w:t xml:space="preserve">for </w:t>
      </w:r>
      <w:r w:rsidRPr="00173F61">
        <w:rPr>
          <w:rFonts w:asciiTheme="majorBidi" w:hAnsiTheme="majorBidi" w:cstheme="majorBidi"/>
        </w:rPr>
        <w:t xml:space="preserve">the advantages of </w:t>
      </w:r>
      <w:r w:rsidR="00F8163D" w:rsidRPr="00173F61">
        <w:rPr>
          <w:rFonts w:asciiTheme="majorBidi" w:hAnsiTheme="majorBidi" w:cstheme="majorBidi"/>
        </w:rPr>
        <w:t>small classes in comparison to larg</w:t>
      </w:r>
      <w:r w:rsidR="00760DDE">
        <w:rPr>
          <w:rFonts w:asciiTheme="majorBidi" w:hAnsiTheme="majorBidi" w:cstheme="majorBidi"/>
        </w:rPr>
        <w:t xml:space="preserve">e classes (e.g. Finn, </w:t>
      </w:r>
      <w:proofErr w:type="spellStart"/>
      <w:r w:rsidR="00760DDE">
        <w:rPr>
          <w:rFonts w:asciiTheme="majorBidi" w:hAnsiTheme="majorBidi" w:cstheme="majorBidi"/>
        </w:rPr>
        <w:t>Pannozzo</w:t>
      </w:r>
      <w:proofErr w:type="spellEnd"/>
      <w:r w:rsidR="00760DDE">
        <w:rPr>
          <w:rFonts w:asciiTheme="majorBidi" w:hAnsiTheme="majorBidi" w:cstheme="majorBidi"/>
        </w:rPr>
        <w:t>, and</w:t>
      </w:r>
      <w:r w:rsidR="00852B5E">
        <w:rPr>
          <w:rFonts w:asciiTheme="majorBidi" w:hAnsiTheme="majorBidi" w:cstheme="majorBidi"/>
        </w:rPr>
        <w:t xml:space="preserve"> Achilles</w:t>
      </w:r>
      <w:r w:rsidR="00F8163D" w:rsidRPr="00173F61">
        <w:rPr>
          <w:rFonts w:asciiTheme="majorBidi" w:hAnsiTheme="majorBidi" w:cstheme="majorBidi"/>
        </w:rPr>
        <w:t xml:space="preserve"> 2003; Glass </w:t>
      </w:r>
      <w:r w:rsidR="00760DDE">
        <w:rPr>
          <w:rFonts w:asciiTheme="majorBidi" w:hAnsiTheme="majorBidi" w:cstheme="majorBidi"/>
        </w:rPr>
        <w:t>and</w:t>
      </w:r>
      <w:r w:rsidR="00852B5E">
        <w:rPr>
          <w:rFonts w:asciiTheme="majorBidi" w:hAnsiTheme="majorBidi" w:cstheme="majorBidi"/>
        </w:rPr>
        <w:t xml:space="preserve"> Smith</w:t>
      </w:r>
      <w:r w:rsidR="00F8163D" w:rsidRPr="00173F61">
        <w:rPr>
          <w:rFonts w:asciiTheme="majorBidi" w:hAnsiTheme="majorBidi" w:cstheme="majorBidi"/>
        </w:rPr>
        <w:t xml:space="preserve"> 1979), although these findings </w:t>
      </w:r>
      <w:r w:rsidR="00FC07AB" w:rsidRPr="00173F61">
        <w:rPr>
          <w:rFonts w:asciiTheme="majorBidi" w:hAnsiTheme="majorBidi" w:cstheme="majorBidi"/>
        </w:rPr>
        <w:t xml:space="preserve">have </w:t>
      </w:r>
      <w:r w:rsidR="00F8163D" w:rsidRPr="00173F61">
        <w:rPr>
          <w:rFonts w:asciiTheme="majorBidi" w:hAnsiTheme="majorBidi" w:cstheme="majorBidi"/>
        </w:rPr>
        <w:t>not always</w:t>
      </w:r>
      <w:r w:rsidR="00FC07AB" w:rsidRPr="00173F61">
        <w:rPr>
          <w:rFonts w:asciiTheme="majorBidi" w:hAnsiTheme="majorBidi" w:cstheme="majorBidi"/>
        </w:rPr>
        <w:t xml:space="preserve"> been</w:t>
      </w:r>
      <w:r w:rsidR="00760DDE">
        <w:rPr>
          <w:rFonts w:asciiTheme="majorBidi" w:hAnsiTheme="majorBidi" w:cstheme="majorBidi"/>
        </w:rPr>
        <w:t xml:space="preserve"> consistent (</w:t>
      </w:r>
      <w:proofErr w:type="spellStart"/>
      <w:r w:rsidR="00760DDE">
        <w:rPr>
          <w:rFonts w:asciiTheme="majorBidi" w:hAnsiTheme="majorBidi" w:cstheme="majorBidi"/>
        </w:rPr>
        <w:t>Woessmann</w:t>
      </w:r>
      <w:proofErr w:type="spellEnd"/>
      <w:r w:rsidR="00760DDE">
        <w:rPr>
          <w:rFonts w:asciiTheme="majorBidi" w:hAnsiTheme="majorBidi" w:cstheme="majorBidi"/>
        </w:rPr>
        <w:t xml:space="preserve"> and</w:t>
      </w:r>
      <w:r w:rsidR="00852B5E">
        <w:rPr>
          <w:rFonts w:asciiTheme="majorBidi" w:hAnsiTheme="majorBidi" w:cstheme="majorBidi"/>
        </w:rPr>
        <w:t xml:space="preserve"> West</w:t>
      </w:r>
      <w:r w:rsidR="00F8163D" w:rsidRPr="00173F61">
        <w:rPr>
          <w:rFonts w:asciiTheme="majorBidi" w:hAnsiTheme="majorBidi" w:cstheme="majorBidi"/>
        </w:rPr>
        <w:t xml:space="preserve"> 2006). In a longitudinal study, </w:t>
      </w:r>
      <w:r w:rsidR="00F8163D" w:rsidRPr="004C08CD">
        <w:rPr>
          <w:rFonts w:asciiTheme="majorBidi" w:hAnsiTheme="majorBidi" w:cstheme="majorBidi"/>
        </w:rPr>
        <w:t xml:space="preserve">Krueger and Whitmore (2001) found that attending a small class in </w:t>
      </w:r>
      <w:r w:rsidR="00FC07AB" w:rsidRPr="004C08CD">
        <w:rPr>
          <w:rFonts w:asciiTheme="majorBidi" w:hAnsiTheme="majorBidi" w:cstheme="majorBidi"/>
        </w:rPr>
        <w:t xml:space="preserve">an </w:t>
      </w:r>
      <w:r w:rsidR="00336588" w:rsidRPr="004C08CD">
        <w:rPr>
          <w:rFonts w:asciiTheme="majorBidi" w:hAnsiTheme="majorBidi" w:cstheme="majorBidi"/>
        </w:rPr>
        <w:t>elementary</w:t>
      </w:r>
      <w:r w:rsidR="00F8163D" w:rsidRPr="004C08CD">
        <w:rPr>
          <w:rFonts w:asciiTheme="majorBidi" w:hAnsiTheme="majorBidi" w:cstheme="majorBidi"/>
        </w:rPr>
        <w:t xml:space="preserve"> school is associated with an increase in the likelihood that </w:t>
      </w:r>
      <w:r w:rsidR="00FC07AB" w:rsidRPr="004C08CD">
        <w:rPr>
          <w:rFonts w:asciiTheme="majorBidi" w:hAnsiTheme="majorBidi" w:cstheme="majorBidi"/>
        </w:rPr>
        <w:t xml:space="preserve">pupils </w:t>
      </w:r>
      <w:r w:rsidR="00F8163D" w:rsidRPr="004C08CD">
        <w:rPr>
          <w:rFonts w:asciiTheme="majorBidi" w:hAnsiTheme="majorBidi" w:cstheme="majorBidi"/>
        </w:rPr>
        <w:t>will take a college-entrance exam.</w:t>
      </w:r>
    </w:p>
    <w:p w14:paraId="70955E1C" w14:textId="3C7BA1F0" w:rsidR="00F8163D" w:rsidRPr="004C08CD" w:rsidRDefault="00F8163D" w:rsidP="004C08CD">
      <w:pPr>
        <w:pStyle w:val="Heading1"/>
      </w:pPr>
      <w:r w:rsidRPr="004C08CD">
        <w:lastRenderedPageBreak/>
        <w:t>Current Study</w:t>
      </w:r>
    </w:p>
    <w:p w14:paraId="0D5640C4" w14:textId="5E56DB37" w:rsidR="00AC7F81" w:rsidRPr="00173F61" w:rsidRDefault="00AC7F81" w:rsidP="004C08CD">
      <w:pPr>
        <w:pStyle w:val="Paragraph"/>
        <w:rPr>
          <w:rFonts w:asciiTheme="majorBidi" w:hAnsiTheme="majorBidi" w:cstheme="majorBidi"/>
        </w:rPr>
      </w:pPr>
      <w:r w:rsidRPr="00173F61">
        <w:rPr>
          <w:rFonts w:asciiTheme="majorBidi" w:hAnsiTheme="majorBidi" w:cstheme="majorBidi"/>
        </w:rPr>
        <w:t xml:space="preserve">The </w:t>
      </w:r>
      <w:r w:rsidR="008C415A" w:rsidRPr="00173F61">
        <w:rPr>
          <w:rFonts w:asciiTheme="majorBidi" w:hAnsiTheme="majorBidi" w:cstheme="majorBidi"/>
        </w:rPr>
        <w:t>aim</w:t>
      </w:r>
      <w:r w:rsidRPr="00173F61">
        <w:rPr>
          <w:rFonts w:asciiTheme="majorBidi" w:hAnsiTheme="majorBidi" w:cstheme="majorBidi"/>
        </w:rPr>
        <w:t xml:space="preserve"> of the current study is to examine the contributions of individual and school context variables in the prediction of pupils’ aspirations for higher education at the end of </w:t>
      </w:r>
      <w:r w:rsidR="00336588" w:rsidRPr="00173F61">
        <w:rPr>
          <w:rFonts w:asciiTheme="majorBidi" w:hAnsiTheme="majorBidi" w:cstheme="majorBidi"/>
        </w:rPr>
        <w:t>elementary</w:t>
      </w:r>
      <w:r w:rsidR="002066F9" w:rsidRPr="00173F61">
        <w:rPr>
          <w:rFonts w:asciiTheme="majorBidi" w:hAnsiTheme="majorBidi" w:cstheme="majorBidi"/>
        </w:rPr>
        <w:t xml:space="preserve"> education</w:t>
      </w:r>
      <w:r w:rsidR="00ED324C" w:rsidRPr="00173F61">
        <w:rPr>
          <w:rFonts w:asciiTheme="majorBidi" w:hAnsiTheme="majorBidi" w:cstheme="majorBidi"/>
        </w:rPr>
        <w:t>, a period in which pupils must make a</w:t>
      </w:r>
      <w:r w:rsidR="002066F9" w:rsidRPr="00173F61">
        <w:rPr>
          <w:rFonts w:asciiTheme="majorBidi" w:hAnsiTheme="majorBidi" w:cstheme="majorBidi"/>
        </w:rPr>
        <w:t xml:space="preserve"> choice </w:t>
      </w:r>
      <w:r w:rsidR="00ED324C" w:rsidRPr="00173F61">
        <w:rPr>
          <w:rFonts w:asciiTheme="majorBidi" w:hAnsiTheme="majorBidi" w:cstheme="majorBidi"/>
        </w:rPr>
        <w:t>regarding</w:t>
      </w:r>
      <w:r w:rsidR="002066F9" w:rsidRPr="00173F61">
        <w:rPr>
          <w:rFonts w:asciiTheme="majorBidi" w:hAnsiTheme="majorBidi" w:cstheme="majorBidi"/>
        </w:rPr>
        <w:t xml:space="preserve"> differentiated upper secondary education</w:t>
      </w:r>
      <w:r w:rsidRPr="00173F61">
        <w:rPr>
          <w:rFonts w:asciiTheme="majorBidi" w:hAnsiTheme="majorBidi" w:cstheme="majorBidi"/>
        </w:rPr>
        <w:t xml:space="preserve">. </w:t>
      </w:r>
      <w:proofErr w:type="gramStart"/>
      <w:r w:rsidRPr="00173F61">
        <w:rPr>
          <w:rFonts w:asciiTheme="majorBidi" w:hAnsiTheme="majorBidi" w:cstheme="majorBidi"/>
        </w:rPr>
        <w:t xml:space="preserve">More specifically, we </w:t>
      </w:r>
      <w:r w:rsidR="00D8634A" w:rsidRPr="00173F61">
        <w:rPr>
          <w:rFonts w:asciiTheme="majorBidi" w:hAnsiTheme="majorBidi" w:cstheme="majorBidi"/>
        </w:rPr>
        <w:t xml:space="preserve">aim to </w:t>
      </w:r>
      <w:r w:rsidRPr="00173F61">
        <w:rPr>
          <w:rFonts w:asciiTheme="majorBidi" w:hAnsiTheme="majorBidi" w:cstheme="majorBidi"/>
        </w:rPr>
        <w:t xml:space="preserve">investigate </w:t>
      </w:r>
      <w:r w:rsidR="00D8634A" w:rsidRPr="00173F61">
        <w:rPr>
          <w:rFonts w:asciiTheme="majorBidi" w:hAnsiTheme="majorBidi" w:cstheme="majorBidi"/>
        </w:rPr>
        <w:t>whether</w:t>
      </w:r>
      <w:r w:rsidRPr="00173F61">
        <w:rPr>
          <w:rFonts w:asciiTheme="majorBidi" w:hAnsiTheme="majorBidi" w:cstheme="majorBidi"/>
        </w:rPr>
        <w:t xml:space="preserve"> school level variables (namely, </w:t>
      </w:r>
      <w:r w:rsidR="00D8634A" w:rsidRPr="00173F61">
        <w:rPr>
          <w:rFonts w:asciiTheme="majorBidi" w:hAnsiTheme="majorBidi" w:cstheme="majorBidi"/>
        </w:rPr>
        <w:t>school</w:t>
      </w:r>
      <w:r w:rsidRPr="00173F61">
        <w:rPr>
          <w:rFonts w:asciiTheme="majorBidi" w:hAnsiTheme="majorBidi" w:cstheme="majorBidi"/>
        </w:rPr>
        <w:t xml:space="preserve"> grade point average, school size, average class size and real estate prices in the school’s cadastral district) contribute to the prediction of pupils’ aspirations</w:t>
      </w:r>
      <w:r w:rsidR="00D8634A" w:rsidRPr="00173F61">
        <w:rPr>
          <w:rFonts w:asciiTheme="majorBidi" w:hAnsiTheme="majorBidi" w:cstheme="majorBidi"/>
        </w:rPr>
        <w:t>,</w:t>
      </w:r>
      <w:r w:rsidRPr="00173F61">
        <w:rPr>
          <w:rFonts w:asciiTheme="majorBidi" w:hAnsiTheme="majorBidi" w:cstheme="majorBidi"/>
        </w:rPr>
        <w:t xml:space="preserve"> alongside variables implied in the status attainment model (parental employment and educational status, pupil’s possession of his / her own room, work desk and computer, parental educational aspirations for their child and parental academic support) and blocked opportunities model (pupil’s grade poi</w:t>
      </w:r>
      <w:r w:rsidR="00490035" w:rsidRPr="00173F61">
        <w:rPr>
          <w:rFonts w:asciiTheme="majorBidi" w:hAnsiTheme="majorBidi" w:cstheme="majorBidi"/>
        </w:rPr>
        <w:t xml:space="preserve">nt average, school satisfaction, </w:t>
      </w:r>
      <w:r w:rsidRPr="00173F61">
        <w:rPr>
          <w:rFonts w:asciiTheme="majorBidi" w:hAnsiTheme="majorBidi" w:cstheme="majorBidi"/>
        </w:rPr>
        <w:t>school workload</w:t>
      </w:r>
      <w:r w:rsidR="00490035" w:rsidRPr="00173F61">
        <w:rPr>
          <w:rFonts w:asciiTheme="majorBidi" w:hAnsiTheme="majorBidi" w:cstheme="majorBidi"/>
        </w:rPr>
        <w:t xml:space="preserve"> and academic self-efficacy</w:t>
      </w:r>
      <w:r w:rsidRPr="00173F61">
        <w:rPr>
          <w:rFonts w:asciiTheme="majorBidi" w:hAnsiTheme="majorBidi" w:cstheme="majorBidi"/>
        </w:rPr>
        <w:t>).</w:t>
      </w:r>
      <w:proofErr w:type="gramEnd"/>
    </w:p>
    <w:p w14:paraId="40FF4FE8" w14:textId="200D4FF7" w:rsidR="00AC7F81" w:rsidRPr="00173F61" w:rsidRDefault="00AC7F81" w:rsidP="004C08CD">
      <w:pPr>
        <w:pStyle w:val="Newparagraph"/>
        <w:rPr>
          <w:rFonts w:asciiTheme="majorBidi" w:hAnsiTheme="majorBidi" w:cstheme="majorBidi"/>
        </w:rPr>
      </w:pPr>
      <w:r w:rsidRPr="00173F61">
        <w:rPr>
          <w:rFonts w:asciiTheme="majorBidi" w:hAnsiTheme="majorBidi" w:cstheme="majorBidi"/>
        </w:rPr>
        <w:t xml:space="preserve">Based on the aforementioned theoretical models and </w:t>
      </w:r>
      <w:r w:rsidR="00D8634A" w:rsidRPr="00173F61">
        <w:rPr>
          <w:rFonts w:asciiTheme="majorBidi" w:hAnsiTheme="majorBidi" w:cstheme="majorBidi"/>
        </w:rPr>
        <w:t xml:space="preserve">existing </w:t>
      </w:r>
      <w:r w:rsidRPr="00173F61">
        <w:rPr>
          <w:rFonts w:asciiTheme="majorBidi" w:hAnsiTheme="majorBidi" w:cstheme="majorBidi"/>
        </w:rPr>
        <w:t xml:space="preserve">empirical evidence, we expect that status attainment and blocked opportunities will have a role in </w:t>
      </w:r>
      <w:r w:rsidR="008E7999" w:rsidRPr="00173F61">
        <w:rPr>
          <w:rFonts w:asciiTheme="majorBidi" w:hAnsiTheme="majorBidi" w:cstheme="majorBidi"/>
        </w:rPr>
        <w:t>explaining</w:t>
      </w:r>
      <w:r w:rsidR="002066F9" w:rsidRPr="00173F61">
        <w:rPr>
          <w:rFonts w:asciiTheme="majorBidi" w:hAnsiTheme="majorBidi" w:cstheme="majorBidi"/>
        </w:rPr>
        <w:t xml:space="preserve"> </w:t>
      </w:r>
      <w:r w:rsidRPr="00173F61">
        <w:rPr>
          <w:rFonts w:asciiTheme="majorBidi" w:hAnsiTheme="majorBidi" w:cstheme="majorBidi"/>
        </w:rPr>
        <w:t xml:space="preserve">pupils’ aspirations for higher education. Furthermore, we expect that pupils will feel more inclined to further their education at </w:t>
      </w:r>
      <w:r w:rsidR="00D8634A" w:rsidRPr="00173F61">
        <w:rPr>
          <w:rFonts w:asciiTheme="majorBidi" w:hAnsiTheme="majorBidi" w:cstheme="majorBidi"/>
        </w:rPr>
        <w:t xml:space="preserve">the </w:t>
      </w:r>
      <w:r w:rsidRPr="00173F61">
        <w:rPr>
          <w:rFonts w:asciiTheme="majorBidi" w:hAnsiTheme="majorBidi" w:cstheme="majorBidi"/>
        </w:rPr>
        <w:t xml:space="preserve">post-secondary level if they attend schools </w:t>
      </w:r>
      <w:r w:rsidR="00D8634A" w:rsidRPr="00173F61">
        <w:rPr>
          <w:rFonts w:asciiTheme="majorBidi" w:hAnsiTheme="majorBidi" w:cstheme="majorBidi"/>
        </w:rPr>
        <w:t>with</w:t>
      </w:r>
      <w:r w:rsidRPr="00173F61">
        <w:rPr>
          <w:rFonts w:asciiTheme="majorBidi" w:hAnsiTheme="majorBidi" w:cstheme="majorBidi"/>
        </w:rPr>
        <w:t xml:space="preserve"> </w:t>
      </w:r>
      <w:proofErr w:type="gramStart"/>
      <w:r w:rsidRPr="00173F61">
        <w:rPr>
          <w:rFonts w:asciiTheme="majorBidi" w:hAnsiTheme="majorBidi" w:cstheme="majorBidi"/>
        </w:rPr>
        <w:t xml:space="preserve">higher grade point averages and </w:t>
      </w:r>
      <w:r w:rsidR="00D8634A" w:rsidRPr="00173F61">
        <w:rPr>
          <w:rFonts w:asciiTheme="majorBidi" w:hAnsiTheme="majorBidi" w:cstheme="majorBidi"/>
        </w:rPr>
        <w:t xml:space="preserve">where </w:t>
      </w:r>
      <w:r w:rsidRPr="00173F61">
        <w:rPr>
          <w:rFonts w:asciiTheme="majorBidi" w:hAnsiTheme="majorBidi" w:cstheme="majorBidi"/>
        </w:rPr>
        <w:t xml:space="preserve">pupils more often enrol in </w:t>
      </w:r>
      <w:r w:rsidR="00D04A76" w:rsidRPr="00173F61">
        <w:rPr>
          <w:rFonts w:asciiTheme="majorBidi" w:hAnsiTheme="majorBidi" w:cstheme="majorBidi"/>
        </w:rPr>
        <w:t>four</w:t>
      </w:r>
      <w:r w:rsidR="00520EA2" w:rsidRPr="00173F61">
        <w:rPr>
          <w:rFonts w:asciiTheme="majorBidi" w:hAnsiTheme="majorBidi" w:cstheme="majorBidi"/>
        </w:rPr>
        <w:t xml:space="preserve">-year </w:t>
      </w:r>
      <w:r w:rsidR="006468E1" w:rsidRPr="00173F61">
        <w:rPr>
          <w:rFonts w:asciiTheme="majorBidi" w:hAnsiTheme="majorBidi" w:cstheme="majorBidi"/>
        </w:rPr>
        <w:t xml:space="preserve">upper secondary education </w:t>
      </w:r>
      <w:r w:rsidR="00520EA2" w:rsidRPr="00173F61">
        <w:rPr>
          <w:rFonts w:asciiTheme="majorBidi" w:hAnsiTheme="majorBidi" w:cstheme="majorBidi"/>
        </w:rPr>
        <w:t>programmes</w:t>
      </w:r>
      <w:proofErr w:type="gramEnd"/>
      <w:r w:rsidRPr="00173F61">
        <w:rPr>
          <w:rFonts w:asciiTheme="majorBidi" w:hAnsiTheme="majorBidi" w:cstheme="majorBidi"/>
        </w:rPr>
        <w:t xml:space="preserve">. In Croatia, it is necessary to obtain a </w:t>
      </w:r>
      <w:r w:rsidR="00D04A76" w:rsidRPr="00173F61">
        <w:rPr>
          <w:rFonts w:asciiTheme="majorBidi" w:hAnsiTheme="majorBidi" w:cstheme="majorBidi"/>
        </w:rPr>
        <w:t>four</w:t>
      </w:r>
      <w:r w:rsidRPr="00173F61">
        <w:rPr>
          <w:rFonts w:asciiTheme="majorBidi" w:hAnsiTheme="majorBidi" w:cstheme="majorBidi"/>
        </w:rPr>
        <w:t xml:space="preserve">-year </w:t>
      </w:r>
      <w:r w:rsidR="00B13230" w:rsidRPr="00173F61">
        <w:rPr>
          <w:rFonts w:asciiTheme="majorBidi" w:hAnsiTheme="majorBidi" w:cstheme="majorBidi"/>
        </w:rPr>
        <w:t>upper secondary</w:t>
      </w:r>
      <w:r w:rsidRPr="00173F61">
        <w:rPr>
          <w:rFonts w:asciiTheme="majorBidi" w:hAnsiTheme="majorBidi" w:cstheme="majorBidi"/>
        </w:rPr>
        <w:t xml:space="preserve"> diploma in order to apply for university and professional studies. Therefore, enrolling in </w:t>
      </w:r>
      <w:r w:rsidR="003069FF" w:rsidRPr="00173F61">
        <w:rPr>
          <w:rFonts w:asciiTheme="majorBidi" w:hAnsiTheme="majorBidi" w:cstheme="majorBidi"/>
        </w:rPr>
        <w:t xml:space="preserve">a </w:t>
      </w:r>
      <w:r w:rsidR="00D04A76" w:rsidRPr="00173F61">
        <w:rPr>
          <w:rFonts w:asciiTheme="majorBidi" w:hAnsiTheme="majorBidi" w:cstheme="majorBidi"/>
        </w:rPr>
        <w:t xml:space="preserve">four-year </w:t>
      </w:r>
      <w:r w:rsidR="00B13230" w:rsidRPr="00173F61">
        <w:rPr>
          <w:rFonts w:asciiTheme="majorBidi" w:hAnsiTheme="majorBidi" w:cstheme="majorBidi"/>
        </w:rPr>
        <w:t>upper secondary education programme</w:t>
      </w:r>
      <w:r w:rsidRPr="00173F61">
        <w:rPr>
          <w:rFonts w:asciiTheme="majorBidi" w:hAnsiTheme="majorBidi" w:cstheme="majorBidi"/>
        </w:rPr>
        <w:t xml:space="preserve"> (i.e. </w:t>
      </w:r>
      <w:r w:rsidR="00801431" w:rsidRPr="00173F61">
        <w:rPr>
          <w:rFonts w:asciiTheme="majorBidi" w:hAnsiTheme="majorBidi" w:cstheme="majorBidi"/>
        </w:rPr>
        <w:t>gymnasium</w:t>
      </w:r>
      <w:r w:rsidRPr="00173F61">
        <w:rPr>
          <w:rFonts w:asciiTheme="majorBidi" w:hAnsiTheme="majorBidi" w:cstheme="majorBidi"/>
        </w:rPr>
        <w:t xml:space="preserve"> or </w:t>
      </w:r>
      <w:r w:rsidR="00D04A76" w:rsidRPr="00173F61">
        <w:rPr>
          <w:rFonts w:asciiTheme="majorBidi" w:hAnsiTheme="majorBidi" w:cstheme="majorBidi"/>
        </w:rPr>
        <w:t>four</w:t>
      </w:r>
      <w:r w:rsidRPr="00173F61">
        <w:rPr>
          <w:rFonts w:asciiTheme="majorBidi" w:hAnsiTheme="majorBidi" w:cstheme="majorBidi"/>
        </w:rPr>
        <w:t xml:space="preserve">-year </w:t>
      </w:r>
      <w:r w:rsidR="00801431" w:rsidRPr="00173F61">
        <w:rPr>
          <w:rFonts w:asciiTheme="majorBidi" w:hAnsiTheme="majorBidi" w:cstheme="majorBidi"/>
        </w:rPr>
        <w:t>VET</w:t>
      </w:r>
      <w:r w:rsidR="00D04A76" w:rsidRPr="00173F61">
        <w:rPr>
          <w:rFonts w:asciiTheme="majorBidi" w:hAnsiTheme="majorBidi" w:cstheme="majorBidi"/>
        </w:rPr>
        <w:t xml:space="preserve"> programme</w:t>
      </w:r>
      <w:r w:rsidRPr="00173F61">
        <w:rPr>
          <w:rFonts w:asciiTheme="majorBidi" w:hAnsiTheme="majorBidi" w:cstheme="majorBidi"/>
        </w:rPr>
        <w:t xml:space="preserve">) is a logical step for pupils who aspire </w:t>
      </w:r>
      <w:proofErr w:type="gramStart"/>
      <w:r w:rsidRPr="00173F61">
        <w:rPr>
          <w:rFonts w:asciiTheme="majorBidi" w:hAnsiTheme="majorBidi" w:cstheme="majorBidi"/>
        </w:rPr>
        <w:t xml:space="preserve">to </w:t>
      </w:r>
      <w:r w:rsidR="003069FF" w:rsidRPr="00173F61">
        <w:rPr>
          <w:rFonts w:asciiTheme="majorBidi" w:hAnsiTheme="majorBidi" w:cstheme="majorBidi"/>
        </w:rPr>
        <w:t xml:space="preserve">eventually </w:t>
      </w:r>
      <w:r w:rsidRPr="00173F61">
        <w:rPr>
          <w:rFonts w:asciiTheme="majorBidi" w:hAnsiTheme="majorBidi" w:cstheme="majorBidi"/>
        </w:rPr>
        <w:t>enrol</w:t>
      </w:r>
      <w:proofErr w:type="gramEnd"/>
      <w:r w:rsidRPr="00173F61">
        <w:rPr>
          <w:rFonts w:asciiTheme="majorBidi" w:hAnsiTheme="majorBidi" w:cstheme="majorBidi"/>
        </w:rPr>
        <w:t xml:space="preserve"> in university or professional studies. </w:t>
      </w:r>
      <w:r w:rsidR="003069FF" w:rsidRPr="00173F61">
        <w:rPr>
          <w:rFonts w:asciiTheme="majorBidi" w:hAnsiTheme="majorBidi" w:cstheme="majorBidi"/>
        </w:rPr>
        <w:t>Conversely</w:t>
      </w:r>
      <w:r w:rsidRPr="00173F61">
        <w:rPr>
          <w:rFonts w:asciiTheme="majorBidi" w:hAnsiTheme="majorBidi" w:cstheme="majorBidi"/>
        </w:rPr>
        <w:t xml:space="preserve">, pupils </w:t>
      </w:r>
      <w:r w:rsidR="003069FF" w:rsidRPr="00173F61">
        <w:rPr>
          <w:rFonts w:asciiTheme="majorBidi" w:hAnsiTheme="majorBidi" w:cstheme="majorBidi"/>
        </w:rPr>
        <w:t xml:space="preserve">attending an elementary school with a large proportion of pupils who attain lower grades and enrol in three-year VET programmes might </w:t>
      </w:r>
      <w:r w:rsidRPr="00173F61">
        <w:rPr>
          <w:rFonts w:asciiTheme="majorBidi" w:hAnsiTheme="majorBidi" w:cstheme="majorBidi"/>
        </w:rPr>
        <w:t xml:space="preserve">feel more inclined to enrol in </w:t>
      </w:r>
      <w:r w:rsidR="003069FF" w:rsidRPr="00173F61">
        <w:rPr>
          <w:rFonts w:asciiTheme="majorBidi" w:hAnsiTheme="majorBidi" w:cstheme="majorBidi"/>
        </w:rPr>
        <w:t xml:space="preserve">a </w:t>
      </w:r>
      <w:r w:rsidR="0003636E" w:rsidRPr="00173F61">
        <w:rPr>
          <w:rFonts w:asciiTheme="majorBidi" w:hAnsiTheme="majorBidi" w:cstheme="majorBidi"/>
        </w:rPr>
        <w:t xml:space="preserve">three-year </w:t>
      </w:r>
      <w:r w:rsidR="00801431" w:rsidRPr="00173F61">
        <w:rPr>
          <w:rFonts w:asciiTheme="majorBidi" w:hAnsiTheme="majorBidi" w:cstheme="majorBidi"/>
        </w:rPr>
        <w:t>VET</w:t>
      </w:r>
      <w:r w:rsidR="0003636E" w:rsidRPr="00173F61">
        <w:rPr>
          <w:rFonts w:asciiTheme="majorBidi" w:hAnsiTheme="majorBidi" w:cstheme="majorBidi"/>
        </w:rPr>
        <w:t xml:space="preserve"> programme</w:t>
      </w:r>
      <w:r w:rsidR="003069FF" w:rsidRPr="00173F61">
        <w:rPr>
          <w:rFonts w:asciiTheme="majorBidi" w:hAnsiTheme="majorBidi" w:cstheme="majorBidi"/>
        </w:rPr>
        <w:t xml:space="preserve"> </w:t>
      </w:r>
      <w:proofErr w:type="gramStart"/>
      <w:r w:rsidR="003069FF" w:rsidRPr="00173F61">
        <w:rPr>
          <w:rFonts w:asciiTheme="majorBidi" w:hAnsiTheme="majorBidi" w:cstheme="majorBidi"/>
        </w:rPr>
        <w:t>as a result</w:t>
      </w:r>
      <w:proofErr w:type="gramEnd"/>
      <w:r w:rsidR="003069FF" w:rsidRPr="00173F61">
        <w:rPr>
          <w:rFonts w:asciiTheme="majorBidi" w:hAnsiTheme="majorBidi" w:cstheme="majorBidi"/>
        </w:rPr>
        <w:t xml:space="preserve"> of peer influence</w:t>
      </w:r>
      <w:r w:rsidRPr="00173F61">
        <w:rPr>
          <w:rFonts w:asciiTheme="majorBidi" w:hAnsiTheme="majorBidi" w:cstheme="majorBidi"/>
        </w:rPr>
        <w:t xml:space="preserve">.  </w:t>
      </w:r>
    </w:p>
    <w:p w14:paraId="1DA953AC" w14:textId="7E5F9134" w:rsidR="00AC7F81" w:rsidRPr="00173F61" w:rsidRDefault="003069FF" w:rsidP="004C08CD">
      <w:pPr>
        <w:pStyle w:val="Newparagraph"/>
        <w:rPr>
          <w:rFonts w:asciiTheme="majorBidi" w:hAnsiTheme="majorBidi" w:cstheme="majorBidi"/>
        </w:rPr>
      </w:pPr>
      <w:r w:rsidRPr="00173F61">
        <w:rPr>
          <w:rFonts w:asciiTheme="majorBidi" w:hAnsiTheme="majorBidi" w:cstheme="majorBidi"/>
        </w:rPr>
        <w:lastRenderedPageBreak/>
        <w:t xml:space="preserve">Consistent </w:t>
      </w:r>
      <w:r w:rsidR="00AC7F81" w:rsidRPr="00173F61">
        <w:rPr>
          <w:rFonts w:asciiTheme="majorBidi" w:hAnsiTheme="majorBidi" w:cstheme="majorBidi"/>
        </w:rPr>
        <w:t>with</w:t>
      </w:r>
      <w:r w:rsidRPr="00173F61">
        <w:rPr>
          <w:rFonts w:asciiTheme="majorBidi" w:hAnsiTheme="majorBidi" w:cstheme="majorBidi"/>
        </w:rPr>
        <w:t xml:space="preserve"> the findings from</w:t>
      </w:r>
      <w:r w:rsidR="00AC7F81" w:rsidRPr="00173F61">
        <w:rPr>
          <w:rFonts w:asciiTheme="majorBidi" w:hAnsiTheme="majorBidi" w:cstheme="majorBidi"/>
        </w:rPr>
        <w:t xml:space="preserve"> previous studies </w:t>
      </w:r>
      <w:r w:rsidRPr="00173F61">
        <w:rPr>
          <w:rFonts w:asciiTheme="majorBidi" w:hAnsiTheme="majorBidi" w:cstheme="majorBidi"/>
        </w:rPr>
        <w:t>indicating</w:t>
      </w:r>
      <w:r w:rsidR="00AC7F81" w:rsidRPr="00173F61">
        <w:rPr>
          <w:rFonts w:asciiTheme="majorBidi" w:hAnsiTheme="majorBidi" w:cstheme="majorBidi"/>
        </w:rPr>
        <w:t xml:space="preserve"> the positive effect of smaller schools and classes on </w:t>
      </w:r>
      <w:r w:rsidRPr="00173F61">
        <w:rPr>
          <w:rFonts w:asciiTheme="majorBidi" w:hAnsiTheme="majorBidi" w:cstheme="majorBidi"/>
        </w:rPr>
        <w:t xml:space="preserve">various </w:t>
      </w:r>
      <w:r w:rsidR="00AC7F81" w:rsidRPr="00173F61">
        <w:rPr>
          <w:rFonts w:asciiTheme="majorBidi" w:hAnsiTheme="majorBidi" w:cstheme="majorBidi"/>
        </w:rPr>
        <w:t xml:space="preserve">academic outcomes, we </w:t>
      </w:r>
      <w:r w:rsidRPr="00173F61">
        <w:rPr>
          <w:rFonts w:asciiTheme="majorBidi" w:hAnsiTheme="majorBidi" w:cstheme="majorBidi"/>
        </w:rPr>
        <w:t>also expect that</w:t>
      </w:r>
      <w:r w:rsidR="00AC7F81" w:rsidRPr="00173F61">
        <w:rPr>
          <w:rFonts w:asciiTheme="majorBidi" w:hAnsiTheme="majorBidi" w:cstheme="majorBidi"/>
        </w:rPr>
        <w:t xml:space="preserve"> pupils from smaller schools and classes </w:t>
      </w:r>
      <w:r w:rsidRPr="00173F61">
        <w:rPr>
          <w:rFonts w:asciiTheme="majorBidi" w:hAnsiTheme="majorBidi" w:cstheme="majorBidi"/>
        </w:rPr>
        <w:t xml:space="preserve">will </w:t>
      </w:r>
      <w:r w:rsidR="00AC7F81" w:rsidRPr="00173F61">
        <w:rPr>
          <w:rFonts w:asciiTheme="majorBidi" w:hAnsiTheme="majorBidi" w:cstheme="majorBidi"/>
        </w:rPr>
        <w:t xml:space="preserve">have higher educational aspirations in comparison to their peers from larger schools and classes. </w:t>
      </w:r>
    </w:p>
    <w:p w14:paraId="03FB9F8A" w14:textId="49E294EC" w:rsidR="00AC7F81" w:rsidRPr="00173F61" w:rsidRDefault="00AC7F81" w:rsidP="004C08CD">
      <w:pPr>
        <w:pStyle w:val="Newparagraph"/>
        <w:rPr>
          <w:rFonts w:asciiTheme="majorBidi" w:hAnsiTheme="majorBidi" w:cstheme="majorBidi"/>
        </w:rPr>
      </w:pPr>
      <w:r w:rsidRPr="00173F61">
        <w:rPr>
          <w:rFonts w:asciiTheme="majorBidi" w:hAnsiTheme="majorBidi" w:cstheme="majorBidi"/>
        </w:rPr>
        <w:t xml:space="preserve">Finally, </w:t>
      </w:r>
      <w:r w:rsidR="00E26104" w:rsidRPr="00173F61">
        <w:rPr>
          <w:rFonts w:asciiTheme="majorBidi" w:hAnsiTheme="majorBidi" w:cstheme="majorBidi"/>
        </w:rPr>
        <w:t xml:space="preserve">we aimed to determine whether </w:t>
      </w:r>
      <w:r w:rsidR="008E7999" w:rsidRPr="00173F61">
        <w:rPr>
          <w:rFonts w:asciiTheme="majorBidi" w:hAnsiTheme="majorBidi" w:cstheme="majorBidi"/>
        </w:rPr>
        <w:t xml:space="preserve">a </w:t>
      </w:r>
      <w:r w:rsidR="00E26104" w:rsidRPr="00173F61">
        <w:rPr>
          <w:rFonts w:asciiTheme="majorBidi" w:hAnsiTheme="majorBidi" w:cstheme="majorBidi"/>
        </w:rPr>
        <w:t>relationship existed</w:t>
      </w:r>
      <w:r w:rsidRPr="00173F61">
        <w:rPr>
          <w:rFonts w:asciiTheme="majorBidi" w:hAnsiTheme="majorBidi" w:cstheme="majorBidi"/>
        </w:rPr>
        <w:t xml:space="preserve"> between real estate prices in schools’ cadastral districts and </w:t>
      </w:r>
      <w:r w:rsidR="008E7999" w:rsidRPr="00173F61">
        <w:rPr>
          <w:rFonts w:asciiTheme="majorBidi" w:hAnsiTheme="majorBidi" w:cstheme="majorBidi"/>
        </w:rPr>
        <w:t xml:space="preserve">the </w:t>
      </w:r>
      <w:r w:rsidRPr="00173F61">
        <w:rPr>
          <w:rFonts w:asciiTheme="majorBidi" w:hAnsiTheme="majorBidi" w:cstheme="majorBidi"/>
        </w:rPr>
        <w:t>educational aspirations</w:t>
      </w:r>
      <w:r w:rsidR="00E26104" w:rsidRPr="00173F61">
        <w:rPr>
          <w:rFonts w:asciiTheme="majorBidi" w:hAnsiTheme="majorBidi" w:cstheme="majorBidi"/>
        </w:rPr>
        <w:t xml:space="preserve"> of pupils at those schools</w:t>
      </w:r>
      <w:r w:rsidRPr="00173F61">
        <w:rPr>
          <w:rFonts w:asciiTheme="majorBidi" w:hAnsiTheme="majorBidi" w:cstheme="majorBidi"/>
        </w:rPr>
        <w:t xml:space="preserve">. Real estate prices are a proxy measure of </w:t>
      </w:r>
      <w:r w:rsidR="008E7999" w:rsidRPr="00173F61">
        <w:rPr>
          <w:rFonts w:asciiTheme="majorBidi" w:hAnsiTheme="majorBidi" w:cstheme="majorBidi"/>
        </w:rPr>
        <w:t xml:space="preserve">the </w:t>
      </w:r>
      <w:r w:rsidRPr="00173F61">
        <w:rPr>
          <w:rFonts w:asciiTheme="majorBidi" w:hAnsiTheme="majorBidi" w:cstheme="majorBidi"/>
        </w:rPr>
        <w:t xml:space="preserve">socioeconomic status of families that live in a particular cadastral district (e.g. </w:t>
      </w:r>
      <w:r w:rsidR="00852B5E" w:rsidRPr="004C08CD">
        <w:rPr>
          <w:rFonts w:asciiTheme="majorBidi" w:hAnsiTheme="majorBidi" w:cstheme="majorBidi"/>
        </w:rPr>
        <w:t>Coffee et al.</w:t>
      </w:r>
      <w:r w:rsidRPr="004C08CD">
        <w:rPr>
          <w:rFonts w:asciiTheme="majorBidi" w:hAnsiTheme="majorBidi" w:cstheme="majorBidi"/>
        </w:rPr>
        <w:t xml:space="preserve"> 2013</w:t>
      </w:r>
      <w:r w:rsidRPr="00173F61">
        <w:rPr>
          <w:rFonts w:asciiTheme="majorBidi" w:hAnsiTheme="majorBidi" w:cstheme="majorBidi"/>
        </w:rPr>
        <w:t xml:space="preserve">). </w:t>
      </w:r>
      <w:r w:rsidR="005F715E" w:rsidRPr="00173F61">
        <w:rPr>
          <w:rFonts w:asciiTheme="majorBidi" w:hAnsiTheme="majorBidi" w:cstheme="majorBidi"/>
        </w:rPr>
        <w:t xml:space="preserve">In Croatia, school enrolment </w:t>
      </w:r>
      <w:r w:rsidR="00463DAD" w:rsidRPr="00173F61">
        <w:rPr>
          <w:rFonts w:asciiTheme="majorBidi" w:hAnsiTheme="majorBidi" w:cstheme="majorBidi"/>
        </w:rPr>
        <w:t>is organis</w:t>
      </w:r>
      <w:r w:rsidR="005F715E" w:rsidRPr="00173F61">
        <w:rPr>
          <w:rFonts w:asciiTheme="majorBidi" w:hAnsiTheme="majorBidi" w:cstheme="majorBidi"/>
        </w:rPr>
        <w:t xml:space="preserve">ed by catchment areas. </w:t>
      </w:r>
      <w:r w:rsidRPr="00173F61">
        <w:rPr>
          <w:rFonts w:asciiTheme="majorBidi" w:hAnsiTheme="majorBidi" w:cstheme="majorBidi"/>
        </w:rPr>
        <w:t xml:space="preserve">In Zagreb, the enrolment areas of </w:t>
      </w:r>
      <w:r w:rsidR="00336588" w:rsidRPr="00173F61">
        <w:rPr>
          <w:rFonts w:asciiTheme="majorBidi" w:hAnsiTheme="majorBidi" w:cstheme="majorBidi"/>
        </w:rPr>
        <w:t>elementary</w:t>
      </w:r>
      <w:r w:rsidRPr="00173F61">
        <w:rPr>
          <w:rFonts w:asciiTheme="majorBidi" w:hAnsiTheme="majorBidi" w:cstheme="majorBidi"/>
        </w:rPr>
        <w:t xml:space="preserve"> schools</w:t>
      </w:r>
      <w:r w:rsidR="008E7999" w:rsidRPr="00173F61">
        <w:rPr>
          <w:rFonts w:asciiTheme="majorBidi" w:hAnsiTheme="majorBidi" w:cstheme="majorBidi"/>
        </w:rPr>
        <w:t xml:space="preserve"> generally encompass</w:t>
      </w:r>
      <w:r w:rsidRPr="00173F61">
        <w:rPr>
          <w:rFonts w:asciiTheme="majorBidi" w:hAnsiTheme="majorBidi" w:cstheme="majorBidi"/>
        </w:rPr>
        <w:t xml:space="preserve"> the nearest neighbourhood of the respective school, although there are some deviations from this rule (e.g. </w:t>
      </w:r>
      <w:proofErr w:type="spellStart"/>
      <w:r w:rsidRPr="00173F61">
        <w:rPr>
          <w:rFonts w:asciiTheme="majorBidi" w:hAnsiTheme="majorBidi" w:cstheme="majorBidi"/>
        </w:rPr>
        <w:t>Valožić</w:t>
      </w:r>
      <w:proofErr w:type="spellEnd"/>
      <w:r w:rsidRPr="00173F61">
        <w:rPr>
          <w:rFonts w:asciiTheme="majorBidi" w:hAnsiTheme="majorBidi" w:cstheme="majorBidi"/>
        </w:rPr>
        <w:t xml:space="preserve">, </w:t>
      </w:r>
      <w:proofErr w:type="spellStart"/>
      <w:r w:rsidRPr="00173F61">
        <w:rPr>
          <w:rFonts w:asciiTheme="majorBidi" w:hAnsiTheme="majorBidi" w:cstheme="majorBidi"/>
        </w:rPr>
        <w:t>Radeljak</w:t>
      </w:r>
      <w:proofErr w:type="spellEnd"/>
      <w:r w:rsidR="00760DDE">
        <w:rPr>
          <w:rFonts w:asciiTheme="majorBidi" w:hAnsiTheme="majorBidi" w:cstheme="majorBidi"/>
        </w:rPr>
        <w:t>, and</w:t>
      </w:r>
      <w:r w:rsidR="00852B5E">
        <w:rPr>
          <w:rFonts w:asciiTheme="majorBidi" w:hAnsiTheme="majorBidi" w:cstheme="majorBidi"/>
        </w:rPr>
        <w:t xml:space="preserve"> </w:t>
      </w:r>
      <w:proofErr w:type="spellStart"/>
      <w:r w:rsidR="00852B5E">
        <w:rPr>
          <w:rFonts w:asciiTheme="majorBidi" w:hAnsiTheme="majorBidi" w:cstheme="majorBidi"/>
        </w:rPr>
        <w:t>Žiković</w:t>
      </w:r>
      <w:proofErr w:type="spellEnd"/>
      <w:r w:rsidRPr="00173F61">
        <w:rPr>
          <w:rFonts w:asciiTheme="majorBidi" w:hAnsiTheme="majorBidi" w:cstheme="majorBidi"/>
        </w:rPr>
        <w:t xml:space="preserve"> 2012). </w:t>
      </w:r>
      <w:r w:rsidR="00E26104" w:rsidRPr="00173F61">
        <w:rPr>
          <w:rFonts w:asciiTheme="majorBidi" w:hAnsiTheme="majorBidi" w:cstheme="majorBidi"/>
        </w:rPr>
        <w:t>As such</w:t>
      </w:r>
      <w:r w:rsidRPr="00173F61">
        <w:rPr>
          <w:rFonts w:asciiTheme="majorBidi" w:hAnsiTheme="majorBidi" w:cstheme="majorBidi"/>
        </w:rPr>
        <w:t>, we expect that pupils from wealthier districts will have somewhat higher educational aspirations.</w:t>
      </w:r>
    </w:p>
    <w:p w14:paraId="6724317F" w14:textId="7FB5F34D" w:rsidR="00AC7F81" w:rsidRPr="00173F61" w:rsidRDefault="00AC7F81" w:rsidP="004C08CD">
      <w:pPr>
        <w:pStyle w:val="Newparagraph"/>
        <w:rPr>
          <w:rFonts w:asciiTheme="majorBidi" w:hAnsiTheme="majorBidi" w:cstheme="majorBidi"/>
        </w:rPr>
      </w:pPr>
      <w:r w:rsidRPr="00173F61">
        <w:rPr>
          <w:rFonts w:asciiTheme="majorBidi" w:hAnsiTheme="majorBidi" w:cstheme="majorBidi"/>
        </w:rPr>
        <w:t xml:space="preserve">Although male students </w:t>
      </w:r>
      <w:r w:rsidR="008E7999" w:rsidRPr="00173F61">
        <w:rPr>
          <w:rFonts w:asciiTheme="majorBidi" w:hAnsiTheme="majorBidi" w:cstheme="majorBidi"/>
        </w:rPr>
        <w:t xml:space="preserve">have been </w:t>
      </w:r>
      <w:r w:rsidRPr="00173F61">
        <w:rPr>
          <w:rFonts w:asciiTheme="majorBidi" w:hAnsiTheme="majorBidi" w:cstheme="majorBidi"/>
        </w:rPr>
        <w:t xml:space="preserve">overrepresented in higher education institutions throughout history, this gender bias has </w:t>
      </w:r>
      <w:r w:rsidR="008E7999" w:rsidRPr="00173F61">
        <w:rPr>
          <w:rFonts w:asciiTheme="majorBidi" w:hAnsiTheme="majorBidi" w:cstheme="majorBidi"/>
        </w:rPr>
        <w:t xml:space="preserve">more recently </w:t>
      </w:r>
      <w:r w:rsidRPr="00173F61">
        <w:rPr>
          <w:rFonts w:asciiTheme="majorBidi" w:hAnsiTheme="majorBidi" w:cstheme="majorBidi"/>
        </w:rPr>
        <w:t>decreased</w:t>
      </w:r>
      <w:r w:rsidR="00E26104" w:rsidRPr="00173F61">
        <w:rPr>
          <w:rFonts w:asciiTheme="majorBidi" w:hAnsiTheme="majorBidi" w:cstheme="majorBidi"/>
        </w:rPr>
        <w:t xml:space="preserve"> or been overturned entirely</w:t>
      </w:r>
      <w:r w:rsidRPr="00173F61">
        <w:rPr>
          <w:rFonts w:asciiTheme="majorBidi" w:hAnsiTheme="majorBidi" w:cstheme="majorBidi"/>
        </w:rPr>
        <w:t xml:space="preserve"> in many countries</w:t>
      </w:r>
      <w:r w:rsidR="00E26104" w:rsidRPr="00173F61">
        <w:rPr>
          <w:rFonts w:asciiTheme="majorBidi" w:hAnsiTheme="majorBidi" w:cstheme="majorBidi"/>
        </w:rPr>
        <w:t xml:space="preserve"> </w:t>
      </w:r>
      <w:r w:rsidRPr="00173F61">
        <w:rPr>
          <w:rFonts w:asciiTheme="majorBidi" w:hAnsiTheme="majorBidi" w:cstheme="majorBidi"/>
        </w:rPr>
        <w:t>(e.g. Statis</w:t>
      </w:r>
      <w:r w:rsidR="00852B5E">
        <w:rPr>
          <w:rFonts w:asciiTheme="majorBidi" w:hAnsiTheme="majorBidi" w:cstheme="majorBidi"/>
        </w:rPr>
        <w:t>ta</w:t>
      </w:r>
      <w:r w:rsidRPr="00173F61">
        <w:rPr>
          <w:rFonts w:asciiTheme="majorBidi" w:hAnsiTheme="majorBidi" w:cstheme="majorBidi"/>
        </w:rPr>
        <w:t xml:space="preserve"> 2018a, 2018b; University a</w:t>
      </w:r>
      <w:r w:rsidR="00852B5E">
        <w:rPr>
          <w:rFonts w:asciiTheme="majorBidi" w:hAnsiTheme="majorBidi" w:cstheme="majorBidi"/>
        </w:rPr>
        <w:t xml:space="preserve">nd Colleges Admissions Service </w:t>
      </w:r>
      <w:r w:rsidRPr="00173F61">
        <w:rPr>
          <w:rFonts w:asciiTheme="majorBidi" w:hAnsiTheme="majorBidi" w:cstheme="majorBidi"/>
        </w:rPr>
        <w:t xml:space="preserve">2018). </w:t>
      </w:r>
      <w:r w:rsidR="00E26104" w:rsidRPr="00173F61">
        <w:rPr>
          <w:rFonts w:asciiTheme="majorBidi" w:hAnsiTheme="majorBidi" w:cstheme="majorBidi"/>
        </w:rPr>
        <w:t xml:space="preserve">Today, </w:t>
      </w:r>
      <w:r w:rsidRPr="00173F61">
        <w:rPr>
          <w:rFonts w:asciiTheme="majorBidi" w:hAnsiTheme="majorBidi" w:cstheme="majorBidi"/>
        </w:rPr>
        <w:t xml:space="preserve">more women than men </w:t>
      </w:r>
      <w:r w:rsidR="00BE0EFE" w:rsidRPr="00173F61">
        <w:rPr>
          <w:rFonts w:asciiTheme="majorBidi" w:hAnsiTheme="majorBidi" w:cstheme="majorBidi"/>
        </w:rPr>
        <w:t>enrol</w:t>
      </w:r>
      <w:r w:rsidRPr="00173F61">
        <w:rPr>
          <w:rFonts w:asciiTheme="majorBidi" w:hAnsiTheme="majorBidi" w:cstheme="majorBidi"/>
        </w:rPr>
        <w:t xml:space="preserve"> in and </w:t>
      </w:r>
      <w:r w:rsidR="00E26104" w:rsidRPr="00173F61">
        <w:rPr>
          <w:rFonts w:asciiTheme="majorBidi" w:hAnsiTheme="majorBidi" w:cstheme="majorBidi"/>
        </w:rPr>
        <w:t xml:space="preserve">complete </w:t>
      </w:r>
      <w:r w:rsidRPr="00173F61">
        <w:rPr>
          <w:rFonts w:asciiTheme="majorBidi" w:hAnsiTheme="majorBidi" w:cstheme="majorBidi"/>
        </w:rPr>
        <w:t>tertiary education</w:t>
      </w:r>
      <w:r w:rsidR="00E26104" w:rsidRPr="00173F61">
        <w:rPr>
          <w:rFonts w:asciiTheme="majorBidi" w:hAnsiTheme="majorBidi" w:cstheme="majorBidi"/>
        </w:rPr>
        <w:t xml:space="preserve"> in the European Union and Croatia</w:t>
      </w:r>
      <w:r w:rsidR="00852B5E">
        <w:rPr>
          <w:rFonts w:asciiTheme="majorBidi" w:hAnsiTheme="majorBidi" w:cstheme="majorBidi"/>
        </w:rPr>
        <w:t xml:space="preserve"> (Croatian Bureau of Statistics</w:t>
      </w:r>
      <w:r w:rsidRPr="00173F61">
        <w:rPr>
          <w:rFonts w:asciiTheme="majorBidi" w:hAnsiTheme="majorBidi" w:cstheme="majorBidi"/>
        </w:rPr>
        <w:t xml:space="preserve"> 2018a, 2018b</w:t>
      </w:r>
      <w:r w:rsidR="0013093D" w:rsidRPr="00173F61">
        <w:rPr>
          <w:rFonts w:asciiTheme="majorBidi" w:hAnsiTheme="majorBidi" w:cstheme="majorBidi"/>
        </w:rPr>
        <w:t xml:space="preserve">; </w:t>
      </w:r>
      <w:proofErr w:type="spellStart"/>
      <w:r w:rsidR="00EC0AD6" w:rsidRPr="004C08CD">
        <w:rPr>
          <w:rFonts w:asciiTheme="majorBidi" w:hAnsiTheme="majorBidi" w:cstheme="majorBidi"/>
        </w:rPr>
        <w:t>Jurviste</w:t>
      </w:r>
      <w:proofErr w:type="spellEnd"/>
      <w:r w:rsidR="00EC0AD6" w:rsidRPr="004C08CD">
        <w:rPr>
          <w:rFonts w:asciiTheme="majorBidi" w:hAnsiTheme="majorBidi" w:cstheme="majorBidi"/>
        </w:rPr>
        <w:t xml:space="preserve">, </w:t>
      </w:r>
      <w:proofErr w:type="spellStart"/>
      <w:r w:rsidR="00EC0AD6" w:rsidRPr="004C08CD">
        <w:rPr>
          <w:rFonts w:asciiTheme="majorBidi" w:hAnsiTheme="majorBidi" w:cstheme="majorBidi"/>
        </w:rPr>
        <w:t>Prpić</w:t>
      </w:r>
      <w:proofErr w:type="spellEnd"/>
      <w:r w:rsidR="00EC0AD6" w:rsidRPr="004C08CD">
        <w:rPr>
          <w:rFonts w:asciiTheme="majorBidi" w:hAnsiTheme="majorBidi" w:cstheme="majorBidi"/>
        </w:rPr>
        <w:t>, and</w:t>
      </w:r>
      <w:r w:rsidR="00852B5E" w:rsidRPr="004C08CD">
        <w:rPr>
          <w:rFonts w:asciiTheme="majorBidi" w:hAnsiTheme="majorBidi" w:cstheme="majorBidi"/>
        </w:rPr>
        <w:t xml:space="preserve"> Claros</w:t>
      </w:r>
      <w:r w:rsidR="0013093D" w:rsidRPr="004C08CD">
        <w:rPr>
          <w:rFonts w:asciiTheme="majorBidi" w:hAnsiTheme="majorBidi" w:cstheme="majorBidi"/>
        </w:rPr>
        <w:t xml:space="preserve"> 2015</w:t>
      </w:r>
      <w:r w:rsidRPr="00173F61">
        <w:rPr>
          <w:rFonts w:asciiTheme="majorBidi" w:hAnsiTheme="majorBidi" w:cstheme="majorBidi"/>
        </w:rPr>
        <w:t xml:space="preserve">). </w:t>
      </w:r>
      <w:r w:rsidR="00E26104" w:rsidRPr="00173F61">
        <w:rPr>
          <w:rFonts w:asciiTheme="majorBidi" w:hAnsiTheme="majorBidi" w:cstheme="majorBidi"/>
        </w:rPr>
        <w:t>As such</w:t>
      </w:r>
      <w:r w:rsidRPr="00173F61">
        <w:rPr>
          <w:rFonts w:asciiTheme="majorBidi" w:hAnsiTheme="majorBidi" w:cstheme="majorBidi"/>
        </w:rPr>
        <w:t>, we decided to use gender as a control variable in our analysis.</w:t>
      </w:r>
    </w:p>
    <w:p w14:paraId="385A4726" w14:textId="18031793" w:rsidR="00F8163D" w:rsidRPr="00173F61" w:rsidRDefault="00AC7F81" w:rsidP="004C08CD">
      <w:pPr>
        <w:pStyle w:val="Newparagraph"/>
        <w:rPr>
          <w:rFonts w:asciiTheme="majorBidi" w:hAnsiTheme="majorBidi" w:cstheme="majorBidi"/>
        </w:rPr>
      </w:pPr>
      <w:r w:rsidRPr="00173F61">
        <w:rPr>
          <w:rFonts w:asciiTheme="majorBidi" w:hAnsiTheme="majorBidi" w:cstheme="majorBidi"/>
        </w:rPr>
        <w:t xml:space="preserve">To the best of our knowledge, this is the first study that concurrently examines the effects of status attainment, blocked opportunities and school context on the educational aspirations of </w:t>
      </w:r>
      <w:r w:rsidR="00336588" w:rsidRPr="00173F61">
        <w:rPr>
          <w:rFonts w:asciiTheme="majorBidi" w:hAnsiTheme="majorBidi" w:cstheme="majorBidi"/>
        </w:rPr>
        <w:t>elementary</w:t>
      </w:r>
      <w:r w:rsidR="002066F9" w:rsidRPr="00173F61">
        <w:rPr>
          <w:rFonts w:asciiTheme="majorBidi" w:hAnsiTheme="majorBidi" w:cstheme="majorBidi"/>
        </w:rPr>
        <w:t xml:space="preserve"> education</w:t>
      </w:r>
      <w:r w:rsidRPr="00173F61">
        <w:rPr>
          <w:rFonts w:asciiTheme="majorBidi" w:hAnsiTheme="majorBidi" w:cstheme="majorBidi"/>
        </w:rPr>
        <w:t xml:space="preserve"> pupils. In addition, thi</w:t>
      </w:r>
      <w:r w:rsidR="002066F9" w:rsidRPr="00173F61">
        <w:rPr>
          <w:rFonts w:asciiTheme="majorBidi" w:hAnsiTheme="majorBidi" w:cstheme="majorBidi"/>
        </w:rPr>
        <w:t>s is one of the first studies examining</w:t>
      </w:r>
      <w:r w:rsidRPr="00173F61">
        <w:rPr>
          <w:rFonts w:asciiTheme="majorBidi" w:hAnsiTheme="majorBidi" w:cstheme="majorBidi"/>
        </w:rPr>
        <w:t xml:space="preserve"> educational aspirations </w:t>
      </w:r>
      <w:r w:rsidR="002066F9" w:rsidRPr="00173F61">
        <w:rPr>
          <w:rFonts w:asciiTheme="majorBidi" w:hAnsiTheme="majorBidi" w:cstheme="majorBidi"/>
        </w:rPr>
        <w:t>using</w:t>
      </w:r>
      <w:r w:rsidRPr="00173F61">
        <w:rPr>
          <w:rFonts w:asciiTheme="majorBidi" w:hAnsiTheme="majorBidi" w:cstheme="majorBidi"/>
        </w:rPr>
        <w:t xml:space="preserve"> multilevel ordinal logistic regr</w:t>
      </w:r>
      <w:r w:rsidR="00852B5E">
        <w:rPr>
          <w:rFonts w:asciiTheme="majorBidi" w:hAnsiTheme="majorBidi" w:cstheme="majorBidi"/>
        </w:rPr>
        <w:t xml:space="preserve">ession analysis (e.g. </w:t>
      </w:r>
      <w:proofErr w:type="spellStart"/>
      <w:r w:rsidR="00852B5E">
        <w:rPr>
          <w:rFonts w:asciiTheme="majorBidi" w:hAnsiTheme="majorBidi" w:cstheme="majorBidi"/>
        </w:rPr>
        <w:t>Clasemann</w:t>
      </w:r>
      <w:proofErr w:type="spellEnd"/>
      <w:r w:rsidRPr="00173F61">
        <w:rPr>
          <w:rFonts w:asciiTheme="majorBidi" w:hAnsiTheme="majorBidi" w:cstheme="majorBidi"/>
        </w:rPr>
        <w:t xml:space="preserve"> 2012). This statistical methodology is suitable and often necessary for the analysis of data obtained in cluster samples when the outcome variable is ordinal (</w:t>
      </w:r>
      <w:proofErr w:type="spellStart"/>
      <w:r w:rsidR="00CF1BDB" w:rsidRPr="004C08CD">
        <w:rPr>
          <w:rFonts w:asciiTheme="majorBidi" w:hAnsiTheme="majorBidi" w:cstheme="majorBidi"/>
        </w:rPr>
        <w:t>Sommet</w:t>
      </w:r>
      <w:proofErr w:type="spellEnd"/>
      <w:r w:rsidR="00CF1BDB" w:rsidRPr="004C08CD">
        <w:rPr>
          <w:rFonts w:asciiTheme="majorBidi" w:hAnsiTheme="majorBidi" w:cstheme="majorBidi"/>
        </w:rPr>
        <w:t xml:space="preserve"> and</w:t>
      </w:r>
      <w:r w:rsidR="00852B5E" w:rsidRPr="004C08CD">
        <w:rPr>
          <w:rFonts w:asciiTheme="majorBidi" w:hAnsiTheme="majorBidi" w:cstheme="majorBidi"/>
        </w:rPr>
        <w:t xml:space="preserve"> </w:t>
      </w:r>
      <w:proofErr w:type="spellStart"/>
      <w:r w:rsidR="00852B5E" w:rsidRPr="004C08CD">
        <w:rPr>
          <w:rFonts w:asciiTheme="majorBidi" w:hAnsiTheme="majorBidi" w:cstheme="majorBidi"/>
        </w:rPr>
        <w:t>Morselli</w:t>
      </w:r>
      <w:proofErr w:type="spellEnd"/>
      <w:r w:rsidRPr="004C08CD">
        <w:rPr>
          <w:rFonts w:asciiTheme="majorBidi" w:hAnsiTheme="majorBidi" w:cstheme="majorBidi"/>
        </w:rPr>
        <w:t xml:space="preserve"> 2017</w:t>
      </w:r>
      <w:r w:rsidRPr="00173F61">
        <w:rPr>
          <w:rFonts w:asciiTheme="majorBidi" w:hAnsiTheme="majorBidi" w:cstheme="majorBidi"/>
        </w:rPr>
        <w:t>), which is often the case in educational aspirations</w:t>
      </w:r>
      <w:r w:rsidR="00E26104" w:rsidRPr="00173F61">
        <w:rPr>
          <w:rFonts w:asciiTheme="majorBidi" w:hAnsiTheme="majorBidi" w:cstheme="majorBidi"/>
        </w:rPr>
        <w:t xml:space="preserve"> research</w:t>
      </w:r>
      <w:r w:rsidRPr="00173F61">
        <w:rPr>
          <w:rFonts w:asciiTheme="majorBidi" w:hAnsiTheme="majorBidi" w:cstheme="majorBidi"/>
        </w:rPr>
        <w:t>.</w:t>
      </w:r>
    </w:p>
    <w:p w14:paraId="498A12F1" w14:textId="44528228" w:rsidR="00F8163D" w:rsidRPr="004C08CD" w:rsidRDefault="00F8163D" w:rsidP="004C08CD">
      <w:pPr>
        <w:pStyle w:val="Heading1"/>
      </w:pPr>
      <w:r w:rsidRPr="004C08CD">
        <w:lastRenderedPageBreak/>
        <w:t>Method</w:t>
      </w:r>
    </w:p>
    <w:p w14:paraId="03E2EA17" w14:textId="2C581A04" w:rsidR="00F02ED7" w:rsidRPr="00173F61" w:rsidRDefault="00F02ED7" w:rsidP="00D6471A">
      <w:pPr>
        <w:pStyle w:val="Heading2"/>
        <w:rPr>
          <w:rFonts w:asciiTheme="majorBidi" w:hAnsiTheme="majorBidi" w:cstheme="majorBidi"/>
          <w:b w:val="0"/>
          <w:bCs w:val="0"/>
          <w:i w:val="0"/>
          <w:szCs w:val="24"/>
        </w:rPr>
      </w:pPr>
      <w:r w:rsidRPr="00173F61">
        <w:rPr>
          <w:rFonts w:asciiTheme="majorBidi" w:hAnsiTheme="majorBidi" w:cstheme="majorBidi"/>
          <w:szCs w:val="24"/>
        </w:rPr>
        <w:t>Sample</w:t>
      </w:r>
    </w:p>
    <w:p w14:paraId="333B231D" w14:textId="392CA44A" w:rsidR="00F02ED7" w:rsidRDefault="00F02ED7" w:rsidP="004C08CD">
      <w:pPr>
        <w:pStyle w:val="Paragraph"/>
        <w:rPr>
          <w:rFonts w:asciiTheme="majorBidi" w:hAnsiTheme="majorBidi" w:cstheme="majorBidi"/>
        </w:rPr>
      </w:pPr>
      <w:r w:rsidRPr="00173F61">
        <w:rPr>
          <w:rFonts w:asciiTheme="majorBidi" w:hAnsiTheme="majorBidi" w:cstheme="majorBidi"/>
        </w:rPr>
        <w:t xml:space="preserve">The data </w:t>
      </w:r>
      <w:r w:rsidR="00874AA6" w:rsidRPr="00173F61">
        <w:rPr>
          <w:rFonts w:asciiTheme="majorBidi" w:hAnsiTheme="majorBidi" w:cstheme="majorBidi"/>
        </w:rPr>
        <w:t xml:space="preserve">used in the present study </w:t>
      </w:r>
      <w:r w:rsidRPr="00173F61">
        <w:rPr>
          <w:rFonts w:asciiTheme="majorBidi" w:hAnsiTheme="majorBidi" w:cstheme="majorBidi"/>
        </w:rPr>
        <w:t xml:space="preserve">were collected </w:t>
      </w:r>
      <w:r w:rsidR="00874AA6" w:rsidRPr="00173F61">
        <w:rPr>
          <w:rFonts w:asciiTheme="majorBidi" w:hAnsiTheme="majorBidi" w:cstheme="majorBidi"/>
        </w:rPr>
        <w:t>as part of the</w:t>
      </w:r>
      <w:r w:rsidRPr="00173F61">
        <w:rPr>
          <w:rFonts w:asciiTheme="majorBidi" w:hAnsiTheme="majorBidi" w:cstheme="majorBidi"/>
        </w:rPr>
        <w:t xml:space="preserve"> </w:t>
      </w:r>
      <w:r w:rsidR="00874AA6" w:rsidRPr="00173F61">
        <w:rPr>
          <w:rFonts w:asciiTheme="majorBidi" w:hAnsiTheme="majorBidi" w:cstheme="majorBidi"/>
        </w:rPr>
        <w:t xml:space="preserve">larger </w:t>
      </w:r>
      <w:r w:rsidR="00171C3F" w:rsidRPr="00173F61">
        <w:rPr>
          <w:rFonts w:asciiTheme="majorBidi" w:hAnsiTheme="majorBidi" w:cstheme="majorBidi"/>
        </w:rPr>
        <w:t>longitudinal</w:t>
      </w:r>
      <w:r w:rsidR="00ED324C" w:rsidRPr="00173F61">
        <w:rPr>
          <w:rFonts w:asciiTheme="majorBidi" w:hAnsiTheme="majorBidi" w:cstheme="majorBidi"/>
        </w:rPr>
        <w:t>,</w:t>
      </w:r>
      <w:r w:rsidR="00171C3F" w:rsidRPr="00173F61">
        <w:rPr>
          <w:rFonts w:asciiTheme="majorBidi" w:hAnsiTheme="majorBidi" w:cstheme="majorBidi"/>
        </w:rPr>
        <w:t xml:space="preserve"> mixed model </w:t>
      </w:r>
      <w:r w:rsidRPr="00173F61">
        <w:rPr>
          <w:rFonts w:asciiTheme="majorBidi" w:hAnsiTheme="majorBidi" w:cstheme="majorBidi"/>
        </w:rPr>
        <w:t xml:space="preserve">research project “Educational aspirations of pupils at transitional periods of Croatian elementary education: </w:t>
      </w:r>
      <w:r w:rsidR="00874AA6" w:rsidRPr="00173F61">
        <w:rPr>
          <w:rFonts w:asciiTheme="majorBidi" w:hAnsiTheme="majorBidi" w:cstheme="majorBidi"/>
        </w:rPr>
        <w:t>N</w:t>
      </w:r>
      <w:r w:rsidRPr="00173F61">
        <w:rPr>
          <w:rFonts w:asciiTheme="majorBidi" w:hAnsiTheme="majorBidi" w:cstheme="majorBidi"/>
        </w:rPr>
        <w:t>ature, determinants and change” during the 2016/17 and 2017/18</w:t>
      </w:r>
      <w:r w:rsidR="00171C3F" w:rsidRPr="00173F61">
        <w:rPr>
          <w:rFonts w:asciiTheme="majorBidi" w:hAnsiTheme="majorBidi" w:cstheme="majorBidi"/>
        </w:rPr>
        <w:t xml:space="preserve"> academic</w:t>
      </w:r>
      <w:r w:rsidR="00874AA6" w:rsidRPr="00173F61">
        <w:rPr>
          <w:rFonts w:asciiTheme="majorBidi" w:hAnsiTheme="majorBidi" w:cstheme="majorBidi"/>
        </w:rPr>
        <w:t xml:space="preserve"> years</w:t>
      </w:r>
      <w:r w:rsidRPr="00173F61">
        <w:rPr>
          <w:rFonts w:asciiTheme="majorBidi" w:hAnsiTheme="majorBidi" w:cstheme="majorBidi"/>
        </w:rPr>
        <w:t xml:space="preserve">. The study </w:t>
      </w:r>
      <w:proofErr w:type="gramStart"/>
      <w:r w:rsidRPr="00173F61">
        <w:rPr>
          <w:rFonts w:asciiTheme="majorBidi" w:hAnsiTheme="majorBidi" w:cstheme="majorBidi"/>
        </w:rPr>
        <w:t>was conducted</w:t>
      </w:r>
      <w:proofErr w:type="gramEnd"/>
      <w:r w:rsidRPr="00173F61">
        <w:rPr>
          <w:rFonts w:asciiTheme="majorBidi" w:hAnsiTheme="majorBidi" w:cstheme="majorBidi"/>
        </w:rPr>
        <w:t xml:space="preserve"> </w:t>
      </w:r>
      <w:r w:rsidR="00171C3F" w:rsidRPr="00173F61">
        <w:rPr>
          <w:rFonts w:asciiTheme="majorBidi" w:hAnsiTheme="majorBidi" w:cstheme="majorBidi"/>
        </w:rPr>
        <w:t xml:space="preserve">in </w:t>
      </w:r>
      <w:r w:rsidRPr="00173F61">
        <w:rPr>
          <w:rFonts w:asciiTheme="majorBidi" w:hAnsiTheme="majorBidi" w:cstheme="majorBidi"/>
        </w:rPr>
        <w:t xml:space="preserve">23 </w:t>
      </w:r>
      <w:r w:rsidR="00336588" w:rsidRPr="00173F61">
        <w:rPr>
          <w:rFonts w:asciiTheme="majorBidi" w:hAnsiTheme="majorBidi" w:cstheme="majorBidi"/>
        </w:rPr>
        <w:t>elementary</w:t>
      </w:r>
      <w:r w:rsidR="00171C3F" w:rsidRPr="00173F61">
        <w:rPr>
          <w:rFonts w:asciiTheme="majorBidi" w:hAnsiTheme="majorBidi" w:cstheme="majorBidi"/>
        </w:rPr>
        <w:t xml:space="preserve"> schools in Zagreb, Croatia</w:t>
      </w:r>
      <w:r w:rsidR="00ED324C" w:rsidRPr="00173F61">
        <w:rPr>
          <w:rFonts w:asciiTheme="majorBidi" w:hAnsiTheme="majorBidi" w:cstheme="majorBidi"/>
        </w:rPr>
        <w:t>,</w:t>
      </w:r>
      <w:r w:rsidR="00171C3F" w:rsidRPr="00173F61">
        <w:rPr>
          <w:rFonts w:asciiTheme="majorBidi" w:hAnsiTheme="majorBidi" w:cstheme="majorBidi"/>
        </w:rPr>
        <w:t xml:space="preserve"> representing </w:t>
      </w:r>
      <w:r w:rsidRPr="00173F61">
        <w:rPr>
          <w:rFonts w:asciiTheme="majorBidi" w:hAnsiTheme="majorBidi" w:cstheme="majorBidi"/>
        </w:rPr>
        <w:t xml:space="preserve">18 % of </w:t>
      </w:r>
      <w:r w:rsidR="00874AA6" w:rsidRPr="00173F61">
        <w:rPr>
          <w:rFonts w:asciiTheme="majorBidi" w:hAnsiTheme="majorBidi" w:cstheme="majorBidi"/>
        </w:rPr>
        <w:t xml:space="preserve">all </w:t>
      </w:r>
      <w:r w:rsidR="00171C3F" w:rsidRPr="00173F61">
        <w:rPr>
          <w:rFonts w:asciiTheme="majorBidi" w:hAnsiTheme="majorBidi" w:cstheme="majorBidi"/>
        </w:rPr>
        <w:t>schools in Zagreb</w:t>
      </w:r>
      <w:r w:rsidR="00ED324C" w:rsidRPr="00173F61">
        <w:rPr>
          <w:rFonts w:asciiTheme="majorBidi" w:hAnsiTheme="majorBidi" w:cstheme="majorBidi"/>
        </w:rPr>
        <w:t xml:space="preserve"> and</w:t>
      </w:r>
      <w:r w:rsidR="00171C3F" w:rsidRPr="00173F61">
        <w:rPr>
          <w:rFonts w:asciiTheme="majorBidi" w:hAnsiTheme="majorBidi" w:cstheme="majorBidi"/>
        </w:rPr>
        <w:t xml:space="preserve"> constituting a</w:t>
      </w:r>
      <w:r w:rsidRPr="00173F61">
        <w:rPr>
          <w:rFonts w:asciiTheme="majorBidi" w:hAnsiTheme="majorBidi" w:cstheme="majorBidi"/>
        </w:rPr>
        <w:t xml:space="preserve"> </w:t>
      </w:r>
      <w:r w:rsidR="00171C3F" w:rsidRPr="00173F61">
        <w:rPr>
          <w:rFonts w:asciiTheme="majorBidi" w:hAnsiTheme="majorBidi" w:cstheme="majorBidi"/>
        </w:rPr>
        <w:t xml:space="preserve">random sample stratified by school location. </w:t>
      </w:r>
      <w:r w:rsidR="00171C3F" w:rsidRPr="00173F61">
        <w:t>In each school, pupils from at least two 7</w:t>
      </w:r>
      <w:r w:rsidR="00171C3F" w:rsidRPr="00173F61">
        <w:rPr>
          <w:vertAlign w:val="superscript"/>
        </w:rPr>
        <w:t>th</w:t>
      </w:r>
      <w:r w:rsidR="00171C3F" w:rsidRPr="00173F61">
        <w:t xml:space="preserve"> grade classes </w:t>
      </w:r>
      <w:proofErr w:type="gramStart"/>
      <w:r w:rsidR="00171C3F" w:rsidRPr="00173F61">
        <w:t>were randomly selected and invited to participate</w:t>
      </w:r>
      <w:proofErr w:type="gramEnd"/>
      <w:r w:rsidR="00171C3F" w:rsidRPr="00173F61">
        <w:t xml:space="preserve">. </w:t>
      </w:r>
      <w:r w:rsidR="00171C3F" w:rsidRPr="00173F61">
        <w:rPr>
          <w:rFonts w:asciiTheme="majorBidi" w:hAnsiTheme="majorBidi" w:cstheme="majorBidi"/>
        </w:rPr>
        <w:t xml:space="preserve">Data </w:t>
      </w:r>
      <w:proofErr w:type="gramStart"/>
      <w:r w:rsidR="00171C3F" w:rsidRPr="00173F61">
        <w:rPr>
          <w:rFonts w:asciiTheme="majorBidi" w:hAnsiTheme="majorBidi" w:cstheme="majorBidi"/>
        </w:rPr>
        <w:t>were collected</w:t>
      </w:r>
      <w:proofErr w:type="gramEnd"/>
      <w:r w:rsidR="00171C3F" w:rsidRPr="00173F61">
        <w:rPr>
          <w:rFonts w:asciiTheme="majorBidi" w:hAnsiTheme="majorBidi" w:cstheme="majorBidi"/>
        </w:rPr>
        <w:t xml:space="preserve"> at three time points with a cohort of pupils that was followed longitudinally over a period of two </w:t>
      </w:r>
      <w:r w:rsidR="00ED324C" w:rsidRPr="00173F61">
        <w:rPr>
          <w:rFonts w:asciiTheme="majorBidi" w:hAnsiTheme="majorBidi" w:cstheme="majorBidi"/>
        </w:rPr>
        <w:t>academic</w:t>
      </w:r>
      <w:r w:rsidR="00171C3F" w:rsidRPr="00173F61">
        <w:rPr>
          <w:rFonts w:asciiTheme="majorBidi" w:hAnsiTheme="majorBidi" w:cstheme="majorBidi"/>
        </w:rPr>
        <w:t xml:space="preserve"> years (time 1: end of the 7</w:t>
      </w:r>
      <w:r w:rsidR="00171C3F" w:rsidRPr="00173F61">
        <w:rPr>
          <w:rFonts w:asciiTheme="majorBidi" w:hAnsiTheme="majorBidi" w:cstheme="majorBidi"/>
          <w:vertAlign w:val="superscript"/>
        </w:rPr>
        <w:t>th</w:t>
      </w:r>
      <w:r w:rsidR="00171C3F" w:rsidRPr="00173F61">
        <w:rPr>
          <w:rFonts w:asciiTheme="majorBidi" w:hAnsiTheme="majorBidi" w:cstheme="majorBidi"/>
        </w:rPr>
        <w:t xml:space="preserve"> grade, time 2: midpoint of the 8</w:t>
      </w:r>
      <w:r w:rsidR="00171C3F" w:rsidRPr="00173F61">
        <w:rPr>
          <w:rFonts w:asciiTheme="majorBidi" w:hAnsiTheme="majorBidi" w:cstheme="majorBidi"/>
          <w:vertAlign w:val="superscript"/>
        </w:rPr>
        <w:t>th</w:t>
      </w:r>
      <w:r w:rsidR="00171C3F" w:rsidRPr="00173F61">
        <w:rPr>
          <w:rFonts w:asciiTheme="majorBidi" w:hAnsiTheme="majorBidi" w:cstheme="majorBidi"/>
        </w:rPr>
        <w:t xml:space="preserve"> grade</w:t>
      </w:r>
      <w:r w:rsidR="00ED324C" w:rsidRPr="00173F61">
        <w:rPr>
          <w:rFonts w:asciiTheme="majorBidi" w:hAnsiTheme="majorBidi" w:cstheme="majorBidi"/>
        </w:rPr>
        <w:t>,</w:t>
      </w:r>
      <w:r w:rsidR="00171C3F" w:rsidRPr="00173F61">
        <w:rPr>
          <w:rFonts w:asciiTheme="majorBidi" w:hAnsiTheme="majorBidi" w:cstheme="majorBidi"/>
        </w:rPr>
        <w:t xml:space="preserve"> and time 3: end of the 8</w:t>
      </w:r>
      <w:r w:rsidR="00171C3F" w:rsidRPr="00173F61">
        <w:rPr>
          <w:rFonts w:asciiTheme="majorBidi" w:hAnsiTheme="majorBidi" w:cstheme="majorBidi"/>
          <w:vertAlign w:val="superscript"/>
        </w:rPr>
        <w:t>th</w:t>
      </w:r>
      <w:r w:rsidR="00171C3F" w:rsidRPr="00173F61">
        <w:rPr>
          <w:rFonts w:asciiTheme="majorBidi" w:hAnsiTheme="majorBidi" w:cstheme="majorBidi"/>
        </w:rPr>
        <w:t xml:space="preserve"> grade). </w:t>
      </w:r>
      <w:r w:rsidR="00ED324C" w:rsidRPr="00173F61">
        <w:rPr>
          <w:rFonts w:asciiTheme="majorBidi" w:hAnsiTheme="majorBidi" w:cstheme="majorBidi"/>
        </w:rPr>
        <w:t xml:space="preserve">In total, </w:t>
      </w:r>
      <w:r w:rsidR="00171C3F" w:rsidRPr="00173F61">
        <w:t xml:space="preserve">1050 pupils participated </w:t>
      </w:r>
      <w:r w:rsidR="00ED324C" w:rsidRPr="00173F61">
        <w:t>at</w:t>
      </w:r>
      <w:r w:rsidR="00171C3F" w:rsidRPr="00173F61">
        <w:t xml:space="preserve"> the first data collection point at the end of the 7</w:t>
      </w:r>
      <w:r w:rsidR="00171C3F" w:rsidRPr="00173F61">
        <w:rPr>
          <w:vertAlign w:val="superscript"/>
        </w:rPr>
        <w:t>th</w:t>
      </w:r>
      <w:r w:rsidR="00171C3F" w:rsidRPr="00173F61">
        <w:t xml:space="preserve"> grade, 1031</w:t>
      </w:r>
      <w:r w:rsidR="00ED324C" w:rsidRPr="00173F61">
        <w:t xml:space="preserve"> participated at</w:t>
      </w:r>
      <w:r w:rsidR="00171C3F" w:rsidRPr="00173F61">
        <w:t xml:space="preserve"> the second</w:t>
      </w:r>
      <w:r w:rsidR="00ED324C" w:rsidRPr="00173F61">
        <w:t xml:space="preserve"> point</w:t>
      </w:r>
      <w:r w:rsidR="00171C3F" w:rsidRPr="00173F61">
        <w:t xml:space="preserve"> and 1023 </w:t>
      </w:r>
      <w:r w:rsidR="00ED324C" w:rsidRPr="00173F61">
        <w:t>at</w:t>
      </w:r>
      <w:r w:rsidR="00171C3F" w:rsidRPr="00173F61">
        <w:t xml:space="preserve"> the third data collection point. </w:t>
      </w:r>
      <w:proofErr w:type="spellStart"/>
      <w:r w:rsidR="00ED324C" w:rsidRPr="00173F61">
        <w:t>All together</w:t>
      </w:r>
      <w:proofErr w:type="spellEnd"/>
      <w:r w:rsidR="00ED324C" w:rsidRPr="00173F61">
        <w:t>,</w:t>
      </w:r>
      <w:r w:rsidR="00171C3F" w:rsidRPr="00173F61">
        <w:t xml:space="preserve"> 823 pupils participated in all three data collection points</w:t>
      </w:r>
      <w:r w:rsidR="00ED324C" w:rsidRPr="00173F61">
        <w:t>. The responses of this latter group</w:t>
      </w:r>
      <w:r w:rsidR="00171C3F" w:rsidRPr="00173F61">
        <w:t xml:space="preserve"> are included in subsequent statistical analyses</w:t>
      </w:r>
      <w:r w:rsidR="00ED324C" w:rsidRPr="00173F61">
        <w:t xml:space="preserve"> presented in this paper</w:t>
      </w:r>
      <w:r w:rsidR="00171C3F" w:rsidRPr="00173F61">
        <w:t xml:space="preserve">. </w:t>
      </w:r>
      <w:r w:rsidR="00DC3561">
        <w:t>T</w:t>
      </w:r>
      <w:r w:rsidR="00ED324C" w:rsidRPr="00173F61">
        <w:t xml:space="preserve">he proportion </w:t>
      </w:r>
      <w:r w:rsidR="00171C3F" w:rsidRPr="00173F61">
        <w:t xml:space="preserve">of </w:t>
      </w:r>
      <w:r w:rsidR="00DC3561">
        <w:t>pupils</w:t>
      </w:r>
      <w:r w:rsidR="00DC3561" w:rsidRPr="00173F61">
        <w:t xml:space="preserve"> </w:t>
      </w:r>
      <w:r w:rsidR="00171C3F" w:rsidRPr="00173F61">
        <w:t xml:space="preserve">participating in all </w:t>
      </w:r>
      <w:r w:rsidR="00ED324C" w:rsidRPr="00173F61">
        <w:t>points</w:t>
      </w:r>
      <w:r w:rsidR="00171C3F" w:rsidRPr="00173F61">
        <w:t xml:space="preserve"> </w:t>
      </w:r>
      <w:r w:rsidR="00ED324C" w:rsidRPr="00173F61">
        <w:t xml:space="preserve">from the total number of pupils that participated in </w:t>
      </w:r>
      <w:r w:rsidR="00171C3F" w:rsidRPr="00173F61">
        <w:t xml:space="preserve">the </w:t>
      </w:r>
      <w:proofErr w:type="gramStart"/>
      <w:r w:rsidR="00171C3F" w:rsidRPr="00173F61">
        <w:t>1</w:t>
      </w:r>
      <w:r w:rsidR="00171C3F" w:rsidRPr="00173F61">
        <w:rPr>
          <w:vertAlign w:val="superscript"/>
        </w:rPr>
        <w:t>st</w:t>
      </w:r>
      <w:proofErr w:type="gramEnd"/>
      <w:r w:rsidR="00171C3F" w:rsidRPr="00173F61">
        <w:t xml:space="preserve"> </w:t>
      </w:r>
      <w:r w:rsidR="00ED324C" w:rsidRPr="00173F61">
        <w:t>collection point</w:t>
      </w:r>
      <w:r w:rsidR="00173F61">
        <w:t xml:space="preserve"> was 78.</w:t>
      </w:r>
      <w:r w:rsidR="00171C3F" w:rsidRPr="00173F61">
        <w:t xml:space="preserve">4%. The </w:t>
      </w:r>
      <w:proofErr w:type="gramStart"/>
      <w:r w:rsidR="00ED324C" w:rsidRPr="00173F61">
        <w:t xml:space="preserve">time </w:t>
      </w:r>
      <w:r w:rsidR="00171C3F" w:rsidRPr="00173F61">
        <w:t>period</w:t>
      </w:r>
      <w:r w:rsidR="00ED324C" w:rsidRPr="00173F61">
        <w:t>s</w:t>
      </w:r>
      <w:proofErr w:type="gramEnd"/>
      <w:r w:rsidR="00171C3F" w:rsidRPr="00173F61">
        <w:t xml:space="preserve"> between data collection points </w:t>
      </w:r>
      <w:r w:rsidR="00ED324C" w:rsidRPr="00173F61">
        <w:t>were</w:t>
      </w:r>
      <w:r w:rsidR="00171C3F" w:rsidRPr="00173F61">
        <w:t xml:space="preserve"> equal </w:t>
      </w:r>
      <w:r w:rsidR="00ED324C" w:rsidRPr="00173F61">
        <w:t xml:space="preserve">in length </w:t>
      </w:r>
      <w:r w:rsidR="00171C3F" w:rsidRPr="00173F61">
        <w:t xml:space="preserve">and </w:t>
      </w:r>
      <w:r w:rsidR="00ED324C" w:rsidRPr="00173F61">
        <w:t>were both</w:t>
      </w:r>
      <w:r w:rsidR="00171C3F" w:rsidRPr="00173F61">
        <w:t xml:space="preserve"> approximately 6 months.</w:t>
      </w:r>
      <w:r w:rsidR="00171C3F" w:rsidRPr="00173F61">
        <w:rPr>
          <w:rFonts w:asciiTheme="majorBidi" w:hAnsiTheme="majorBidi" w:cstheme="majorBidi"/>
        </w:rPr>
        <w:t xml:space="preserve"> </w:t>
      </w:r>
      <w:r w:rsidR="005C6531" w:rsidRPr="00173F61">
        <w:rPr>
          <w:rFonts w:asciiTheme="majorBidi" w:hAnsiTheme="majorBidi" w:cstheme="majorBidi"/>
        </w:rPr>
        <w:t xml:space="preserve">At </w:t>
      </w:r>
      <w:r w:rsidRPr="00173F61">
        <w:rPr>
          <w:rFonts w:asciiTheme="majorBidi" w:hAnsiTheme="majorBidi" w:cstheme="majorBidi"/>
        </w:rPr>
        <w:t xml:space="preserve">the first time point, the majority of pupils </w:t>
      </w:r>
      <w:r w:rsidR="005C6531" w:rsidRPr="00173F61">
        <w:rPr>
          <w:rFonts w:asciiTheme="majorBidi" w:hAnsiTheme="majorBidi" w:cstheme="majorBidi"/>
        </w:rPr>
        <w:t xml:space="preserve">were </w:t>
      </w:r>
      <w:r w:rsidRPr="00173F61">
        <w:rPr>
          <w:rFonts w:asciiTheme="majorBidi" w:hAnsiTheme="majorBidi" w:cstheme="majorBidi"/>
        </w:rPr>
        <w:t xml:space="preserve">13 or 14 years old, </w:t>
      </w:r>
      <w:r w:rsidR="005C6531" w:rsidRPr="00173F61">
        <w:rPr>
          <w:rFonts w:asciiTheme="majorBidi" w:hAnsiTheme="majorBidi" w:cstheme="majorBidi"/>
        </w:rPr>
        <w:t xml:space="preserve">while at </w:t>
      </w:r>
      <w:r w:rsidRPr="00173F61">
        <w:rPr>
          <w:rFonts w:asciiTheme="majorBidi" w:hAnsiTheme="majorBidi" w:cstheme="majorBidi"/>
        </w:rPr>
        <w:t>the last time point</w:t>
      </w:r>
      <w:r w:rsidR="005C6531" w:rsidRPr="00173F61">
        <w:rPr>
          <w:rFonts w:asciiTheme="majorBidi" w:hAnsiTheme="majorBidi" w:cstheme="majorBidi"/>
        </w:rPr>
        <w:t>, pupils</w:t>
      </w:r>
      <w:r w:rsidRPr="00173F61">
        <w:rPr>
          <w:rFonts w:asciiTheme="majorBidi" w:hAnsiTheme="majorBidi" w:cstheme="majorBidi"/>
        </w:rPr>
        <w:t xml:space="preserve"> were 14 or 15 years old. The data for all individual level variables </w:t>
      </w:r>
      <w:proofErr w:type="gramStart"/>
      <w:r w:rsidRPr="00173F61">
        <w:rPr>
          <w:rFonts w:asciiTheme="majorBidi" w:hAnsiTheme="majorBidi" w:cstheme="majorBidi"/>
        </w:rPr>
        <w:t>were obtained</w:t>
      </w:r>
      <w:proofErr w:type="gramEnd"/>
      <w:r w:rsidRPr="00173F61">
        <w:rPr>
          <w:rFonts w:asciiTheme="majorBidi" w:hAnsiTheme="majorBidi" w:cstheme="majorBidi"/>
        </w:rPr>
        <w:t xml:space="preserve"> from pupils’ </w:t>
      </w:r>
      <w:r w:rsidR="005C6531" w:rsidRPr="00173F61">
        <w:rPr>
          <w:rFonts w:asciiTheme="majorBidi" w:hAnsiTheme="majorBidi" w:cstheme="majorBidi"/>
        </w:rPr>
        <w:t>responses on</w:t>
      </w:r>
      <w:r w:rsidRPr="00173F61">
        <w:rPr>
          <w:rFonts w:asciiTheme="majorBidi" w:hAnsiTheme="majorBidi" w:cstheme="majorBidi"/>
        </w:rPr>
        <w:t xml:space="preserve"> questionnaires </w:t>
      </w:r>
      <w:r w:rsidR="005C6531" w:rsidRPr="00173F61">
        <w:rPr>
          <w:rFonts w:asciiTheme="majorBidi" w:hAnsiTheme="majorBidi" w:cstheme="majorBidi"/>
        </w:rPr>
        <w:t>that were completed at school at each time point. Parents of all pupils participating in the study</w:t>
      </w:r>
      <w:r w:rsidRPr="00173F61">
        <w:rPr>
          <w:rFonts w:asciiTheme="majorBidi" w:hAnsiTheme="majorBidi" w:cstheme="majorBidi"/>
        </w:rPr>
        <w:t xml:space="preserve"> </w:t>
      </w:r>
      <w:r w:rsidR="00585D21" w:rsidRPr="00173F61">
        <w:rPr>
          <w:rFonts w:asciiTheme="majorBidi" w:hAnsiTheme="majorBidi" w:cstheme="majorBidi"/>
        </w:rPr>
        <w:t>provided</w:t>
      </w:r>
      <w:r w:rsidR="005C6531" w:rsidRPr="00173F61">
        <w:rPr>
          <w:rFonts w:asciiTheme="majorBidi" w:hAnsiTheme="majorBidi" w:cstheme="majorBidi"/>
        </w:rPr>
        <w:t xml:space="preserve"> their</w:t>
      </w:r>
      <w:r w:rsidRPr="00173F61">
        <w:rPr>
          <w:rFonts w:asciiTheme="majorBidi" w:hAnsiTheme="majorBidi" w:cstheme="majorBidi"/>
        </w:rPr>
        <w:t xml:space="preserve"> informed consent </w:t>
      </w:r>
      <w:r w:rsidR="005C6531" w:rsidRPr="00173F61">
        <w:rPr>
          <w:rFonts w:asciiTheme="majorBidi" w:hAnsiTheme="majorBidi" w:cstheme="majorBidi"/>
        </w:rPr>
        <w:t>prior to administration of the questionnaires</w:t>
      </w:r>
      <w:r w:rsidRPr="00173F61">
        <w:rPr>
          <w:rFonts w:asciiTheme="majorBidi" w:hAnsiTheme="majorBidi" w:cstheme="majorBidi"/>
        </w:rPr>
        <w:t>.</w:t>
      </w:r>
    </w:p>
    <w:p w14:paraId="112CBE55" w14:textId="77777777" w:rsidR="00523F66" w:rsidRPr="00173F61" w:rsidRDefault="00523F66" w:rsidP="003F755E">
      <w:pPr>
        <w:spacing w:after="0" w:line="480" w:lineRule="auto"/>
        <w:jc w:val="both"/>
        <w:rPr>
          <w:rFonts w:asciiTheme="majorBidi" w:hAnsiTheme="majorBidi" w:cstheme="majorBidi"/>
          <w:sz w:val="24"/>
          <w:szCs w:val="24"/>
          <w:lang w:val="en-GB"/>
        </w:rPr>
      </w:pPr>
    </w:p>
    <w:p w14:paraId="794604FF" w14:textId="4AEACAFE" w:rsidR="00F02ED7" w:rsidRPr="00173F61" w:rsidRDefault="00F02ED7" w:rsidP="00D6471A">
      <w:pPr>
        <w:pStyle w:val="Heading2"/>
        <w:rPr>
          <w:rFonts w:asciiTheme="majorBidi" w:hAnsiTheme="majorBidi" w:cstheme="majorBidi"/>
          <w:b w:val="0"/>
          <w:bCs w:val="0"/>
          <w:i w:val="0"/>
          <w:szCs w:val="24"/>
        </w:rPr>
      </w:pPr>
      <w:r w:rsidRPr="00173F61">
        <w:rPr>
          <w:rFonts w:asciiTheme="majorBidi" w:hAnsiTheme="majorBidi" w:cstheme="majorBidi"/>
          <w:szCs w:val="24"/>
        </w:rPr>
        <w:lastRenderedPageBreak/>
        <w:t>Measures</w:t>
      </w:r>
    </w:p>
    <w:p w14:paraId="1F865A2D" w14:textId="120F89B5" w:rsidR="005C6531" w:rsidRPr="00173F61" w:rsidRDefault="00171C3F" w:rsidP="004C08CD">
      <w:pPr>
        <w:pStyle w:val="Paragraph"/>
        <w:rPr>
          <w:rFonts w:asciiTheme="majorBidi" w:hAnsiTheme="majorBidi" w:cstheme="majorBidi"/>
        </w:rPr>
      </w:pPr>
      <w:r w:rsidRPr="00173F61">
        <w:rPr>
          <w:rFonts w:asciiTheme="majorBidi" w:hAnsiTheme="majorBidi" w:cstheme="majorBidi"/>
        </w:rPr>
        <w:t xml:space="preserve">In the following paragraphs, the manner in which the various variables of interest </w:t>
      </w:r>
      <w:proofErr w:type="gramStart"/>
      <w:r w:rsidRPr="00173F61">
        <w:rPr>
          <w:rFonts w:asciiTheme="majorBidi" w:hAnsiTheme="majorBidi" w:cstheme="majorBidi"/>
        </w:rPr>
        <w:t>were measured</w:t>
      </w:r>
      <w:proofErr w:type="gramEnd"/>
      <w:r w:rsidRPr="00173F61">
        <w:rPr>
          <w:rFonts w:asciiTheme="majorBidi" w:hAnsiTheme="majorBidi" w:cstheme="majorBidi"/>
        </w:rPr>
        <w:t xml:space="preserve"> via data collected in the pupil questionnaires is described.</w:t>
      </w:r>
    </w:p>
    <w:p w14:paraId="0E3AAE24" w14:textId="777A1210" w:rsidR="00F02ED7" w:rsidRPr="00113B5A" w:rsidRDefault="005C6531" w:rsidP="00113B5A">
      <w:pPr>
        <w:pStyle w:val="Heading3"/>
      </w:pPr>
      <w:r w:rsidRPr="00113B5A">
        <w:t>P</w:t>
      </w:r>
      <w:r w:rsidR="00F02ED7" w:rsidRPr="00113B5A">
        <w:t xml:space="preserve">upils’ </w:t>
      </w:r>
      <w:r w:rsidR="0027502E" w:rsidRPr="00113B5A">
        <w:t>A</w:t>
      </w:r>
      <w:r w:rsidR="00F02ED7" w:rsidRPr="00113B5A">
        <w:t xml:space="preserve">spiration for </w:t>
      </w:r>
      <w:r w:rsidR="0027502E" w:rsidRPr="00113B5A">
        <w:t>H</w:t>
      </w:r>
      <w:r w:rsidR="00F02ED7" w:rsidRPr="00113B5A">
        <w:t xml:space="preserve">igher </w:t>
      </w:r>
      <w:r w:rsidR="0027502E" w:rsidRPr="00113B5A">
        <w:t>E</w:t>
      </w:r>
      <w:r w:rsidR="00F02ED7" w:rsidRPr="00113B5A">
        <w:t>ducation</w:t>
      </w:r>
    </w:p>
    <w:p w14:paraId="7C374629" w14:textId="7B9A32F6" w:rsidR="00F02ED7" w:rsidRPr="00173F61" w:rsidRDefault="005C6531" w:rsidP="004C08CD">
      <w:pPr>
        <w:pStyle w:val="Paragraph"/>
        <w:rPr>
          <w:rFonts w:asciiTheme="majorBidi" w:hAnsiTheme="majorBidi" w:cstheme="majorBidi"/>
        </w:rPr>
      </w:pPr>
      <w:r w:rsidRPr="00173F61">
        <w:rPr>
          <w:rFonts w:asciiTheme="majorBidi" w:hAnsiTheme="majorBidi" w:cstheme="majorBidi"/>
        </w:rPr>
        <w:t>Pupil responses</w:t>
      </w:r>
      <w:r w:rsidR="00F02ED7" w:rsidRPr="00173F61">
        <w:rPr>
          <w:rFonts w:asciiTheme="majorBidi" w:hAnsiTheme="majorBidi" w:cstheme="majorBidi"/>
        </w:rPr>
        <w:t xml:space="preserve"> </w:t>
      </w:r>
      <w:r w:rsidRPr="00173F61">
        <w:rPr>
          <w:rFonts w:asciiTheme="majorBidi" w:hAnsiTheme="majorBidi" w:cstheme="majorBidi"/>
        </w:rPr>
        <w:t xml:space="preserve">on </w:t>
      </w:r>
      <w:r w:rsidR="00F02ED7" w:rsidRPr="00173F61">
        <w:rPr>
          <w:rFonts w:asciiTheme="majorBidi" w:hAnsiTheme="majorBidi" w:cstheme="majorBidi"/>
        </w:rPr>
        <w:t xml:space="preserve">the Likert scale item </w:t>
      </w:r>
      <w:r w:rsidR="00F02ED7" w:rsidRPr="00173F61">
        <w:rPr>
          <w:rFonts w:asciiTheme="majorBidi" w:hAnsiTheme="majorBidi" w:cstheme="majorBidi"/>
          <w:i/>
        </w:rPr>
        <w:t>In the future I want to pursue higher education</w:t>
      </w:r>
      <w:r w:rsidR="00F02ED7" w:rsidRPr="00173F61">
        <w:rPr>
          <w:rFonts w:asciiTheme="majorBidi" w:hAnsiTheme="majorBidi" w:cstheme="majorBidi"/>
        </w:rPr>
        <w:t xml:space="preserve"> (1 – </w:t>
      </w:r>
      <w:r w:rsidR="00F02ED7" w:rsidRPr="00173F61">
        <w:rPr>
          <w:rFonts w:asciiTheme="majorBidi" w:hAnsiTheme="majorBidi" w:cstheme="majorBidi"/>
          <w:i/>
          <w:iCs/>
        </w:rPr>
        <w:t>I completely disagree</w:t>
      </w:r>
      <w:r w:rsidR="00F02ED7" w:rsidRPr="00173F61">
        <w:rPr>
          <w:rFonts w:asciiTheme="majorBidi" w:hAnsiTheme="majorBidi" w:cstheme="majorBidi"/>
        </w:rPr>
        <w:t xml:space="preserve">; 2 – </w:t>
      </w:r>
      <w:r w:rsidR="00F02ED7" w:rsidRPr="00173F61">
        <w:rPr>
          <w:rFonts w:asciiTheme="majorBidi" w:hAnsiTheme="majorBidi" w:cstheme="majorBidi"/>
          <w:i/>
          <w:iCs/>
        </w:rPr>
        <w:t>I generally disagree</w:t>
      </w:r>
      <w:r w:rsidR="00F02ED7" w:rsidRPr="00173F61">
        <w:rPr>
          <w:rFonts w:asciiTheme="majorBidi" w:hAnsiTheme="majorBidi" w:cstheme="majorBidi"/>
        </w:rPr>
        <w:t xml:space="preserve">; 3 - </w:t>
      </w:r>
      <w:r w:rsidRPr="00173F61">
        <w:rPr>
          <w:rFonts w:asciiTheme="majorBidi" w:hAnsiTheme="majorBidi" w:cstheme="majorBidi"/>
          <w:i/>
          <w:iCs/>
        </w:rPr>
        <w:t>I neither</w:t>
      </w:r>
      <w:r w:rsidR="00F02ED7" w:rsidRPr="00173F61">
        <w:rPr>
          <w:rFonts w:asciiTheme="majorBidi" w:hAnsiTheme="majorBidi" w:cstheme="majorBidi"/>
          <w:i/>
          <w:iCs/>
        </w:rPr>
        <w:t xml:space="preserve"> agree nor disagree</w:t>
      </w:r>
      <w:r w:rsidR="00F02ED7" w:rsidRPr="00173F61">
        <w:rPr>
          <w:rFonts w:asciiTheme="majorBidi" w:hAnsiTheme="majorBidi" w:cstheme="majorBidi"/>
        </w:rPr>
        <w:t xml:space="preserve">; 4 – </w:t>
      </w:r>
      <w:r w:rsidR="00F02ED7" w:rsidRPr="00173F61">
        <w:rPr>
          <w:rFonts w:asciiTheme="majorBidi" w:hAnsiTheme="majorBidi" w:cstheme="majorBidi"/>
          <w:i/>
          <w:iCs/>
        </w:rPr>
        <w:t>I generally agree</w:t>
      </w:r>
      <w:r w:rsidR="00F02ED7" w:rsidRPr="00173F61">
        <w:rPr>
          <w:rFonts w:asciiTheme="majorBidi" w:hAnsiTheme="majorBidi" w:cstheme="majorBidi"/>
        </w:rPr>
        <w:t xml:space="preserve">; 5 – </w:t>
      </w:r>
      <w:r w:rsidR="00F02ED7" w:rsidRPr="00173F61">
        <w:rPr>
          <w:rFonts w:asciiTheme="majorBidi" w:hAnsiTheme="majorBidi" w:cstheme="majorBidi"/>
          <w:i/>
          <w:iCs/>
        </w:rPr>
        <w:t>I completely agree</w:t>
      </w:r>
      <w:r w:rsidR="00F02ED7" w:rsidRPr="00173F61">
        <w:rPr>
          <w:rFonts w:asciiTheme="majorBidi" w:hAnsiTheme="majorBidi" w:cstheme="majorBidi"/>
        </w:rPr>
        <w:t xml:space="preserve">) were used as the outcome variable. </w:t>
      </w:r>
      <w:r w:rsidRPr="00173F61">
        <w:rPr>
          <w:rFonts w:asciiTheme="majorBidi" w:hAnsiTheme="majorBidi" w:cstheme="majorBidi"/>
        </w:rPr>
        <w:t xml:space="preserve">Because </w:t>
      </w:r>
      <w:r w:rsidR="00F02ED7" w:rsidRPr="00173F61">
        <w:rPr>
          <w:rFonts w:asciiTheme="majorBidi" w:hAnsiTheme="majorBidi" w:cstheme="majorBidi"/>
        </w:rPr>
        <w:t xml:space="preserve">very few pupils completely or generally disagreed with this statement (11.5 %; Table 1.), these two </w:t>
      </w:r>
      <w:r w:rsidRPr="00173F61">
        <w:rPr>
          <w:rFonts w:asciiTheme="majorBidi" w:hAnsiTheme="majorBidi" w:cstheme="majorBidi"/>
        </w:rPr>
        <w:t xml:space="preserve">responses </w:t>
      </w:r>
      <w:r w:rsidR="00F02ED7" w:rsidRPr="00173F61">
        <w:rPr>
          <w:rFonts w:asciiTheme="majorBidi" w:hAnsiTheme="majorBidi" w:cstheme="majorBidi"/>
        </w:rPr>
        <w:t>were aggregated so</w:t>
      </w:r>
      <w:r w:rsidRPr="00173F61">
        <w:rPr>
          <w:rFonts w:asciiTheme="majorBidi" w:hAnsiTheme="majorBidi" w:cstheme="majorBidi"/>
        </w:rPr>
        <w:t xml:space="preserve"> that</w:t>
      </w:r>
      <w:r w:rsidR="00F02ED7" w:rsidRPr="00173F61">
        <w:rPr>
          <w:rFonts w:asciiTheme="majorBidi" w:hAnsiTheme="majorBidi" w:cstheme="majorBidi"/>
        </w:rPr>
        <w:t xml:space="preserve"> the outcome consisted of four ordinal categories. </w:t>
      </w:r>
      <w:r w:rsidRPr="00173F61">
        <w:rPr>
          <w:rFonts w:asciiTheme="majorBidi" w:hAnsiTheme="majorBidi" w:cstheme="majorBidi"/>
        </w:rPr>
        <w:t>D</w:t>
      </w:r>
      <w:r w:rsidR="00F02ED7" w:rsidRPr="00173F61">
        <w:rPr>
          <w:rFonts w:asciiTheme="majorBidi" w:hAnsiTheme="majorBidi" w:cstheme="majorBidi"/>
        </w:rPr>
        <w:t xml:space="preserve">ata for this variable were collected </w:t>
      </w:r>
      <w:r w:rsidRPr="00173F61">
        <w:rPr>
          <w:rFonts w:asciiTheme="majorBidi" w:hAnsiTheme="majorBidi" w:cstheme="majorBidi"/>
        </w:rPr>
        <w:t xml:space="preserve">at </w:t>
      </w:r>
      <w:r w:rsidR="00F02ED7" w:rsidRPr="00173F61">
        <w:rPr>
          <w:rFonts w:asciiTheme="majorBidi" w:hAnsiTheme="majorBidi" w:cstheme="majorBidi"/>
        </w:rPr>
        <w:t>the last time point</w:t>
      </w:r>
      <w:r w:rsidRPr="00173F61">
        <w:rPr>
          <w:rFonts w:asciiTheme="majorBidi" w:hAnsiTheme="majorBidi" w:cstheme="majorBidi"/>
        </w:rPr>
        <w:t xml:space="preserve"> and, in this way, </w:t>
      </w:r>
      <w:r w:rsidR="00F02ED7" w:rsidRPr="00173F61">
        <w:rPr>
          <w:rFonts w:asciiTheme="majorBidi" w:hAnsiTheme="majorBidi" w:cstheme="majorBidi"/>
        </w:rPr>
        <w:t>represent pupils’ aspirations for higher education at the end of the 8</w:t>
      </w:r>
      <w:r w:rsidR="00F02ED7" w:rsidRPr="00173F61">
        <w:rPr>
          <w:rFonts w:asciiTheme="majorBidi" w:hAnsiTheme="majorBidi" w:cstheme="majorBidi"/>
          <w:vertAlign w:val="superscript"/>
        </w:rPr>
        <w:t>th</w:t>
      </w:r>
      <w:r w:rsidR="00F02ED7" w:rsidRPr="00173F61">
        <w:rPr>
          <w:rFonts w:asciiTheme="majorBidi" w:hAnsiTheme="majorBidi" w:cstheme="majorBidi"/>
        </w:rPr>
        <w:t xml:space="preserve"> grade</w:t>
      </w:r>
      <w:r w:rsidRPr="00173F61">
        <w:rPr>
          <w:rFonts w:asciiTheme="majorBidi" w:hAnsiTheme="majorBidi" w:cstheme="majorBidi"/>
        </w:rPr>
        <w:t xml:space="preserve"> or, in other words, </w:t>
      </w:r>
      <w:r w:rsidR="00F02ED7" w:rsidRPr="00173F61">
        <w:rPr>
          <w:rFonts w:asciiTheme="majorBidi" w:hAnsiTheme="majorBidi" w:cstheme="majorBidi"/>
        </w:rPr>
        <w:t xml:space="preserve">at the end of </w:t>
      </w:r>
      <w:r w:rsidR="00336588" w:rsidRPr="00173F61">
        <w:rPr>
          <w:rFonts w:asciiTheme="majorBidi" w:hAnsiTheme="majorBidi" w:cstheme="majorBidi"/>
        </w:rPr>
        <w:t>elementary</w:t>
      </w:r>
      <w:r w:rsidR="00F02ED7" w:rsidRPr="00173F61">
        <w:rPr>
          <w:rFonts w:asciiTheme="majorBidi" w:hAnsiTheme="majorBidi" w:cstheme="majorBidi"/>
        </w:rPr>
        <w:t xml:space="preserve"> school.</w:t>
      </w:r>
    </w:p>
    <w:p w14:paraId="5563BCC3" w14:textId="5AE2BEE0" w:rsidR="00F02ED7" w:rsidRPr="00113B5A" w:rsidRDefault="00F02ED7" w:rsidP="00113B5A">
      <w:pPr>
        <w:pStyle w:val="Heading3"/>
      </w:pPr>
      <w:r w:rsidRPr="00113B5A">
        <w:t xml:space="preserve">Parental </w:t>
      </w:r>
      <w:r w:rsidR="009766BA" w:rsidRPr="00113B5A">
        <w:t>E</w:t>
      </w:r>
      <w:r w:rsidRPr="00113B5A">
        <w:t xml:space="preserve">mployment and </w:t>
      </w:r>
      <w:r w:rsidR="009766BA" w:rsidRPr="00113B5A">
        <w:t>E</w:t>
      </w:r>
      <w:r w:rsidRPr="00113B5A">
        <w:t xml:space="preserve">ducational </w:t>
      </w:r>
      <w:r w:rsidR="009766BA" w:rsidRPr="00113B5A">
        <w:t>S</w:t>
      </w:r>
      <w:r w:rsidRPr="00113B5A">
        <w:t>tatus</w:t>
      </w:r>
    </w:p>
    <w:p w14:paraId="6E4D5D7A" w14:textId="6EE3BC8D" w:rsidR="00F02ED7" w:rsidRPr="00173F61" w:rsidRDefault="00157AD1" w:rsidP="004C08CD">
      <w:pPr>
        <w:pStyle w:val="Paragraph"/>
        <w:rPr>
          <w:rFonts w:asciiTheme="majorBidi" w:hAnsiTheme="majorBidi" w:cstheme="majorBidi"/>
        </w:rPr>
      </w:pPr>
      <w:r w:rsidRPr="00173F61">
        <w:rPr>
          <w:rFonts w:asciiTheme="majorBidi" w:hAnsiTheme="majorBidi" w:cstheme="majorBidi"/>
        </w:rPr>
        <w:t>In the questionnaire administered at the second time point, t</w:t>
      </w:r>
      <w:r w:rsidR="00F02ED7" w:rsidRPr="00173F61">
        <w:rPr>
          <w:rFonts w:asciiTheme="majorBidi" w:hAnsiTheme="majorBidi" w:cstheme="majorBidi"/>
        </w:rPr>
        <w:t xml:space="preserve">wo items </w:t>
      </w:r>
      <w:proofErr w:type="gramStart"/>
      <w:r w:rsidRPr="00173F61">
        <w:rPr>
          <w:rFonts w:asciiTheme="majorBidi" w:hAnsiTheme="majorBidi" w:cstheme="majorBidi"/>
        </w:rPr>
        <w:t>were used</w:t>
      </w:r>
      <w:proofErr w:type="gramEnd"/>
      <w:r w:rsidRPr="00173F61">
        <w:rPr>
          <w:rFonts w:asciiTheme="majorBidi" w:hAnsiTheme="majorBidi" w:cstheme="majorBidi"/>
        </w:rPr>
        <w:t xml:space="preserve"> to collect information about </w:t>
      </w:r>
      <w:r w:rsidR="00585D21" w:rsidRPr="00173F61">
        <w:rPr>
          <w:rFonts w:asciiTheme="majorBidi" w:hAnsiTheme="majorBidi" w:cstheme="majorBidi"/>
        </w:rPr>
        <w:t>maternal and paternal</w:t>
      </w:r>
      <w:r w:rsidR="00F02ED7" w:rsidRPr="00173F61">
        <w:rPr>
          <w:rFonts w:asciiTheme="majorBidi" w:hAnsiTheme="majorBidi" w:cstheme="majorBidi"/>
        </w:rPr>
        <w:t xml:space="preserve"> employment status. </w:t>
      </w:r>
      <w:r w:rsidRPr="00173F61">
        <w:rPr>
          <w:rFonts w:asciiTheme="majorBidi" w:hAnsiTheme="majorBidi" w:cstheme="majorBidi"/>
        </w:rPr>
        <w:t xml:space="preserve">In these items, the response options were: </w:t>
      </w:r>
      <w:r w:rsidR="00F02ED7" w:rsidRPr="00173F61">
        <w:rPr>
          <w:rFonts w:asciiTheme="majorBidi" w:hAnsiTheme="majorBidi" w:cstheme="majorBidi"/>
          <w:i/>
          <w:iCs/>
        </w:rPr>
        <w:t>She / He is employed</w:t>
      </w:r>
      <w:r w:rsidR="00F02ED7" w:rsidRPr="00173F61">
        <w:rPr>
          <w:rFonts w:asciiTheme="majorBidi" w:hAnsiTheme="majorBidi" w:cstheme="majorBidi"/>
        </w:rPr>
        <w:t xml:space="preserve">, </w:t>
      </w:r>
      <w:r w:rsidR="00F02ED7" w:rsidRPr="00173F61">
        <w:rPr>
          <w:rFonts w:asciiTheme="majorBidi" w:hAnsiTheme="majorBidi" w:cstheme="majorBidi"/>
          <w:i/>
          <w:iCs/>
        </w:rPr>
        <w:t>She / He is unemployed</w:t>
      </w:r>
      <w:r w:rsidR="00F02ED7" w:rsidRPr="00173F61">
        <w:rPr>
          <w:rFonts w:asciiTheme="majorBidi" w:hAnsiTheme="majorBidi" w:cstheme="majorBidi"/>
        </w:rPr>
        <w:t xml:space="preserve">, </w:t>
      </w:r>
      <w:r w:rsidR="00F02ED7" w:rsidRPr="00173F61">
        <w:rPr>
          <w:rFonts w:asciiTheme="majorBidi" w:hAnsiTheme="majorBidi" w:cstheme="majorBidi"/>
          <w:i/>
          <w:iCs/>
        </w:rPr>
        <w:t>She / He is retired</w:t>
      </w:r>
      <w:r w:rsidR="00F02ED7" w:rsidRPr="00173F61">
        <w:rPr>
          <w:rFonts w:asciiTheme="majorBidi" w:hAnsiTheme="majorBidi" w:cstheme="majorBidi"/>
        </w:rPr>
        <w:t xml:space="preserve"> and </w:t>
      </w:r>
      <w:r w:rsidR="00F02ED7" w:rsidRPr="00173F61">
        <w:rPr>
          <w:rFonts w:asciiTheme="majorBidi" w:hAnsiTheme="majorBidi" w:cstheme="majorBidi"/>
          <w:i/>
          <w:iCs/>
        </w:rPr>
        <w:t xml:space="preserve">I </w:t>
      </w:r>
      <w:r w:rsidR="00356187" w:rsidRPr="00173F61">
        <w:rPr>
          <w:rFonts w:asciiTheme="majorBidi" w:hAnsiTheme="majorBidi" w:cstheme="majorBidi"/>
          <w:i/>
          <w:iCs/>
        </w:rPr>
        <w:t>don’t</w:t>
      </w:r>
      <w:r w:rsidR="00F02ED7" w:rsidRPr="00173F61">
        <w:rPr>
          <w:rFonts w:asciiTheme="majorBidi" w:hAnsiTheme="majorBidi" w:cstheme="majorBidi"/>
          <w:i/>
          <w:iCs/>
        </w:rPr>
        <w:t xml:space="preserve"> know / It </w:t>
      </w:r>
      <w:r w:rsidR="00356187" w:rsidRPr="00173F61">
        <w:rPr>
          <w:rFonts w:asciiTheme="majorBidi" w:hAnsiTheme="majorBidi" w:cstheme="majorBidi"/>
          <w:i/>
          <w:iCs/>
        </w:rPr>
        <w:t>doesn’t</w:t>
      </w:r>
      <w:r w:rsidR="00F02ED7" w:rsidRPr="00173F61">
        <w:rPr>
          <w:rFonts w:asciiTheme="majorBidi" w:hAnsiTheme="majorBidi" w:cstheme="majorBidi"/>
          <w:i/>
          <w:iCs/>
        </w:rPr>
        <w:t xml:space="preserve"> apply to me</w:t>
      </w:r>
      <w:r w:rsidR="00F02ED7" w:rsidRPr="00173F61">
        <w:rPr>
          <w:rFonts w:asciiTheme="majorBidi" w:hAnsiTheme="majorBidi" w:cstheme="majorBidi"/>
        </w:rPr>
        <w:t xml:space="preserve">. </w:t>
      </w:r>
      <w:r w:rsidRPr="00173F61">
        <w:rPr>
          <w:rFonts w:asciiTheme="majorBidi" w:hAnsiTheme="majorBidi" w:cstheme="majorBidi"/>
        </w:rPr>
        <w:t xml:space="preserve">At the same time point, </w:t>
      </w:r>
      <w:r w:rsidR="00585D21" w:rsidRPr="00173F61">
        <w:rPr>
          <w:rFonts w:asciiTheme="majorBidi" w:hAnsiTheme="majorBidi" w:cstheme="majorBidi"/>
        </w:rPr>
        <w:t>an additional</w:t>
      </w:r>
      <w:r w:rsidR="00F02ED7" w:rsidRPr="00173F61">
        <w:rPr>
          <w:rFonts w:asciiTheme="majorBidi" w:hAnsiTheme="majorBidi" w:cstheme="majorBidi"/>
        </w:rPr>
        <w:t xml:space="preserve"> two items </w:t>
      </w:r>
      <w:proofErr w:type="gramStart"/>
      <w:r w:rsidRPr="00173F61">
        <w:rPr>
          <w:rFonts w:asciiTheme="majorBidi" w:hAnsiTheme="majorBidi" w:cstheme="majorBidi"/>
        </w:rPr>
        <w:t>were used</w:t>
      </w:r>
      <w:proofErr w:type="gramEnd"/>
      <w:r w:rsidRPr="00173F61">
        <w:rPr>
          <w:rFonts w:asciiTheme="majorBidi" w:hAnsiTheme="majorBidi" w:cstheme="majorBidi"/>
        </w:rPr>
        <w:t xml:space="preserve"> to gain information about</w:t>
      </w:r>
      <w:r w:rsidR="00F02ED7" w:rsidRPr="00173F61">
        <w:rPr>
          <w:rFonts w:asciiTheme="majorBidi" w:hAnsiTheme="majorBidi" w:cstheme="majorBidi"/>
        </w:rPr>
        <w:t xml:space="preserve"> </w:t>
      </w:r>
      <w:r w:rsidR="00585D21" w:rsidRPr="00173F61">
        <w:rPr>
          <w:rFonts w:asciiTheme="majorBidi" w:hAnsiTheme="majorBidi" w:cstheme="majorBidi"/>
        </w:rPr>
        <w:t>maternal and paternal</w:t>
      </w:r>
      <w:r w:rsidR="00F02ED7" w:rsidRPr="00173F61">
        <w:rPr>
          <w:rFonts w:asciiTheme="majorBidi" w:hAnsiTheme="majorBidi" w:cstheme="majorBidi"/>
        </w:rPr>
        <w:t xml:space="preserve"> educational </w:t>
      </w:r>
      <w:r w:rsidR="00585D21" w:rsidRPr="00173F61">
        <w:rPr>
          <w:rFonts w:asciiTheme="majorBidi" w:hAnsiTheme="majorBidi" w:cstheme="majorBidi"/>
        </w:rPr>
        <w:t>achievement</w:t>
      </w:r>
      <w:r w:rsidR="00F02ED7" w:rsidRPr="00173F61">
        <w:rPr>
          <w:rFonts w:asciiTheme="majorBidi" w:hAnsiTheme="majorBidi" w:cstheme="majorBidi"/>
        </w:rPr>
        <w:t xml:space="preserve">. Possible </w:t>
      </w:r>
      <w:r w:rsidRPr="00173F61">
        <w:rPr>
          <w:rFonts w:asciiTheme="majorBidi" w:hAnsiTheme="majorBidi" w:cstheme="majorBidi"/>
        </w:rPr>
        <w:t xml:space="preserve">responses on these items </w:t>
      </w:r>
      <w:r w:rsidR="00F02ED7" w:rsidRPr="00173F61">
        <w:rPr>
          <w:rFonts w:asciiTheme="majorBidi" w:hAnsiTheme="majorBidi" w:cstheme="majorBidi"/>
        </w:rPr>
        <w:t xml:space="preserve">were: </w:t>
      </w:r>
      <w:r w:rsidR="00F02ED7" w:rsidRPr="00173F61">
        <w:rPr>
          <w:rFonts w:asciiTheme="majorBidi" w:hAnsiTheme="majorBidi" w:cstheme="majorBidi"/>
          <w:i/>
          <w:iCs/>
        </w:rPr>
        <w:t xml:space="preserve">She / He has finished </w:t>
      </w:r>
      <w:r w:rsidR="00336588" w:rsidRPr="00173F61">
        <w:rPr>
          <w:rFonts w:asciiTheme="majorBidi" w:hAnsiTheme="majorBidi" w:cstheme="majorBidi"/>
          <w:i/>
          <w:iCs/>
        </w:rPr>
        <w:t>elementary</w:t>
      </w:r>
      <w:r w:rsidR="00F02ED7" w:rsidRPr="00173F61">
        <w:rPr>
          <w:rFonts w:asciiTheme="majorBidi" w:hAnsiTheme="majorBidi" w:cstheme="majorBidi"/>
          <w:i/>
          <w:iCs/>
        </w:rPr>
        <w:t xml:space="preserve"> </w:t>
      </w:r>
      <w:r w:rsidR="0030312E" w:rsidRPr="00173F61">
        <w:rPr>
          <w:rFonts w:asciiTheme="majorBidi" w:hAnsiTheme="majorBidi" w:cstheme="majorBidi"/>
          <w:i/>
          <w:iCs/>
        </w:rPr>
        <w:t>education</w:t>
      </w:r>
      <w:r w:rsidR="00F02ED7" w:rsidRPr="00173F61">
        <w:rPr>
          <w:rFonts w:asciiTheme="majorBidi" w:hAnsiTheme="majorBidi" w:cstheme="majorBidi"/>
        </w:rPr>
        <w:t xml:space="preserve">, </w:t>
      </w:r>
      <w:proofErr w:type="gramStart"/>
      <w:r w:rsidR="00F02ED7" w:rsidRPr="00173F61">
        <w:rPr>
          <w:rFonts w:asciiTheme="majorBidi" w:hAnsiTheme="majorBidi" w:cstheme="majorBidi"/>
          <w:i/>
          <w:iCs/>
        </w:rPr>
        <w:t>She</w:t>
      </w:r>
      <w:proofErr w:type="gramEnd"/>
      <w:r w:rsidR="00F02ED7" w:rsidRPr="00173F61">
        <w:rPr>
          <w:rFonts w:asciiTheme="majorBidi" w:hAnsiTheme="majorBidi" w:cstheme="majorBidi"/>
          <w:i/>
          <w:iCs/>
        </w:rPr>
        <w:t xml:space="preserve"> / He has finished </w:t>
      </w:r>
      <w:r w:rsidR="0009796B" w:rsidRPr="00173F61">
        <w:rPr>
          <w:rFonts w:asciiTheme="majorBidi" w:hAnsiTheme="majorBidi" w:cstheme="majorBidi"/>
          <w:i/>
          <w:iCs/>
        </w:rPr>
        <w:t xml:space="preserve">upper </w:t>
      </w:r>
      <w:r w:rsidR="00F02ED7" w:rsidRPr="00173F61">
        <w:rPr>
          <w:rFonts w:asciiTheme="majorBidi" w:hAnsiTheme="majorBidi" w:cstheme="majorBidi"/>
          <w:i/>
          <w:iCs/>
        </w:rPr>
        <w:t xml:space="preserve">secondary </w:t>
      </w:r>
      <w:r w:rsidR="0030312E" w:rsidRPr="00173F61">
        <w:rPr>
          <w:rFonts w:asciiTheme="majorBidi" w:hAnsiTheme="majorBidi" w:cstheme="majorBidi"/>
          <w:i/>
          <w:iCs/>
        </w:rPr>
        <w:t>education</w:t>
      </w:r>
      <w:r w:rsidR="00F02ED7" w:rsidRPr="00173F61">
        <w:rPr>
          <w:rFonts w:asciiTheme="majorBidi" w:hAnsiTheme="majorBidi" w:cstheme="majorBidi"/>
        </w:rPr>
        <w:t xml:space="preserve"> and </w:t>
      </w:r>
      <w:r w:rsidR="00F02ED7" w:rsidRPr="00173F61">
        <w:rPr>
          <w:rFonts w:asciiTheme="majorBidi" w:hAnsiTheme="majorBidi" w:cstheme="majorBidi"/>
          <w:i/>
          <w:iCs/>
        </w:rPr>
        <w:t>She / He has finished higher education</w:t>
      </w:r>
      <w:r w:rsidR="00F02ED7" w:rsidRPr="00173F61">
        <w:rPr>
          <w:rFonts w:asciiTheme="majorBidi" w:hAnsiTheme="majorBidi" w:cstheme="majorBidi"/>
        </w:rPr>
        <w:t xml:space="preserve">. These four items </w:t>
      </w:r>
      <w:proofErr w:type="gramStart"/>
      <w:r w:rsidR="00F02ED7" w:rsidRPr="00173F61">
        <w:rPr>
          <w:rFonts w:asciiTheme="majorBidi" w:hAnsiTheme="majorBidi" w:cstheme="majorBidi"/>
        </w:rPr>
        <w:t xml:space="preserve">were recoded </w:t>
      </w:r>
      <w:r w:rsidRPr="00173F61">
        <w:rPr>
          <w:rFonts w:asciiTheme="majorBidi" w:hAnsiTheme="majorBidi" w:cstheme="majorBidi"/>
        </w:rPr>
        <w:t xml:space="preserve">as </w:t>
      </w:r>
      <w:r w:rsidR="00F02ED7" w:rsidRPr="00173F61">
        <w:rPr>
          <w:rFonts w:asciiTheme="majorBidi" w:hAnsiTheme="majorBidi" w:cstheme="majorBidi"/>
        </w:rPr>
        <w:t>dummy variables and used as separate predictors in the analysis</w:t>
      </w:r>
      <w:proofErr w:type="gramEnd"/>
      <w:r w:rsidR="00F02ED7" w:rsidRPr="00173F61">
        <w:rPr>
          <w:rFonts w:asciiTheme="majorBidi" w:hAnsiTheme="majorBidi" w:cstheme="majorBidi"/>
        </w:rPr>
        <w:t>.</w:t>
      </w:r>
    </w:p>
    <w:p w14:paraId="34E5BB64" w14:textId="3AC11E93" w:rsidR="00F02ED7" w:rsidRPr="00173F61" w:rsidRDefault="00157AD1" w:rsidP="00113B5A">
      <w:pPr>
        <w:pStyle w:val="Heading3"/>
        <w:rPr>
          <w:rFonts w:asciiTheme="majorBidi" w:hAnsiTheme="majorBidi" w:cstheme="majorBidi"/>
          <w:i w:val="0"/>
          <w:szCs w:val="24"/>
        </w:rPr>
      </w:pPr>
      <w:r w:rsidRPr="00173F61">
        <w:rPr>
          <w:rFonts w:asciiTheme="majorBidi" w:hAnsiTheme="majorBidi" w:cstheme="majorBidi"/>
          <w:szCs w:val="24"/>
        </w:rPr>
        <w:t>P</w:t>
      </w:r>
      <w:r w:rsidR="00F02ED7" w:rsidRPr="00173F61">
        <w:rPr>
          <w:rFonts w:asciiTheme="majorBidi" w:hAnsiTheme="majorBidi" w:cstheme="majorBidi"/>
          <w:szCs w:val="24"/>
        </w:rPr>
        <w:t xml:space="preserve">upils’ </w:t>
      </w:r>
      <w:r w:rsidR="009766BA" w:rsidRPr="00173F61">
        <w:rPr>
          <w:rFonts w:asciiTheme="majorBidi" w:hAnsiTheme="majorBidi" w:cstheme="majorBidi"/>
          <w:szCs w:val="24"/>
        </w:rPr>
        <w:t>P</w:t>
      </w:r>
      <w:r w:rsidR="00F02ED7" w:rsidRPr="00173F61">
        <w:rPr>
          <w:rFonts w:asciiTheme="majorBidi" w:hAnsiTheme="majorBidi" w:cstheme="majorBidi"/>
          <w:szCs w:val="24"/>
        </w:rPr>
        <w:t>ossessions</w:t>
      </w:r>
    </w:p>
    <w:p w14:paraId="6C52C17E" w14:textId="0A931DF8" w:rsidR="00F02ED7" w:rsidRPr="00173F61" w:rsidRDefault="00356187" w:rsidP="004C08CD">
      <w:pPr>
        <w:pStyle w:val="Paragraph"/>
        <w:rPr>
          <w:rFonts w:asciiTheme="majorBidi" w:hAnsiTheme="majorBidi" w:cstheme="majorBidi"/>
        </w:rPr>
      </w:pPr>
      <w:r w:rsidRPr="00173F61">
        <w:rPr>
          <w:rFonts w:asciiTheme="majorBidi" w:hAnsiTheme="majorBidi" w:cstheme="majorBidi"/>
        </w:rPr>
        <w:t xml:space="preserve">At </w:t>
      </w:r>
      <w:r w:rsidR="00F02ED7" w:rsidRPr="00173F61">
        <w:rPr>
          <w:rFonts w:asciiTheme="majorBidi" w:hAnsiTheme="majorBidi" w:cstheme="majorBidi"/>
        </w:rPr>
        <w:t xml:space="preserve">the third time point, pupils </w:t>
      </w:r>
      <w:proofErr w:type="gramStart"/>
      <w:r w:rsidR="00F02ED7" w:rsidRPr="00173F61">
        <w:rPr>
          <w:rFonts w:asciiTheme="majorBidi" w:hAnsiTheme="majorBidi" w:cstheme="majorBidi"/>
        </w:rPr>
        <w:t>were asked</w:t>
      </w:r>
      <w:proofErr w:type="gramEnd"/>
      <w:r w:rsidR="00F02ED7" w:rsidRPr="00173F61">
        <w:rPr>
          <w:rFonts w:asciiTheme="majorBidi" w:hAnsiTheme="majorBidi" w:cstheme="majorBidi"/>
        </w:rPr>
        <w:t xml:space="preserve"> to specify </w:t>
      </w:r>
      <w:r w:rsidRPr="00173F61">
        <w:rPr>
          <w:rFonts w:asciiTheme="majorBidi" w:hAnsiTheme="majorBidi" w:cstheme="majorBidi"/>
        </w:rPr>
        <w:t xml:space="preserve">whether </w:t>
      </w:r>
      <w:r w:rsidR="00F02ED7" w:rsidRPr="00173F61">
        <w:rPr>
          <w:rFonts w:asciiTheme="majorBidi" w:hAnsiTheme="majorBidi" w:cstheme="majorBidi"/>
        </w:rPr>
        <w:t xml:space="preserve">they had their own room, work </w:t>
      </w:r>
      <w:r w:rsidR="00F02ED7" w:rsidRPr="00173F61">
        <w:rPr>
          <w:rFonts w:asciiTheme="majorBidi" w:hAnsiTheme="majorBidi" w:cstheme="majorBidi"/>
        </w:rPr>
        <w:lastRenderedPageBreak/>
        <w:t xml:space="preserve">desk and computer (three dichotomous items with </w:t>
      </w:r>
      <w:r w:rsidR="00F02ED7" w:rsidRPr="00173F61">
        <w:rPr>
          <w:rFonts w:asciiTheme="majorBidi" w:hAnsiTheme="majorBidi" w:cstheme="majorBidi"/>
          <w:i/>
          <w:iCs/>
        </w:rPr>
        <w:t>no</w:t>
      </w:r>
      <w:r w:rsidR="00F02ED7" w:rsidRPr="00173F61">
        <w:rPr>
          <w:rFonts w:asciiTheme="majorBidi" w:hAnsiTheme="majorBidi" w:cstheme="majorBidi"/>
        </w:rPr>
        <w:t xml:space="preserve"> and </w:t>
      </w:r>
      <w:r w:rsidR="00F02ED7" w:rsidRPr="00173F61">
        <w:rPr>
          <w:rFonts w:asciiTheme="majorBidi" w:hAnsiTheme="majorBidi" w:cstheme="majorBidi"/>
          <w:i/>
          <w:iCs/>
        </w:rPr>
        <w:t>yes</w:t>
      </w:r>
      <w:r w:rsidR="00F02ED7" w:rsidRPr="00173F61">
        <w:rPr>
          <w:rFonts w:asciiTheme="majorBidi" w:hAnsiTheme="majorBidi" w:cstheme="majorBidi"/>
        </w:rPr>
        <w:t xml:space="preserve"> answers). These three items </w:t>
      </w:r>
      <w:proofErr w:type="gramStart"/>
      <w:r w:rsidR="00F02ED7" w:rsidRPr="00173F61">
        <w:rPr>
          <w:rFonts w:asciiTheme="majorBidi" w:hAnsiTheme="majorBidi" w:cstheme="majorBidi"/>
        </w:rPr>
        <w:t>were used</w:t>
      </w:r>
      <w:proofErr w:type="gramEnd"/>
      <w:r w:rsidR="00F02ED7" w:rsidRPr="00173F61">
        <w:rPr>
          <w:rFonts w:asciiTheme="majorBidi" w:hAnsiTheme="majorBidi" w:cstheme="majorBidi"/>
        </w:rPr>
        <w:t xml:space="preserve"> as separate predictors.</w:t>
      </w:r>
    </w:p>
    <w:p w14:paraId="54FCD611" w14:textId="33D88DEC" w:rsidR="00F02ED7" w:rsidRPr="00173F61" w:rsidRDefault="00F02ED7" w:rsidP="00113B5A">
      <w:pPr>
        <w:pStyle w:val="Heading3"/>
        <w:rPr>
          <w:rFonts w:asciiTheme="majorBidi" w:hAnsiTheme="majorBidi" w:cstheme="majorBidi"/>
          <w:i w:val="0"/>
          <w:szCs w:val="24"/>
        </w:rPr>
      </w:pPr>
      <w:r w:rsidRPr="00173F61">
        <w:rPr>
          <w:rFonts w:asciiTheme="majorBidi" w:hAnsiTheme="majorBidi" w:cstheme="majorBidi"/>
          <w:szCs w:val="24"/>
        </w:rPr>
        <w:t xml:space="preserve">Parental </w:t>
      </w:r>
      <w:r w:rsidR="003C7763" w:rsidRPr="00173F61">
        <w:rPr>
          <w:rFonts w:asciiTheme="majorBidi" w:hAnsiTheme="majorBidi" w:cstheme="majorBidi"/>
          <w:szCs w:val="24"/>
        </w:rPr>
        <w:t>E</w:t>
      </w:r>
      <w:r w:rsidRPr="00173F61">
        <w:rPr>
          <w:rFonts w:asciiTheme="majorBidi" w:hAnsiTheme="majorBidi" w:cstheme="majorBidi"/>
          <w:szCs w:val="24"/>
        </w:rPr>
        <w:t xml:space="preserve">ducational </w:t>
      </w:r>
      <w:r w:rsidR="003C7763" w:rsidRPr="00173F61">
        <w:rPr>
          <w:rFonts w:asciiTheme="majorBidi" w:hAnsiTheme="majorBidi" w:cstheme="majorBidi"/>
          <w:szCs w:val="24"/>
        </w:rPr>
        <w:t>A</w:t>
      </w:r>
      <w:r w:rsidRPr="00173F61">
        <w:rPr>
          <w:rFonts w:asciiTheme="majorBidi" w:hAnsiTheme="majorBidi" w:cstheme="majorBidi"/>
          <w:szCs w:val="24"/>
        </w:rPr>
        <w:t xml:space="preserve">spirations for </w:t>
      </w:r>
      <w:r w:rsidR="003C7763" w:rsidRPr="00173F61">
        <w:rPr>
          <w:rFonts w:asciiTheme="majorBidi" w:hAnsiTheme="majorBidi" w:cstheme="majorBidi"/>
          <w:szCs w:val="24"/>
        </w:rPr>
        <w:t>T</w:t>
      </w:r>
      <w:r w:rsidRPr="00173F61">
        <w:rPr>
          <w:rFonts w:asciiTheme="majorBidi" w:hAnsiTheme="majorBidi" w:cstheme="majorBidi"/>
          <w:szCs w:val="24"/>
        </w:rPr>
        <w:t xml:space="preserve">heir </w:t>
      </w:r>
      <w:r w:rsidR="003C7763" w:rsidRPr="00173F61">
        <w:rPr>
          <w:rFonts w:asciiTheme="majorBidi" w:hAnsiTheme="majorBidi" w:cstheme="majorBidi"/>
          <w:szCs w:val="24"/>
        </w:rPr>
        <w:t>C</w:t>
      </w:r>
      <w:r w:rsidRPr="00173F61">
        <w:rPr>
          <w:rFonts w:asciiTheme="majorBidi" w:hAnsiTheme="majorBidi" w:cstheme="majorBidi"/>
          <w:szCs w:val="24"/>
        </w:rPr>
        <w:t>hild</w:t>
      </w:r>
    </w:p>
    <w:p w14:paraId="02AD3361" w14:textId="4DB38A3D" w:rsidR="00F02ED7" w:rsidRPr="00173F61" w:rsidRDefault="00356187" w:rsidP="004C08CD">
      <w:pPr>
        <w:pStyle w:val="Paragraph"/>
        <w:rPr>
          <w:rFonts w:asciiTheme="majorBidi" w:hAnsiTheme="majorBidi" w:cstheme="majorBidi"/>
        </w:rPr>
      </w:pPr>
      <w:r w:rsidRPr="00173F61">
        <w:rPr>
          <w:rFonts w:asciiTheme="majorBidi" w:hAnsiTheme="majorBidi" w:cstheme="majorBidi"/>
        </w:rPr>
        <w:t xml:space="preserve">At </w:t>
      </w:r>
      <w:r w:rsidR="00F02ED7" w:rsidRPr="00173F61">
        <w:rPr>
          <w:rFonts w:asciiTheme="majorBidi" w:hAnsiTheme="majorBidi" w:cstheme="majorBidi"/>
        </w:rPr>
        <w:t xml:space="preserve">the first time point, pupils were asked to specify </w:t>
      </w:r>
      <w:r w:rsidRPr="00173F61">
        <w:rPr>
          <w:rFonts w:asciiTheme="majorBidi" w:hAnsiTheme="majorBidi" w:cstheme="majorBidi"/>
        </w:rPr>
        <w:t xml:space="preserve">whether </w:t>
      </w:r>
      <w:r w:rsidR="00F02ED7" w:rsidRPr="00173F61">
        <w:rPr>
          <w:rFonts w:asciiTheme="majorBidi" w:hAnsiTheme="majorBidi" w:cstheme="majorBidi"/>
        </w:rPr>
        <w:t xml:space="preserve">their parents expect them to enrol in higher education and </w:t>
      </w:r>
      <w:r w:rsidRPr="00173F61">
        <w:rPr>
          <w:rFonts w:asciiTheme="majorBidi" w:hAnsiTheme="majorBidi" w:cstheme="majorBidi"/>
        </w:rPr>
        <w:t xml:space="preserve">whether </w:t>
      </w:r>
      <w:r w:rsidR="00F02ED7" w:rsidRPr="00173F61">
        <w:rPr>
          <w:rFonts w:asciiTheme="majorBidi" w:hAnsiTheme="majorBidi" w:cstheme="majorBidi"/>
        </w:rPr>
        <w:t xml:space="preserve">their parents would be satisfied if they completed </w:t>
      </w:r>
      <w:r w:rsidR="00160364" w:rsidRPr="00173F61">
        <w:rPr>
          <w:rFonts w:asciiTheme="majorBidi" w:hAnsiTheme="majorBidi" w:cstheme="majorBidi"/>
        </w:rPr>
        <w:t>VET</w:t>
      </w:r>
      <w:r w:rsidR="00F02ED7" w:rsidRPr="00173F61">
        <w:rPr>
          <w:rFonts w:asciiTheme="majorBidi" w:hAnsiTheme="majorBidi" w:cstheme="majorBidi"/>
        </w:rPr>
        <w:t xml:space="preserve"> education (</w:t>
      </w:r>
      <w:r w:rsidRPr="00173F61">
        <w:rPr>
          <w:rFonts w:asciiTheme="majorBidi" w:hAnsiTheme="majorBidi" w:cstheme="majorBidi"/>
        </w:rPr>
        <w:t xml:space="preserve">representing </w:t>
      </w:r>
      <w:r w:rsidR="00F02ED7" w:rsidRPr="00173F61">
        <w:rPr>
          <w:rFonts w:asciiTheme="majorBidi" w:hAnsiTheme="majorBidi" w:cstheme="majorBidi"/>
        </w:rPr>
        <w:t xml:space="preserve">two Likert scale items: from 1 – </w:t>
      </w:r>
      <w:r w:rsidR="00F02ED7" w:rsidRPr="00173F61">
        <w:rPr>
          <w:rFonts w:asciiTheme="majorBidi" w:hAnsiTheme="majorBidi" w:cstheme="majorBidi"/>
          <w:i/>
          <w:iCs/>
        </w:rPr>
        <w:t>I completely disagree</w:t>
      </w:r>
      <w:r w:rsidR="00F02ED7" w:rsidRPr="00173F61">
        <w:rPr>
          <w:rFonts w:asciiTheme="majorBidi" w:hAnsiTheme="majorBidi" w:cstheme="majorBidi"/>
        </w:rPr>
        <w:t xml:space="preserve"> to 5 – </w:t>
      </w:r>
      <w:r w:rsidR="00F02ED7" w:rsidRPr="00173F61">
        <w:rPr>
          <w:rFonts w:asciiTheme="majorBidi" w:hAnsiTheme="majorBidi" w:cstheme="majorBidi"/>
          <w:i/>
          <w:iCs/>
        </w:rPr>
        <w:t>I completely agree</w:t>
      </w:r>
      <w:r w:rsidR="00F02ED7" w:rsidRPr="00173F61">
        <w:rPr>
          <w:rFonts w:asciiTheme="majorBidi" w:hAnsiTheme="majorBidi" w:cstheme="majorBidi"/>
        </w:rPr>
        <w:t xml:space="preserve">). These two items </w:t>
      </w:r>
      <w:proofErr w:type="gramStart"/>
      <w:r w:rsidR="00F02ED7" w:rsidRPr="00173F61">
        <w:rPr>
          <w:rFonts w:asciiTheme="majorBidi" w:hAnsiTheme="majorBidi" w:cstheme="majorBidi"/>
        </w:rPr>
        <w:t>were used</w:t>
      </w:r>
      <w:proofErr w:type="gramEnd"/>
      <w:r w:rsidR="00F02ED7" w:rsidRPr="00173F61">
        <w:rPr>
          <w:rFonts w:asciiTheme="majorBidi" w:hAnsiTheme="majorBidi" w:cstheme="majorBidi"/>
        </w:rPr>
        <w:t xml:space="preserve"> as separate predictors.</w:t>
      </w:r>
    </w:p>
    <w:p w14:paraId="2F4576EA" w14:textId="49AC2457" w:rsidR="00A47B67" w:rsidRPr="00173F61" w:rsidRDefault="00F02ED7" w:rsidP="00113B5A">
      <w:pPr>
        <w:pStyle w:val="Heading3"/>
        <w:rPr>
          <w:rFonts w:asciiTheme="majorBidi" w:hAnsiTheme="majorBidi" w:cstheme="majorBidi"/>
          <w:szCs w:val="24"/>
        </w:rPr>
      </w:pPr>
      <w:r w:rsidRPr="00173F61">
        <w:rPr>
          <w:rFonts w:asciiTheme="majorBidi" w:hAnsiTheme="majorBidi" w:cstheme="majorBidi"/>
          <w:szCs w:val="24"/>
        </w:rPr>
        <w:t xml:space="preserve">Parental </w:t>
      </w:r>
      <w:r w:rsidR="008C2D91" w:rsidRPr="00173F61">
        <w:rPr>
          <w:rFonts w:asciiTheme="majorBidi" w:hAnsiTheme="majorBidi" w:cstheme="majorBidi"/>
          <w:szCs w:val="24"/>
        </w:rPr>
        <w:t>A</w:t>
      </w:r>
      <w:r w:rsidRPr="00173F61">
        <w:rPr>
          <w:rFonts w:asciiTheme="majorBidi" w:hAnsiTheme="majorBidi" w:cstheme="majorBidi"/>
          <w:szCs w:val="24"/>
        </w:rPr>
        <w:t xml:space="preserve">cademic </w:t>
      </w:r>
      <w:r w:rsidR="008C2D91" w:rsidRPr="00173F61">
        <w:rPr>
          <w:rFonts w:asciiTheme="majorBidi" w:hAnsiTheme="majorBidi" w:cstheme="majorBidi"/>
          <w:szCs w:val="24"/>
        </w:rPr>
        <w:t>S</w:t>
      </w:r>
      <w:r w:rsidRPr="00173F61">
        <w:rPr>
          <w:rFonts w:asciiTheme="majorBidi" w:hAnsiTheme="majorBidi" w:cstheme="majorBidi"/>
          <w:szCs w:val="24"/>
        </w:rPr>
        <w:t>upport</w:t>
      </w:r>
      <w:r w:rsidR="00656E5A" w:rsidRPr="00173F61">
        <w:rPr>
          <w:rFonts w:asciiTheme="majorBidi" w:hAnsiTheme="majorBidi" w:cstheme="majorBidi"/>
          <w:szCs w:val="24"/>
        </w:rPr>
        <w:t xml:space="preserve"> </w:t>
      </w:r>
      <w:r w:rsidR="00932541" w:rsidRPr="00173F61">
        <w:rPr>
          <w:rFonts w:asciiTheme="majorBidi" w:hAnsiTheme="majorBidi" w:cstheme="majorBidi"/>
          <w:szCs w:val="24"/>
        </w:rPr>
        <w:t>(</w:t>
      </w:r>
      <w:proofErr w:type="spellStart"/>
      <w:r w:rsidR="00932541" w:rsidRPr="00173F61">
        <w:rPr>
          <w:rFonts w:asciiTheme="majorBidi" w:hAnsiTheme="majorBidi" w:cstheme="majorBidi"/>
          <w:szCs w:val="24"/>
        </w:rPr>
        <w:t>Jokić</w:t>
      </w:r>
      <w:proofErr w:type="spellEnd"/>
      <w:r w:rsidR="00932541" w:rsidRPr="00173F61">
        <w:rPr>
          <w:rFonts w:asciiTheme="majorBidi" w:hAnsiTheme="majorBidi" w:cstheme="majorBidi"/>
          <w:szCs w:val="24"/>
        </w:rPr>
        <w:t xml:space="preserve"> et al. 2007)</w:t>
      </w:r>
    </w:p>
    <w:p w14:paraId="2B1A6040" w14:textId="384C7F88" w:rsidR="00F02ED7" w:rsidRPr="00173F61" w:rsidRDefault="00356187" w:rsidP="004C08CD">
      <w:pPr>
        <w:pStyle w:val="Paragraph"/>
        <w:rPr>
          <w:rFonts w:asciiTheme="majorBidi" w:hAnsiTheme="majorBidi" w:cstheme="majorBidi"/>
        </w:rPr>
      </w:pPr>
      <w:r w:rsidRPr="00173F61">
        <w:rPr>
          <w:rFonts w:asciiTheme="majorBidi" w:hAnsiTheme="majorBidi" w:cstheme="majorBidi"/>
        </w:rPr>
        <w:t xml:space="preserve">At </w:t>
      </w:r>
      <w:r w:rsidR="00D74F3B" w:rsidRPr="00173F61">
        <w:rPr>
          <w:rFonts w:asciiTheme="majorBidi" w:hAnsiTheme="majorBidi" w:cstheme="majorBidi"/>
        </w:rPr>
        <w:t xml:space="preserve">the </w:t>
      </w:r>
      <w:r w:rsidR="008D2E7C" w:rsidRPr="00173F61">
        <w:rPr>
          <w:rFonts w:asciiTheme="majorBidi" w:hAnsiTheme="majorBidi" w:cstheme="majorBidi"/>
        </w:rPr>
        <w:t>third</w:t>
      </w:r>
      <w:r w:rsidR="00D74F3B" w:rsidRPr="00173F61">
        <w:rPr>
          <w:rFonts w:asciiTheme="majorBidi" w:hAnsiTheme="majorBidi" w:cstheme="majorBidi"/>
        </w:rPr>
        <w:t xml:space="preserve"> time point, m</w:t>
      </w:r>
      <w:r w:rsidR="00F02ED7" w:rsidRPr="00173F61">
        <w:rPr>
          <w:rFonts w:asciiTheme="majorBidi" w:hAnsiTheme="majorBidi" w:cstheme="majorBidi"/>
        </w:rPr>
        <w:t xml:space="preserve">aternal and paternal academic support for the pupil were measured separately using </w:t>
      </w:r>
      <w:r w:rsidRPr="00173F61">
        <w:rPr>
          <w:rFonts w:asciiTheme="majorBidi" w:hAnsiTheme="majorBidi" w:cstheme="majorBidi"/>
        </w:rPr>
        <w:t xml:space="preserve">a </w:t>
      </w:r>
      <w:r w:rsidR="00F02ED7" w:rsidRPr="00173F61">
        <w:rPr>
          <w:rFonts w:asciiTheme="majorBidi" w:hAnsiTheme="majorBidi" w:cstheme="majorBidi"/>
        </w:rPr>
        <w:t xml:space="preserve">Likert scale consisting of 10 items (e.g. </w:t>
      </w:r>
      <w:r w:rsidR="00F02ED7" w:rsidRPr="00173F61">
        <w:rPr>
          <w:rFonts w:asciiTheme="majorBidi" w:hAnsiTheme="majorBidi" w:cstheme="majorBidi"/>
          <w:i/>
        </w:rPr>
        <w:t xml:space="preserve">To what extent does your parent help you </w:t>
      </w:r>
      <w:r w:rsidRPr="00173F61">
        <w:rPr>
          <w:rFonts w:asciiTheme="majorBidi" w:hAnsiTheme="majorBidi" w:cstheme="majorBidi"/>
          <w:i/>
        </w:rPr>
        <w:t xml:space="preserve">to study </w:t>
      </w:r>
      <w:r w:rsidR="00F02ED7" w:rsidRPr="00173F61">
        <w:rPr>
          <w:rFonts w:asciiTheme="majorBidi" w:hAnsiTheme="majorBidi" w:cstheme="majorBidi"/>
          <w:i/>
        </w:rPr>
        <w:t xml:space="preserve">and </w:t>
      </w:r>
      <w:r w:rsidRPr="00173F61">
        <w:rPr>
          <w:rFonts w:asciiTheme="majorBidi" w:hAnsiTheme="majorBidi" w:cstheme="majorBidi"/>
          <w:i/>
        </w:rPr>
        <w:t xml:space="preserve">do </w:t>
      </w:r>
      <w:r w:rsidR="00F02ED7" w:rsidRPr="00173F61">
        <w:rPr>
          <w:rFonts w:asciiTheme="majorBidi" w:hAnsiTheme="majorBidi" w:cstheme="majorBidi"/>
          <w:i/>
        </w:rPr>
        <w:t>homework</w:t>
      </w:r>
      <w:proofErr w:type="gramStart"/>
      <w:r w:rsidR="00F02ED7" w:rsidRPr="00173F61">
        <w:rPr>
          <w:rFonts w:asciiTheme="majorBidi" w:hAnsiTheme="majorBidi" w:cstheme="majorBidi"/>
          <w:i/>
        </w:rPr>
        <w:t>?</w:t>
      </w:r>
      <w:r w:rsidR="00F02ED7" w:rsidRPr="00173F61">
        <w:rPr>
          <w:rFonts w:asciiTheme="majorBidi" w:hAnsiTheme="majorBidi" w:cstheme="majorBidi"/>
        </w:rPr>
        <w:t>;</w:t>
      </w:r>
      <w:proofErr w:type="gramEnd"/>
      <w:r w:rsidR="004145E5" w:rsidRPr="00173F61">
        <w:rPr>
          <w:rFonts w:asciiTheme="majorBidi" w:hAnsiTheme="majorBidi" w:cstheme="majorBidi"/>
        </w:rPr>
        <w:t xml:space="preserve"> </w:t>
      </w:r>
      <w:r w:rsidR="00F02ED7" w:rsidRPr="00173F61">
        <w:rPr>
          <w:rFonts w:asciiTheme="majorBidi" w:hAnsiTheme="majorBidi" w:cstheme="majorBidi"/>
        </w:rPr>
        <w:t xml:space="preserve">1 – </w:t>
      </w:r>
      <w:r w:rsidR="00F02ED7" w:rsidRPr="00173F61">
        <w:rPr>
          <w:rFonts w:asciiTheme="majorBidi" w:hAnsiTheme="majorBidi" w:cstheme="majorBidi"/>
          <w:i/>
          <w:iCs/>
        </w:rPr>
        <w:t>not at all</w:t>
      </w:r>
      <w:r w:rsidR="00F02ED7" w:rsidRPr="00173F61">
        <w:rPr>
          <w:rFonts w:asciiTheme="majorBidi" w:hAnsiTheme="majorBidi" w:cstheme="majorBidi"/>
        </w:rPr>
        <w:t xml:space="preserve"> to 5 – </w:t>
      </w:r>
      <w:r w:rsidRPr="00173F61">
        <w:rPr>
          <w:rFonts w:asciiTheme="majorBidi" w:hAnsiTheme="majorBidi" w:cstheme="majorBidi"/>
          <w:i/>
          <w:iCs/>
        </w:rPr>
        <w:t>very much</w:t>
      </w:r>
      <w:r w:rsidR="00F02ED7" w:rsidRPr="00173F61">
        <w:rPr>
          <w:rFonts w:asciiTheme="majorBidi" w:hAnsiTheme="majorBidi" w:cstheme="majorBidi"/>
        </w:rPr>
        <w:t xml:space="preserve">; </w:t>
      </w:r>
      <w:r w:rsidR="00F02ED7" w:rsidRPr="00173F61">
        <w:rPr>
          <w:rFonts w:ascii="Calibri" w:hAnsi="Calibri" w:cs="Calibri"/>
        </w:rPr>
        <w:t>α</w:t>
      </w:r>
      <w:r w:rsidR="00F02ED7" w:rsidRPr="00173F61">
        <w:rPr>
          <w:rFonts w:asciiTheme="majorBidi" w:hAnsiTheme="majorBidi" w:cstheme="majorBidi"/>
          <w:vertAlign w:val="subscript"/>
        </w:rPr>
        <w:t>mother</w:t>
      </w:r>
      <w:r w:rsidR="00F02ED7" w:rsidRPr="00173F61">
        <w:rPr>
          <w:rFonts w:asciiTheme="majorBidi" w:hAnsiTheme="majorBidi" w:cstheme="majorBidi"/>
        </w:rPr>
        <w:t xml:space="preserve">=.805; </w:t>
      </w:r>
      <w:r w:rsidR="00F02ED7" w:rsidRPr="00173F61">
        <w:rPr>
          <w:rFonts w:ascii="Calibri" w:hAnsi="Calibri" w:cs="Calibri"/>
        </w:rPr>
        <w:t>α</w:t>
      </w:r>
      <w:r w:rsidR="00F02ED7" w:rsidRPr="00173F61">
        <w:rPr>
          <w:rFonts w:asciiTheme="majorBidi" w:hAnsiTheme="majorBidi" w:cstheme="majorBidi"/>
          <w:vertAlign w:val="subscript"/>
        </w:rPr>
        <w:t>father</w:t>
      </w:r>
      <w:r w:rsidR="00F02ED7" w:rsidRPr="00173F61">
        <w:rPr>
          <w:rFonts w:asciiTheme="majorBidi" w:hAnsiTheme="majorBidi" w:cstheme="majorBidi"/>
        </w:rPr>
        <w:t xml:space="preserve">=.861). </w:t>
      </w:r>
      <w:r w:rsidRPr="00173F61">
        <w:rPr>
          <w:rFonts w:asciiTheme="majorBidi" w:hAnsiTheme="majorBidi" w:cstheme="majorBidi"/>
        </w:rPr>
        <w:t xml:space="preserve">For both item sets, </w:t>
      </w:r>
      <w:r w:rsidR="00F02ED7" w:rsidRPr="00173F61">
        <w:rPr>
          <w:rFonts w:asciiTheme="majorBidi" w:hAnsiTheme="majorBidi" w:cstheme="majorBidi"/>
        </w:rPr>
        <w:t xml:space="preserve">average results </w:t>
      </w:r>
      <w:proofErr w:type="gramStart"/>
      <w:r w:rsidR="00F02ED7" w:rsidRPr="00173F61">
        <w:rPr>
          <w:rFonts w:asciiTheme="majorBidi" w:hAnsiTheme="majorBidi" w:cstheme="majorBidi"/>
        </w:rPr>
        <w:t>were used</w:t>
      </w:r>
      <w:proofErr w:type="gramEnd"/>
      <w:r w:rsidR="00F02ED7" w:rsidRPr="00173F61">
        <w:rPr>
          <w:rFonts w:asciiTheme="majorBidi" w:hAnsiTheme="majorBidi" w:cstheme="majorBidi"/>
        </w:rPr>
        <w:t xml:space="preserve"> as two separate predictors.</w:t>
      </w:r>
    </w:p>
    <w:p w14:paraId="0634DA8E" w14:textId="268A3070" w:rsidR="00F02ED7" w:rsidRPr="00173F61" w:rsidRDefault="00F02ED7" w:rsidP="00113B5A">
      <w:pPr>
        <w:pStyle w:val="Heading3"/>
        <w:rPr>
          <w:rFonts w:asciiTheme="majorBidi" w:hAnsiTheme="majorBidi" w:cstheme="majorBidi"/>
          <w:i w:val="0"/>
          <w:szCs w:val="24"/>
        </w:rPr>
      </w:pPr>
      <w:r w:rsidRPr="00173F61">
        <w:rPr>
          <w:rFonts w:asciiTheme="majorBidi" w:hAnsiTheme="majorBidi" w:cstheme="majorBidi"/>
          <w:szCs w:val="24"/>
        </w:rPr>
        <w:t xml:space="preserve">Grade </w:t>
      </w:r>
      <w:r w:rsidR="00041AF8" w:rsidRPr="00173F61">
        <w:rPr>
          <w:rFonts w:asciiTheme="majorBidi" w:hAnsiTheme="majorBidi" w:cstheme="majorBidi"/>
          <w:szCs w:val="24"/>
        </w:rPr>
        <w:t>P</w:t>
      </w:r>
      <w:r w:rsidRPr="00173F61">
        <w:rPr>
          <w:rFonts w:asciiTheme="majorBidi" w:hAnsiTheme="majorBidi" w:cstheme="majorBidi"/>
          <w:szCs w:val="24"/>
        </w:rPr>
        <w:t xml:space="preserve">oint </w:t>
      </w:r>
      <w:r w:rsidR="00041AF8" w:rsidRPr="00173F61">
        <w:rPr>
          <w:rFonts w:asciiTheme="majorBidi" w:hAnsiTheme="majorBidi" w:cstheme="majorBidi"/>
          <w:szCs w:val="24"/>
        </w:rPr>
        <w:t>A</w:t>
      </w:r>
      <w:r w:rsidRPr="00173F61">
        <w:rPr>
          <w:rFonts w:asciiTheme="majorBidi" w:hAnsiTheme="majorBidi" w:cstheme="majorBidi"/>
          <w:szCs w:val="24"/>
        </w:rPr>
        <w:t>verage (7th grade)</w:t>
      </w:r>
    </w:p>
    <w:p w14:paraId="34B11D41" w14:textId="600746DB" w:rsidR="00F02ED7" w:rsidRPr="00173F61" w:rsidRDefault="00356187" w:rsidP="004C08CD">
      <w:pPr>
        <w:pStyle w:val="Paragraph"/>
        <w:rPr>
          <w:rFonts w:asciiTheme="majorBidi" w:hAnsiTheme="majorBidi" w:cstheme="majorBidi"/>
        </w:rPr>
      </w:pPr>
      <w:r w:rsidRPr="00173F61">
        <w:rPr>
          <w:rFonts w:asciiTheme="majorBidi" w:hAnsiTheme="majorBidi" w:cstheme="majorBidi"/>
        </w:rPr>
        <w:t xml:space="preserve">At </w:t>
      </w:r>
      <w:r w:rsidR="00F02ED7" w:rsidRPr="00173F61">
        <w:rPr>
          <w:rFonts w:asciiTheme="majorBidi" w:hAnsiTheme="majorBidi" w:cstheme="majorBidi"/>
        </w:rPr>
        <w:t xml:space="preserve">the first time point, pupils were asked to </w:t>
      </w:r>
      <w:r w:rsidRPr="00173F61">
        <w:rPr>
          <w:rFonts w:asciiTheme="majorBidi" w:hAnsiTheme="majorBidi" w:cstheme="majorBidi"/>
        </w:rPr>
        <w:t xml:space="preserve">indicate </w:t>
      </w:r>
      <w:r w:rsidR="00F02ED7" w:rsidRPr="00173F61">
        <w:rPr>
          <w:rFonts w:asciiTheme="majorBidi" w:hAnsiTheme="majorBidi" w:cstheme="majorBidi"/>
        </w:rPr>
        <w:t>their final school grades (</w:t>
      </w:r>
      <w:r w:rsidRPr="00173F61">
        <w:rPr>
          <w:rFonts w:asciiTheme="majorBidi" w:hAnsiTheme="majorBidi" w:cstheme="majorBidi"/>
        </w:rPr>
        <w:t xml:space="preserve">ranging </w:t>
      </w:r>
      <w:r w:rsidR="00F02ED7" w:rsidRPr="00173F61">
        <w:rPr>
          <w:rFonts w:asciiTheme="majorBidi" w:hAnsiTheme="majorBidi" w:cstheme="majorBidi"/>
        </w:rPr>
        <w:t xml:space="preserve">from </w:t>
      </w:r>
      <w:proofErr w:type="gramStart"/>
      <w:r w:rsidR="00F02ED7" w:rsidRPr="00173F61">
        <w:rPr>
          <w:rFonts w:asciiTheme="majorBidi" w:hAnsiTheme="majorBidi" w:cstheme="majorBidi"/>
        </w:rPr>
        <w:t>1</w:t>
      </w:r>
      <w:proofErr w:type="gramEnd"/>
      <w:r w:rsidR="00F02ED7" w:rsidRPr="00173F61">
        <w:rPr>
          <w:rFonts w:asciiTheme="majorBidi" w:hAnsiTheme="majorBidi" w:cstheme="majorBidi"/>
        </w:rPr>
        <w:t xml:space="preserve"> – </w:t>
      </w:r>
      <w:r w:rsidR="00F02ED7" w:rsidRPr="00173F61">
        <w:rPr>
          <w:rFonts w:asciiTheme="majorBidi" w:hAnsiTheme="majorBidi" w:cstheme="majorBidi"/>
          <w:i/>
          <w:iCs/>
        </w:rPr>
        <w:t>insufficient</w:t>
      </w:r>
      <w:r w:rsidR="00F02ED7" w:rsidRPr="00173F61">
        <w:rPr>
          <w:rFonts w:asciiTheme="majorBidi" w:hAnsiTheme="majorBidi" w:cstheme="majorBidi"/>
        </w:rPr>
        <w:t xml:space="preserve"> to 5 - </w:t>
      </w:r>
      <w:r w:rsidR="00F02ED7" w:rsidRPr="00173F61">
        <w:rPr>
          <w:rFonts w:asciiTheme="majorBidi" w:hAnsiTheme="majorBidi" w:cstheme="majorBidi"/>
          <w:i/>
          <w:iCs/>
        </w:rPr>
        <w:t>excellent</w:t>
      </w:r>
      <w:r w:rsidR="00F02ED7" w:rsidRPr="00173F61">
        <w:rPr>
          <w:rFonts w:asciiTheme="majorBidi" w:hAnsiTheme="majorBidi" w:cstheme="majorBidi"/>
        </w:rPr>
        <w:t xml:space="preserve">) </w:t>
      </w:r>
      <w:r w:rsidRPr="00173F61">
        <w:rPr>
          <w:rFonts w:asciiTheme="majorBidi" w:hAnsiTheme="majorBidi" w:cstheme="majorBidi"/>
        </w:rPr>
        <w:t xml:space="preserve">for </w:t>
      </w:r>
      <w:r w:rsidR="00F02ED7" w:rsidRPr="00173F61">
        <w:rPr>
          <w:rFonts w:asciiTheme="majorBidi" w:hAnsiTheme="majorBidi" w:cstheme="majorBidi"/>
        </w:rPr>
        <w:t>all school subjects in the 7</w:t>
      </w:r>
      <w:r w:rsidR="00F02ED7" w:rsidRPr="00173F61">
        <w:rPr>
          <w:rFonts w:asciiTheme="majorBidi" w:hAnsiTheme="majorBidi" w:cstheme="majorBidi"/>
          <w:vertAlign w:val="superscript"/>
        </w:rPr>
        <w:t>th</w:t>
      </w:r>
      <w:r w:rsidR="00F02ED7" w:rsidRPr="00173F61">
        <w:rPr>
          <w:rFonts w:asciiTheme="majorBidi" w:hAnsiTheme="majorBidi" w:cstheme="majorBidi"/>
        </w:rPr>
        <w:t xml:space="preserve"> grade. Based on this information, </w:t>
      </w:r>
      <w:r w:rsidR="00585D21" w:rsidRPr="00173F61">
        <w:rPr>
          <w:rFonts w:asciiTheme="majorBidi" w:hAnsiTheme="majorBidi" w:cstheme="majorBidi"/>
        </w:rPr>
        <w:t xml:space="preserve">a </w:t>
      </w:r>
      <w:r w:rsidR="00F02ED7" w:rsidRPr="00173F61">
        <w:rPr>
          <w:rFonts w:asciiTheme="majorBidi" w:hAnsiTheme="majorBidi" w:cstheme="majorBidi"/>
        </w:rPr>
        <w:t xml:space="preserve">grade point average </w:t>
      </w:r>
      <w:proofErr w:type="gramStart"/>
      <w:r w:rsidR="00F02ED7" w:rsidRPr="00173F61">
        <w:rPr>
          <w:rFonts w:asciiTheme="majorBidi" w:hAnsiTheme="majorBidi" w:cstheme="majorBidi"/>
        </w:rPr>
        <w:t>was calculated</w:t>
      </w:r>
      <w:proofErr w:type="gramEnd"/>
      <w:r w:rsidR="00F02ED7" w:rsidRPr="00173F61">
        <w:rPr>
          <w:rFonts w:asciiTheme="majorBidi" w:hAnsiTheme="majorBidi" w:cstheme="majorBidi"/>
        </w:rPr>
        <w:t xml:space="preserve"> for every pupil.</w:t>
      </w:r>
    </w:p>
    <w:p w14:paraId="0E1C7783" w14:textId="74A3CAF2" w:rsidR="00F02ED7" w:rsidRPr="00173F61" w:rsidRDefault="00F02ED7" w:rsidP="00113B5A">
      <w:pPr>
        <w:pStyle w:val="Heading3"/>
        <w:rPr>
          <w:rFonts w:asciiTheme="majorBidi" w:hAnsiTheme="majorBidi" w:cstheme="majorBidi"/>
          <w:i w:val="0"/>
          <w:szCs w:val="24"/>
        </w:rPr>
      </w:pPr>
      <w:r w:rsidRPr="00173F61">
        <w:rPr>
          <w:rFonts w:asciiTheme="majorBidi" w:hAnsiTheme="majorBidi" w:cstheme="majorBidi"/>
          <w:szCs w:val="24"/>
        </w:rPr>
        <w:t xml:space="preserve">School </w:t>
      </w:r>
      <w:r w:rsidR="00041AF8" w:rsidRPr="00173F61">
        <w:rPr>
          <w:rFonts w:asciiTheme="majorBidi" w:hAnsiTheme="majorBidi" w:cstheme="majorBidi"/>
          <w:szCs w:val="24"/>
        </w:rPr>
        <w:t>S</w:t>
      </w:r>
      <w:r w:rsidRPr="00173F61">
        <w:rPr>
          <w:rFonts w:asciiTheme="majorBidi" w:hAnsiTheme="majorBidi" w:cstheme="majorBidi"/>
          <w:szCs w:val="24"/>
        </w:rPr>
        <w:t>atisfaction</w:t>
      </w:r>
    </w:p>
    <w:p w14:paraId="75218220" w14:textId="3E3D8024" w:rsidR="00F02ED7" w:rsidRPr="00173F61" w:rsidRDefault="00356187" w:rsidP="004C08CD">
      <w:pPr>
        <w:pStyle w:val="Paragraph"/>
        <w:rPr>
          <w:rFonts w:asciiTheme="majorBidi" w:hAnsiTheme="majorBidi" w:cstheme="majorBidi"/>
        </w:rPr>
      </w:pPr>
      <w:r w:rsidRPr="004C08CD">
        <w:rPr>
          <w:rFonts w:asciiTheme="majorBidi" w:hAnsiTheme="majorBidi" w:cstheme="majorBidi"/>
        </w:rPr>
        <w:t xml:space="preserve">At </w:t>
      </w:r>
      <w:r w:rsidR="00F02ED7" w:rsidRPr="004C08CD">
        <w:rPr>
          <w:rFonts w:asciiTheme="majorBidi" w:hAnsiTheme="majorBidi" w:cstheme="majorBidi"/>
        </w:rPr>
        <w:t xml:space="preserve">the </w:t>
      </w:r>
      <w:r w:rsidR="0094270A" w:rsidRPr="004C08CD">
        <w:rPr>
          <w:rFonts w:asciiTheme="majorBidi" w:hAnsiTheme="majorBidi" w:cstheme="majorBidi"/>
        </w:rPr>
        <w:t>third</w:t>
      </w:r>
      <w:r w:rsidR="00F02ED7" w:rsidRPr="004C08CD">
        <w:rPr>
          <w:rFonts w:asciiTheme="majorBidi" w:hAnsiTheme="majorBidi" w:cstheme="majorBidi"/>
        </w:rPr>
        <w:t xml:space="preserve"> time point, </w:t>
      </w:r>
      <w:r w:rsidR="0094270A" w:rsidRPr="004C08CD">
        <w:rPr>
          <w:rFonts w:asciiTheme="majorBidi" w:hAnsiTheme="majorBidi" w:cstheme="majorBidi"/>
        </w:rPr>
        <w:t>pupils’</w:t>
      </w:r>
      <w:r w:rsidR="00F02ED7" w:rsidRPr="004C08CD">
        <w:rPr>
          <w:rFonts w:asciiTheme="majorBidi" w:hAnsiTheme="majorBidi" w:cstheme="majorBidi"/>
        </w:rPr>
        <w:t xml:space="preserve"> </w:t>
      </w:r>
      <w:r w:rsidR="0094270A" w:rsidRPr="004C08CD">
        <w:rPr>
          <w:rFonts w:asciiTheme="majorBidi" w:hAnsiTheme="majorBidi" w:cstheme="majorBidi"/>
        </w:rPr>
        <w:t xml:space="preserve">satisfaction with school was measured using </w:t>
      </w:r>
      <w:r w:rsidRPr="004C08CD">
        <w:rPr>
          <w:rFonts w:asciiTheme="majorBidi" w:hAnsiTheme="majorBidi" w:cstheme="majorBidi"/>
        </w:rPr>
        <w:t xml:space="preserve">a single </w:t>
      </w:r>
      <w:r w:rsidR="0094270A" w:rsidRPr="004C08CD">
        <w:rPr>
          <w:rFonts w:asciiTheme="majorBidi" w:hAnsiTheme="majorBidi" w:cstheme="majorBidi"/>
        </w:rPr>
        <w:t>item</w:t>
      </w:r>
      <w:r w:rsidRPr="004C08CD">
        <w:rPr>
          <w:rFonts w:asciiTheme="majorBidi" w:hAnsiTheme="majorBidi" w:cstheme="majorBidi"/>
        </w:rPr>
        <w:t>:</w:t>
      </w:r>
      <w:r w:rsidR="0094270A" w:rsidRPr="004C08CD">
        <w:rPr>
          <w:rFonts w:asciiTheme="majorBidi" w:hAnsiTheme="majorBidi" w:cstheme="majorBidi"/>
        </w:rPr>
        <w:t xml:space="preserve"> </w:t>
      </w:r>
      <w:r w:rsidR="0094270A" w:rsidRPr="001133D0">
        <w:rPr>
          <w:rFonts w:asciiTheme="majorBidi" w:hAnsiTheme="majorBidi"/>
          <w:i/>
        </w:rPr>
        <w:t>I</w:t>
      </w:r>
      <w:r w:rsidR="0094270A" w:rsidRPr="005979B1">
        <w:rPr>
          <w:rFonts w:asciiTheme="majorBidi" w:hAnsiTheme="majorBidi" w:cstheme="majorBidi"/>
          <w:i/>
          <w:iCs/>
        </w:rPr>
        <w:t xml:space="preserve"> </w:t>
      </w:r>
      <w:r w:rsidR="007430A6" w:rsidRPr="005979B1">
        <w:rPr>
          <w:rFonts w:asciiTheme="majorBidi" w:hAnsiTheme="majorBidi" w:cstheme="majorBidi"/>
          <w:i/>
          <w:iCs/>
        </w:rPr>
        <w:t>like</w:t>
      </w:r>
      <w:r w:rsidR="0094270A" w:rsidRPr="005979B1">
        <w:rPr>
          <w:rFonts w:asciiTheme="majorBidi" w:hAnsiTheme="majorBidi" w:cstheme="majorBidi"/>
          <w:i/>
          <w:iCs/>
        </w:rPr>
        <w:t xml:space="preserve"> t</w:t>
      </w:r>
      <w:r w:rsidR="0094270A" w:rsidRPr="00173F61">
        <w:rPr>
          <w:rFonts w:asciiTheme="majorBidi" w:hAnsiTheme="majorBidi" w:cstheme="majorBidi"/>
          <w:i/>
          <w:iCs/>
        </w:rPr>
        <w:t>o go to school</w:t>
      </w:r>
      <w:r w:rsidR="00F02ED7" w:rsidRPr="00173F61">
        <w:rPr>
          <w:rFonts w:asciiTheme="majorBidi" w:hAnsiTheme="majorBidi" w:cstheme="majorBidi"/>
        </w:rPr>
        <w:t xml:space="preserve"> (</w:t>
      </w:r>
      <w:r w:rsidR="0094270A" w:rsidRPr="00173F61">
        <w:rPr>
          <w:rFonts w:asciiTheme="majorBidi" w:hAnsiTheme="majorBidi" w:cstheme="majorBidi"/>
        </w:rPr>
        <w:t xml:space="preserve">Likert scale: </w:t>
      </w:r>
      <w:proofErr w:type="gramStart"/>
      <w:r w:rsidR="0094270A" w:rsidRPr="00173F61">
        <w:rPr>
          <w:rFonts w:asciiTheme="majorBidi" w:hAnsiTheme="majorBidi" w:cstheme="majorBidi"/>
        </w:rPr>
        <w:t>1</w:t>
      </w:r>
      <w:proofErr w:type="gramEnd"/>
      <w:r w:rsidR="0094270A" w:rsidRPr="00173F61">
        <w:rPr>
          <w:rFonts w:asciiTheme="majorBidi" w:hAnsiTheme="majorBidi" w:cstheme="majorBidi"/>
        </w:rPr>
        <w:t xml:space="preserve"> – </w:t>
      </w:r>
      <w:r w:rsidR="006F5726" w:rsidRPr="00173F61">
        <w:rPr>
          <w:rFonts w:asciiTheme="majorBidi" w:hAnsiTheme="majorBidi" w:cstheme="majorBidi"/>
          <w:i/>
          <w:iCs/>
        </w:rPr>
        <w:t xml:space="preserve">It </w:t>
      </w:r>
      <w:r w:rsidRPr="00173F61">
        <w:rPr>
          <w:rFonts w:asciiTheme="majorBidi" w:hAnsiTheme="majorBidi" w:cstheme="majorBidi"/>
          <w:i/>
          <w:iCs/>
        </w:rPr>
        <w:t>doesn’t</w:t>
      </w:r>
      <w:r w:rsidR="006F5726" w:rsidRPr="00173F61">
        <w:rPr>
          <w:rFonts w:asciiTheme="majorBidi" w:hAnsiTheme="majorBidi" w:cstheme="majorBidi"/>
          <w:i/>
          <w:iCs/>
        </w:rPr>
        <w:t xml:space="preserve"> apply to me at all</w:t>
      </w:r>
      <w:r w:rsidR="0094270A" w:rsidRPr="00173F61">
        <w:rPr>
          <w:rFonts w:asciiTheme="majorBidi" w:hAnsiTheme="majorBidi" w:cstheme="majorBidi"/>
        </w:rPr>
        <w:t xml:space="preserve"> to 5 – </w:t>
      </w:r>
      <w:r w:rsidR="006F5726" w:rsidRPr="00173F61">
        <w:rPr>
          <w:rFonts w:asciiTheme="majorBidi" w:hAnsiTheme="majorBidi" w:cstheme="majorBidi"/>
          <w:i/>
          <w:iCs/>
        </w:rPr>
        <w:t xml:space="preserve">It </w:t>
      </w:r>
      <w:r w:rsidRPr="00173F61">
        <w:rPr>
          <w:rFonts w:asciiTheme="majorBidi" w:hAnsiTheme="majorBidi" w:cstheme="majorBidi"/>
          <w:i/>
          <w:iCs/>
        </w:rPr>
        <w:t xml:space="preserve">completely </w:t>
      </w:r>
      <w:r w:rsidR="006F5726" w:rsidRPr="00173F61">
        <w:rPr>
          <w:rFonts w:asciiTheme="majorBidi" w:hAnsiTheme="majorBidi" w:cstheme="majorBidi"/>
          <w:i/>
          <w:iCs/>
        </w:rPr>
        <w:t>applies to me</w:t>
      </w:r>
      <w:r w:rsidR="006E2DC0" w:rsidRPr="00173F61">
        <w:rPr>
          <w:rFonts w:asciiTheme="majorBidi" w:hAnsiTheme="majorBidi" w:cstheme="majorBidi"/>
        </w:rPr>
        <w:t>).</w:t>
      </w:r>
    </w:p>
    <w:p w14:paraId="4711478F" w14:textId="754D909B" w:rsidR="00F02ED7" w:rsidRPr="00173F61" w:rsidRDefault="00F02ED7" w:rsidP="00113B5A">
      <w:pPr>
        <w:pStyle w:val="Heading3"/>
        <w:rPr>
          <w:rFonts w:asciiTheme="majorBidi" w:hAnsiTheme="majorBidi" w:cstheme="majorBidi"/>
          <w:i w:val="0"/>
          <w:szCs w:val="24"/>
        </w:rPr>
      </w:pPr>
      <w:r w:rsidRPr="00173F61">
        <w:rPr>
          <w:rFonts w:asciiTheme="majorBidi" w:hAnsiTheme="majorBidi" w:cstheme="majorBidi"/>
          <w:szCs w:val="24"/>
        </w:rPr>
        <w:lastRenderedPageBreak/>
        <w:t xml:space="preserve">School </w:t>
      </w:r>
      <w:r w:rsidR="00041AF8" w:rsidRPr="00173F61">
        <w:rPr>
          <w:rFonts w:asciiTheme="majorBidi" w:hAnsiTheme="majorBidi" w:cstheme="majorBidi"/>
          <w:szCs w:val="24"/>
        </w:rPr>
        <w:t>W</w:t>
      </w:r>
      <w:r w:rsidRPr="00173F61">
        <w:rPr>
          <w:rFonts w:asciiTheme="majorBidi" w:hAnsiTheme="majorBidi" w:cstheme="majorBidi"/>
          <w:szCs w:val="24"/>
        </w:rPr>
        <w:t>orkload</w:t>
      </w:r>
    </w:p>
    <w:p w14:paraId="7CF30E37" w14:textId="56F8D2F0" w:rsidR="00F02ED7" w:rsidRPr="00173F61" w:rsidRDefault="00356187" w:rsidP="004C08CD">
      <w:pPr>
        <w:pStyle w:val="Paragraph"/>
        <w:rPr>
          <w:rFonts w:asciiTheme="majorBidi" w:hAnsiTheme="majorBidi" w:cstheme="majorBidi"/>
        </w:rPr>
      </w:pPr>
      <w:r w:rsidRPr="00173F61">
        <w:rPr>
          <w:rFonts w:asciiTheme="majorBidi" w:hAnsiTheme="majorBidi" w:cstheme="majorBidi"/>
        </w:rPr>
        <w:t xml:space="preserve">At </w:t>
      </w:r>
      <w:r w:rsidR="00F02ED7" w:rsidRPr="00173F61">
        <w:rPr>
          <w:rFonts w:asciiTheme="majorBidi" w:hAnsiTheme="majorBidi" w:cstheme="majorBidi"/>
        </w:rPr>
        <w:t xml:space="preserve">the second time point, pupils’ estimates of their school workload were measured using three items (e.g. </w:t>
      </w:r>
      <w:r w:rsidR="00F02ED7" w:rsidRPr="00173F61">
        <w:rPr>
          <w:rFonts w:asciiTheme="majorBidi" w:hAnsiTheme="majorBidi" w:cstheme="majorBidi"/>
          <w:i/>
        </w:rPr>
        <w:t>I have too much homework</w:t>
      </w:r>
      <w:r w:rsidR="00F02ED7" w:rsidRPr="00173F61">
        <w:rPr>
          <w:rFonts w:asciiTheme="majorBidi" w:hAnsiTheme="majorBidi" w:cstheme="majorBidi"/>
        </w:rPr>
        <w:t xml:space="preserve">; Likert scale: </w:t>
      </w:r>
      <w:proofErr w:type="gramStart"/>
      <w:r w:rsidR="00F02ED7" w:rsidRPr="00173F61">
        <w:rPr>
          <w:rFonts w:asciiTheme="majorBidi" w:hAnsiTheme="majorBidi" w:cstheme="majorBidi"/>
        </w:rPr>
        <w:t>1</w:t>
      </w:r>
      <w:proofErr w:type="gramEnd"/>
      <w:r w:rsidR="00F02ED7" w:rsidRPr="00173F61">
        <w:rPr>
          <w:rFonts w:asciiTheme="majorBidi" w:hAnsiTheme="majorBidi" w:cstheme="majorBidi"/>
        </w:rPr>
        <w:t xml:space="preserve"> – </w:t>
      </w:r>
      <w:r w:rsidR="00F02ED7" w:rsidRPr="00173F61">
        <w:rPr>
          <w:rFonts w:asciiTheme="majorBidi" w:hAnsiTheme="majorBidi" w:cstheme="majorBidi"/>
          <w:i/>
          <w:iCs/>
        </w:rPr>
        <w:t>I completely disagree</w:t>
      </w:r>
      <w:r w:rsidR="00F02ED7" w:rsidRPr="00173F61">
        <w:rPr>
          <w:rFonts w:asciiTheme="majorBidi" w:hAnsiTheme="majorBidi" w:cstheme="majorBidi"/>
        </w:rPr>
        <w:t xml:space="preserve"> to 5 – </w:t>
      </w:r>
      <w:r w:rsidR="00F02ED7" w:rsidRPr="00173F61">
        <w:rPr>
          <w:rFonts w:asciiTheme="majorBidi" w:hAnsiTheme="majorBidi" w:cstheme="majorBidi"/>
          <w:i/>
          <w:iCs/>
        </w:rPr>
        <w:t>I completely agree</w:t>
      </w:r>
      <w:r w:rsidR="00F02ED7" w:rsidRPr="00173F61">
        <w:rPr>
          <w:rFonts w:asciiTheme="majorBidi" w:hAnsiTheme="majorBidi" w:cstheme="majorBidi"/>
        </w:rPr>
        <w:t xml:space="preserve">; </w:t>
      </w:r>
      <w:r w:rsidR="00F02ED7" w:rsidRPr="00173F61">
        <w:rPr>
          <w:rFonts w:ascii="Calibri" w:hAnsi="Calibri" w:cs="Calibri"/>
        </w:rPr>
        <w:t>α</w:t>
      </w:r>
      <w:r w:rsidR="00F02ED7" w:rsidRPr="00173F61">
        <w:rPr>
          <w:rFonts w:asciiTheme="majorBidi" w:hAnsiTheme="majorBidi" w:cstheme="majorBidi"/>
        </w:rPr>
        <w:t xml:space="preserve">=.744). The average result </w:t>
      </w:r>
      <w:r w:rsidR="009535BF" w:rsidRPr="00173F61">
        <w:rPr>
          <w:rFonts w:asciiTheme="majorBidi" w:hAnsiTheme="majorBidi" w:cstheme="majorBidi"/>
        </w:rPr>
        <w:t xml:space="preserve">on all </w:t>
      </w:r>
      <w:r w:rsidR="00F02ED7" w:rsidRPr="00173F61">
        <w:rPr>
          <w:rFonts w:asciiTheme="majorBidi" w:hAnsiTheme="majorBidi" w:cstheme="majorBidi"/>
        </w:rPr>
        <w:t xml:space="preserve">three items </w:t>
      </w:r>
      <w:proofErr w:type="gramStart"/>
      <w:r w:rsidR="00F02ED7" w:rsidRPr="00173F61">
        <w:rPr>
          <w:rFonts w:asciiTheme="majorBidi" w:hAnsiTheme="majorBidi" w:cstheme="majorBidi"/>
        </w:rPr>
        <w:t>was used</w:t>
      </w:r>
      <w:proofErr w:type="gramEnd"/>
      <w:r w:rsidR="00F02ED7" w:rsidRPr="00173F61">
        <w:rPr>
          <w:rFonts w:asciiTheme="majorBidi" w:hAnsiTheme="majorBidi" w:cstheme="majorBidi"/>
        </w:rPr>
        <w:t xml:space="preserve"> as a predictor.</w:t>
      </w:r>
    </w:p>
    <w:p w14:paraId="5027684C" w14:textId="6BFAF173" w:rsidR="00C539BE" w:rsidRPr="00173F61" w:rsidRDefault="00C539BE" w:rsidP="00113B5A">
      <w:pPr>
        <w:pStyle w:val="Heading3"/>
        <w:rPr>
          <w:rFonts w:asciiTheme="majorBidi" w:hAnsiTheme="majorBidi" w:cstheme="majorBidi"/>
          <w:szCs w:val="24"/>
        </w:rPr>
      </w:pPr>
      <w:r w:rsidRPr="00173F61">
        <w:rPr>
          <w:rFonts w:asciiTheme="majorBidi" w:hAnsiTheme="majorBidi" w:cstheme="majorBidi"/>
          <w:szCs w:val="24"/>
        </w:rPr>
        <w:t xml:space="preserve">Academic </w:t>
      </w:r>
      <w:r w:rsidR="00041AF8" w:rsidRPr="00173F61">
        <w:rPr>
          <w:rFonts w:asciiTheme="majorBidi" w:hAnsiTheme="majorBidi" w:cstheme="majorBidi"/>
          <w:szCs w:val="24"/>
        </w:rPr>
        <w:t>Self-E</w:t>
      </w:r>
      <w:r w:rsidRPr="00173F61">
        <w:rPr>
          <w:rFonts w:asciiTheme="majorBidi" w:hAnsiTheme="majorBidi" w:cstheme="majorBidi"/>
          <w:szCs w:val="24"/>
        </w:rPr>
        <w:t>fficacy</w:t>
      </w:r>
      <w:r w:rsidR="00206201" w:rsidRPr="00173F61">
        <w:rPr>
          <w:rFonts w:asciiTheme="majorBidi" w:hAnsiTheme="majorBidi" w:cstheme="majorBidi"/>
          <w:szCs w:val="24"/>
        </w:rPr>
        <w:t xml:space="preserve"> </w:t>
      </w:r>
      <w:r w:rsidR="00656E5A" w:rsidRPr="00173F61">
        <w:rPr>
          <w:rFonts w:asciiTheme="majorBidi" w:hAnsiTheme="majorBidi" w:cstheme="majorBidi"/>
          <w:szCs w:val="24"/>
        </w:rPr>
        <w:t>(</w:t>
      </w:r>
      <w:proofErr w:type="spellStart"/>
      <w:r w:rsidR="00656E5A" w:rsidRPr="00173F61">
        <w:rPr>
          <w:rFonts w:asciiTheme="majorBidi" w:hAnsiTheme="majorBidi" w:cstheme="majorBidi"/>
          <w:szCs w:val="24"/>
        </w:rPr>
        <w:t>Jokić</w:t>
      </w:r>
      <w:proofErr w:type="spellEnd"/>
      <w:r w:rsidR="00656E5A" w:rsidRPr="00173F61">
        <w:rPr>
          <w:rFonts w:asciiTheme="majorBidi" w:hAnsiTheme="majorBidi" w:cstheme="majorBidi"/>
          <w:szCs w:val="24"/>
        </w:rPr>
        <w:t xml:space="preserve"> et al</w:t>
      </w:r>
      <w:r w:rsidR="00932541" w:rsidRPr="00173F61">
        <w:rPr>
          <w:rFonts w:asciiTheme="majorBidi" w:hAnsiTheme="majorBidi" w:cstheme="majorBidi"/>
          <w:szCs w:val="24"/>
        </w:rPr>
        <w:t>.</w:t>
      </w:r>
      <w:r w:rsidR="00656E5A" w:rsidRPr="00173F61">
        <w:rPr>
          <w:rFonts w:asciiTheme="majorBidi" w:hAnsiTheme="majorBidi" w:cstheme="majorBidi"/>
          <w:szCs w:val="24"/>
        </w:rPr>
        <w:t xml:space="preserve"> 2007)</w:t>
      </w:r>
    </w:p>
    <w:p w14:paraId="12D8FBA3" w14:textId="4AF7875A" w:rsidR="00C539BE" w:rsidRPr="00173F61" w:rsidRDefault="009535BF" w:rsidP="004C08CD">
      <w:pPr>
        <w:pStyle w:val="Paragraph"/>
        <w:rPr>
          <w:rFonts w:asciiTheme="majorBidi" w:hAnsiTheme="majorBidi" w:cstheme="majorBidi"/>
        </w:rPr>
      </w:pPr>
      <w:r w:rsidRPr="00173F61">
        <w:rPr>
          <w:rFonts w:asciiTheme="majorBidi" w:hAnsiTheme="majorBidi" w:cstheme="majorBidi"/>
        </w:rPr>
        <w:t xml:space="preserve">At </w:t>
      </w:r>
      <w:r w:rsidR="00DC4E3D" w:rsidRPr="00173F61">
        <w:rPr>
          <w:rFonts w:asciiTheme="majorBidi" w:hAnsiTheme="majorBidi" w:cstheme="majorBidi"/>
        </w:rPr>
        <w:t xml:space="preserve">the first time point, </w:t>
      </w:r>
      <w:r w:rsidR="00CB0260" w:rsidRPr="00173F61">
        <w:rPr>
          <w:rFonts w:asciiTheme="majorBidi" w:hAnsiTheme="majorBidi" w:cstheme="majorBidi"/>
        </w:rPr>
        <w:t xml:space="preserve">pupils’ academic self-efficacy was measured using </w:t>
      </w:r>
      <w:r w:rsidRPr="00173F61">
        <w:rPr>
          <w:rFonts w:asciiTheme="majorBidi" w:hAnsiTheme="majorBidi" w:cstheme="majorBidi"/>
        </w:rPr>
        <w:t xml:space="preserve">a </w:t>
      </w:r>
      <w:r w:rsidR="00CB0260" w:rsidRPr="00173F61">
        <w:rPr>
          <w:rFonts w:asciiTheme="majorBidi" w:hAnsiTheme="majorBidi" w:cstheme="majorBidi"/>
        </w:rPr>
        <w:t xml:space="preserve">Likert scale consisting of </w:t>
      </w:r>
      <w:r w:rsidR="00C252A6" w:rsidRPr="00173F61">
        <w:rPr>
          <w:rFonts w:asciiTheme="majorBidi" w:hAnsiTheme="majorBidi" w:cstheme="majorBidi"/>
        </w:rPr>
        <w:t>five</w:t>
      </w:r>
      <w:r w:rsidR="00CB0260" w:rsidRPr="00173F61">
        <w:rPr>
          <w:rFonts w:asciiTheme="majorBidi" w:hAnsiTheme="majorBidi" w:cstheme="majorBidi"/>
        </w:rPr>
        <w:t xml:space="preserve"> items (e.g. </w:t>
      </w:r>
      <w:r w:rsidR="00006424" w:rsidRPr="00173F61">
        <w:rPr>
          <w:rFonts w:asciiTheme="majorBidi" w:hAnsiTheme="majorBidi" w:cstheme="majorBidi"/>
          <w:i/>
        </w:rPr>
        <w:t xml:space="preserve">I think </w:t>
      </w:r>
      <w:proofErr w:type="gramStart"/>
      <w:r w:rsidR="00006424" w:rsidRPr="00173F61">
        <w:rPr>
          <w:rFonts w:asciiTheme="majorBidi" w:hAnsiTheme="majorBidi" w:cstheme="majorBidi"/>
          <w:i/>
        </w:rPr>
        <w:t>I'm</w:t>
      </w:r>
      <w:proofErr w:type="gramEnd"/>
      <w:r w:rsidR="00006424" w:rsidRPr="00173F61">
        <w:rPr>
          <w:rFonts w:asciiTheme="majorBidi" w:hAnsiTheme="majorBidi" w:cstheme="majorBidi"/>
          <w:i/>
        </w:rPr>
        <w:t xml:space="preserve"> a successful student</w:t>
      </w:r>
      <w:r w:rsidR="00CB0260" w:rsidRPr="00173F61">
        <w:rPr>
          <w:rFonts w:asciiTheme="majorBidi" w:hAnsiTheme="majorBidi" w:cstheme="majorBidi"/>
        </w:rPr>
        <w:t>;</w:t>
      </w:r>
      <w:r w:rsidR="00006424" w:rsidRPr="00173F61">
        <w:rPr>
          <w:rFonts w:asciiTheme="majorBidi" w:hAnsiTheme="majorBidi" w:cstheme="majorBidi"/>
        </w:rPr>
        <w:t xml:space="preserve"> 1 – </w:t>
      </w:r>
      <w:r w:rsidR="00006424" w:rsidRPr="00173F61">
        <w:rPr>
          <w:rFonts w:asciiTheme="majorBidi" w:hAnsiTheme="majorBidi" w:cstheme="majorBidi"/>
          <w:i/>
          <w:iCs/>
        </w:rPr>
        <w:t xml:space="preserve">It </w:t>
      </w:r>
      <w:r w:rsidRPr="00173F61">
        <w:rPr>
          <w:rFonts w:asciiTheme="majorBidi" w:hAnsiTheme="majorBidi" w:cstheme="majorBidi"/>
          <w:i/>
          <w:iCs/>
        </w:rPr>
        <w:t>doesn’t</w:t>
      </w:r>
      <w:r w:rsidR="00006424" w:rsidRPr="00173F61">
        <w:rPr>
          <w:rFonts w:asciiTheme="majorBidi" w:hAnsiTheme="majorBidi" w:cstheme="majorBidi"/>
          <w:i/>
          <w:iCs/>
        </w:rPr>
        <w:t xml:space="preserve"> apply to me at all</w:t>
      </w:r>
      <w:r w:rsidR="00006424" w:rsidRPr="00173F61">
        <w:rPr>
          <w:rFonts w:asciiTheme="majorBidi" w:hAnsiTheme="majorBidi" w:cstheme="majorBidi"/>
        </w:rPr>
        <w:t xml:space="preserve"> to 5 – </w:t>
      </w:r>
      <w:r w:rsidR="00006424" w:rsidRPr="00173F61">
        <w:rPr>
          <w:rFonts w:asciiTheme="majorBidi" w:hAnsiTheme="majorBidi" w:cstheme="majorBidi"/>
          <w:i/>
          <w:iCs/>
        </w:rPr>
        <w:t xml:space="preserve">It </w:t>
      </w:r>
      <w:r w:rsidRPr="00173F61">
        <w:rPr>
          <w:rFonts w:asciiTheme="majorBidi" w:hAnsiTheme="majorBidi" w:cstheme="majorBidi"/>
          <w:i/>
          <w:iCs/>
        </w:rPr>
        <w:t xml:space="preserve">completely </w:t>
      </w:r>
      <w:r w:rsidR="00006424" w:rsidRPr="00173F61">
        <w:rPr>
          <w:rFonts w:asciiTheme="majorBidi" w:hAnsiTheme="majorBidi" w:cstheme="majorBidi"/>
          <w:i/>
          <w:iCs/>
        </w:rPr>
        <w:t>applies to me</w:t>
      </w:r>
      <w:r w:rsidR="00CB0260" w:rsidRPr="00173F61">
        <w:rPr>
          <w:rFonts w:asciiTheme="majorBidi" w:hAnsiTheme="majorBidi" w:cstheme="majorBidi"/>
        </w:rPr>
        <w:t xml:space="preserve">; </w:t>
      </w:r>
      <w:r w:rsidR="00CB0260" w:rsidRPr="00173F61">
        <w:rPr>
          <w:rFonts w:ascii="Calibri" w:hAnsi="Calibri" w:cs="Calibri"/>
        </w:rPr>
        <w:t>α</w:t>
      </w:r>
      <w:r w:rsidR="00006424" w:rsidRPr="00173F61">
        <w:rPr>
          <w:rFonts w:ascii="Calibri" w:hAnsi="Calibri" w:cs="Calibri"/>
        </w:rPr>
        <w:t xml:space="preserve"> </w:t>
      </w:r>
      <w:r w:rsidR="00CB0260" w:rsidRPr="00173F61">
        <w:rPr>
          <w:rFonts w:asciiTheme="majorBidi" w:hAnsiTheme="majorBidi" w:cstheme="majorBidi"/>
        </w:rPr>
        <w:t>=.8</w:t>
      </w:r>
      <w:r w:rsidR="00F644A5" w:rsidRPr="00173F61">
        <w:rPr>
          <w:rFonts w:asciiTheme="majorBidi" w:hAnsiTheme="majorBidi" w:cstheme="majorBidi"/>
        </w:rPr>
        <w:t>2</w:t>
      </w:r>
      <w:r w:rsidR="00C252A6" w:rsidRPr="00173F61">
        <w:rPr>
          <w:rFonts w:asciiTheme="majorBidi" w:hAnsiTheme="majorBidi" w:cstheme="majorBidi"/>
        </w:rPr>
        <w:t>1). The average result</w:t>
      </w:r>
      <w:r w:rsidR="00CB0260" w:rsidRPr="00173F61">
        <w:rPr>
          <w:rFonts w:asciiTheme="majorBidi" w:hAnsiTheme="majorBidi" w:cstheme="majorBidi"/>
        </w:rPr>
        <w:t xml:space="preserve"> </w:t>
      </w:r>
      <w:r w:rsidRPr="00173F61">
        <w:rPr>
          <w:rFonts w:asciiTheme="majorBidi" w:hAnsiTheme="majorBidi" w:cstheme="majorBidi"/>
        </w:rPr>
        <w:t xml:space="preserve">on all </w:t>
      </w:r>
      <w:r w:rsidR="00C252A6" w:rsidRPr="00173F61">
        <w:rPr>
          <w:rFonts w:asciiTheme="majorBidi" w:hAnsiTheme="majorBidi" w:cstheme="majorBidi"/>
        </w:rPr>
        <w:t xml:space="preserve">five </w:t>
      </w:r>
      <w:r w:rsidR="00CB0260" w:rsidRPr="00173F61">
        <w:rPr>
          <w:rFonts w:asciiTheme="majorBidi" w:hAnsiTheme="majorBidi" w:cstheme="majorBidi"/>
        </w:rPr>
        <w:t xml:space="preserve">items </w:t>
      </w:r>
      <w:proofErr w:type="gramStart"/>
      <w:r w:rsidR="0076174B" w:rsidRPr="00173F61">
        <w:rPr>
          <w:rFonts w:asciiTheme="majorBidi" w:hAnsiTheme="majorBidi" w:cstheme="majorBidi"/>
        </w:rPr>
        <w:t>was</w:t>
      </w:r>
      <w:r w:rsidR="00CB0260" w:rsidRPr="00173F61">
        <w:rPr>
          <w:rFonts w:asciiTheme="majorBidi" w:hAnsiTheme="majorBidi" w:cstheme="majorBidi"/>
        </w:rPr>
        <w:t xml:space="preserve"> used</w:t>
      </w:r>
      <w:proofErr w:type="gramEnd"/>
      <w:r w:rsidR="00CB0260" w:rsidRPr="00173F61">
        <w:rPr>
          <w:rFonts w:asciiTheme="majorBidi" w:hAnsiTheme="majorBidi" w:cstheme="majorBidi"/>
        </w:rPr>
        <w:t xml:space="preserve"> as </w:t>
      </w:r>
      <w:r w:rsidR="00196AF6" w:rsidRPr="00173F61">
        <w:rPr>
          <w:rFonts w:asciiTheme="majorBidi" w:hAnsiTheme="majorBidi" w:cstheme="majorBidi"/>
        </w:rPr>
        <w:t xml:space="preserve">a </w:t>
      </w:r>
      <w:r w:rsidR="0076174B" w:rsidRPr="00173F61">
        <w:rPr>
          <w:rFonts w:asciiTheme="majorBidi" w:hAnsiTheme="majorBidi" w:cstheme="majorBidi"/>
        </w:rPr>
        <w:t>predictor</w:t>
      </w:r>
      <w:r w:rsidR="00CB0260" w:rsidRPr="00173F61">
        <w:rPr>
          <w:rFonts w:asciiTheme="majorBidi" w:hAnsiTheme="majorBidi" w:cstheme="majorBidi"/>
        </w:rPr>
        <w:t>.</w:t>
      </w:r>
    </w:p>
    <w:p w14:paraId="157C3439" w14:textId="65F08815" w:rsidR="00F02ED7" w:rsidRPr="00173F61" w:rsidRDefault="009535BF" w:rsidP="00113B5A">
      <w:pPr>
        <w:pStyle w:val="Heading3"/>
        <w:rPr>
          <w:rFonts w:asciiTheme="majorBidi" w:hAnsiTheme="majorBidi" w:cstheme="majorBidi"/>
          <w:i w:val="0"/>
          <w:szCs w:val="24"/>
        </w:rPr>
      </w:pPr>
      <w:r w:rsidRPr="00173F61">
        <w:rPr>
          <w:rFonts w:asciiTheme="majorBidi" w:hAnsiTheme="majorBidi" w:cstheme="majorBidi"/>
          <w:szCs w:val="24"/>
        </w:rPr>
        <w:t>School</w:t>
      </w:r>
      <w:r w:rsidR="00F02ED7" w:rsidRPr="00173F61">
        <w:rPr>
          <w:rFonts w:asciiTheme="majorBidi" w:hAnsiTheme="majorBidi" w:cstheme="majorBidi"/>
          <w:szCs w:val="24"/>
        </w:rPr>
        <w:t xml:space="preserve"> </w:t>
      </w:r>
      <w:r w:rsidR="00A25638" w:rsidRPr="00173F61">
        <w:rPr>
          <w:rFonts w:asciiTheme="majorBidi" w:hAnsiTheme="majorBidi" w:cstheme="majorBidi"/>
          <w:szCs w:val="24"/>
        </w:rPr>
        <w:t>G</w:t>
      </w:r>
      <w:r w:rsidR="00F02ED7" w:rsidRPr="00173F61">
        <w:rPr>
          <w:rFonts w:asciiTheme="majorBidi" w:hAnsiTheme="majorBidi" w:cstheme="majorBidi"/>
          <w:szCs w:val="24"/>
        </w:rPr>
        <w:t xml:space="preserve">rade </w:t>
      </w:r>
      <w:r w:rsidR="00A25638" w:rsidRPr="00173F61">
        <w:rPr>
          <w:rFonts w:asciiTheme="majorBidi" w:hAnsiTheme="majorBidi" w:cstheme="majorBidi"/>
          <w:szCs w:val="24"/>
        </w:rPr>
        <w:t>P</w:t>
      </w:r>
      <w:r w:rsidR="00F02ED7" w:rsidRPr="00173F61">
        <w:rPr>
          <w:rFonts w:asciiTheme="majorBidi" w:hAnsiTheme="majorBidi" w:cstheme="majorBidi"/>
          <w:szCs w:val="24"/>
        </w:rPr>
        <w:t xml:space="preserve">oint </w:t>
      </w:r>
      <w:r w:rsidR="00A25638" w:rsidRPr="00173F61">
        <w:rPr>
          <w:rFonts w:asciiTheme="majorBidi" w:hAnsiTheme="majorBidi" w:cstheme="majorBidi"/>
          <w:szCs w:val="24"/>
        </w:rPr>
        <w:t>A</w:t>
      </w:r>
      <w:r w:rsidR="00F02ED7" w:rsidRPr="00173F61">
        <w:rPr>
          <w:rFonts w:asciiTheme="majorBidi" w:hAnsiTheme="majorBidi" w:cstheme="majorBidi"/>
          <w:szCs w:val="24"/>
        </w:rPr>
        <w:t>verage</w:t>
      </w:r>
    </w:p>
    <w:p w14:paraId="58EC2D0C" w14:textId="606A8AB9" w:rsidR="00F02ED7" w:rsidRPr="00173F61" w:rsidRDefault="00D94764" w:rsidP="004C08CD">
      <w:pPr>
        <w:pStyle w:val="Paragraph"/>
        <w:rPr>
          <w:rFonts w:asciiTheme="majorBidi" w:hAnsiTheme="majorBidi" w:cstheme="majorBidi"/>
        </w:rPr>
      </w:pPr>
      <w:r w:rsidRPr="00173F61">
        <w:rPr>
          <w:rFonts w:asciiTheme="majorBidi" w:hAnsiTheme="majorBidi" w:cstheme="majorBidi"/>
        </w:rPr>
        <w:t>Overall grade point averages (final grade point averages at the end of 5</w:t>
      </w:r>
      <w:r w:rsidRPr="00173F61">
        <w:rPr>
          <w:rFonts w:asciiTheme="majorBidi" w:hAnsiTheme="majorBidi" w:cstheme="majorBidi"/>
          <w:vertAlign w:val="superscript"/>
        </w:rPr>
        <w:t>th</w:t>
      </w:r>
      <w:r w:rsidRPr="00173F61">
        <w:rPr>
          <w:rFonts w:asciiTheme="majorBidi" w:hAnsiTheme="majorBidi" w:cstheme="majorBidi"/>
        </w:rPr>
        <w:t>, 6</w:t>
      </w:r>
      <w:r w:rsidRPr="00173F61">
        <w:rPr>
          <w:rFonts w:asciiTheme="majorBidi" w:hAnsiTheme="majorBidi" w:cstheme="majorBidi"/>
          <w:vertAlign w:val="superscript"/>
        </w:rPr>
        <w:t>th</w:t>
      </w:r>
      <w:r w:rsidRPr="00173F61">
        <w:rPr>
          <w:rFonts w:asciiTheme="majorBidi" w:hAnsiTheme="majorBidi" w:cstheme="majorBidi"/>
        </w:rPr>
        <w:t>, 7</w:t>
      </w:r>
      <w:r w:rsidRPr="00173F61">
        <w:rPr>
          <w:rFonts w:asciiTheme="majorBidi" w:hAnsiTheme="majorBidi" w:cstheme="majorBidi"/>
          <w:vertAlign w:val="superscript"/>
        </w:rPr>
        <w:t>th</w:t>
      </w:r>
      <w:r w:rsidRPr="00173F61">
        <w:rPr>
          <w:rFonts w:asciiTheme="majorBidi" w:hAnsiTheme="majorBidi" w:cstheme="majorBidi"/>
        </w:rPr>
        <w:t xml:space="preserve"> and 8</w:t>
      </w:r>
      <w:r w:rsidRPr="00173F61">
        <w:rPr>
          <w:rFonts w:asciiTheme="majorBidi" w:hAnsiTheme="majorBidi" w:cstheme="majorBidi"/>
          <w:vertAlign w:val="superscript"/>
        </w:rPr>
        <w:t>th</w:t>
      </w:r>
      <w:r w:rsidRPr="00173F61">
        <w:rPr>
          <w:rFonts w:asciiTheme="majorBidi" w:hAnsiTheme="majorBidi" w:cstheme="majorBidi"/>
        </w:rPr>
        <w:t xml:space="preserve"> grades) </w:t>
      </w:r>
      <w:r w:rsidR="00F02ED7" w:rsidRPr="00173F61">
        <w:rPr>
          <w:rFonts w:asciiTheme="majorBidi" w:hAnsiTheme="majorBidi" w:cstheme="majorBidi"/>
        </w:rPr>
        <w:t xml:space="preserve">for </w:t>
      </w:r>
      <w:r w:rsidR="00DD497C" w:rsidRPr="00173F61">
        <w:rPr>
          <w:rFonts w:asciiTheme="majorBidi" w:hAnsiTheme="majorBidi" w:cstheme="majorBidi"/>
        </w:rPr>
        <w:t xml:space="preserve">all </w:t>
      </w:r>
      <w:r w:rsidR="00F02ED7" w:rsidRPr="00173F61">
        <w:rPr>
          <w:rFonts w:asciiTheme="majorBidi" w:hAnsiTheme="majorBidi" w:cstheme="majorBidi"/>
        </w:rPr>
        <w:t xml:space="preserve">pupils </w:t>
      </w:r>
      <w:r w:rsidRPr="00173F61">
        <w:rPr>
          <w:rFonts w:asciiTheme="majorBidi" w:hAnsiTheme="majorBidi" w:cstheme="majorBidi"/>
        </w:rPr>
        <w:t xml:space="preserve">from the generation previous to the cohort participating in this study </w:t>
      </w:r>
      <w:r w:rsidR="00F02ED7" w:rsidRPr="00173F61">
        <w:rPr>
          <w:rFonts w:asciiTheme="majorBidi" w:hAnsiTheme="majorBidi" w:cstheme="majorBidi"/>
        </w:rPr>
        <w:t>(</w:t>
      </w:r>
      <w:r w:rsidRPr="00173F61">
        <w:rPr>
          <w:rFonts w:asciiTheme="majorBidi" w:hAnsiTheme="majorBidi" w:cstheme="majorBidi"/>
        </w:rPr>
        <w:t xml:space="preserve">i.e. who completed </w:t>
      </w:r>
      <w:r w:rsidR="00336588" w:rsidRPr="00173F61">
        <w:rPr>
          <w:rFonts w:asciiTheme="majorBidi" w:hAnsiTheme="majorBidi" w:cstheme="majorBidi"/>
        </w:rPr>
        <w:t>elementary</w:t>
      </w:r>
      <w:r w:rsidR="00F02ED7" w:rsidRPr="00173F61">
        <w:rPr>
          <w:rFonts w:asciiTheme="majorBidi" w:hAnsiTheme="majorBidi" w:cstheme="majorBidi"/>
        </w:rPr>
        <w:t xml:space="preserve"> school in 2014) were calculated for every school in</w:t>
      </w:r>
      <w:r w:rsidRPr="00173F61">
        <w:rPr>
          <w:rFonts w:asciiTheme="majorBidi" w:hAnsiTheme="majorBidi" w:cstheme="majorBidi"/>
        </w:rPr>
        <w:t>cluded</w:t>
      </w:r>
      <w:r w:rsidR="00F02ED7" w:rsidRPr="00173F61">
        <w:rPr>
          <w:rFonts w:asciiTheme="majorBidi" w:hAnsiTheme="majorBidi" w:cstheme="majorBidi"/>
        </w:rPr>
        <w:t xml:space="preserve"> </w:t>
      </w:r>
      <w:r w:rsidR="004B3DFB" w:rsidRPr="00173F61">
        <w:rPr>
          <w:rFonts w:asciiTheme="majorBidi" w:hAnsiTheme="majorBidi" w:cstheme="majorBidi"/>
        </w:rPr>
        <w:t xml:space="preserve">in </w:t>
      </w:r>
      <w:r w:rsidR="00F02ED7" w:rsidRPr="00173F61">
        <w:rPr>
          <w:rFonts w:asciiTheme="majorBidi" w:hAnsiTheme="majorBidi" w:cstheme="majorBidi"/>
        </w:rPr>
        <w:t>the sample</w:t>
      </w:r>
      <w:r w:rsidRPr="00173F61">
        <w:rPr>
          <w:rFonts w:asciiTheme="majorBidi" w:hAnsiTheme="majorBidi" w:cstheme="majorBidi"/>
        </w:rPr>
        <w:t xml:space="preserve">. This data </w:t>
      </w:r>
      <w:proofErr w:type="gramStart"/>
      <w:r w:rsidRPr="00173F61">
        <w:rPr>
          <w:rFonts w:asciiTheme="majorBidi" w:hAnsiTheme="majorBidi" w:cstheme="majorBidi"/>
        </w:rPr>
        <w:t>was calculated</w:t>
      </w:r>
      <w:proofErr w:type="gramEnd"/>
      <w:r w:rsidR="00F02ED7" w:rsidRPr="00173F61">
        <w:rPr>
          <w:rFonts w:asciiTheme="majorBidi" w:hAnsiTheme="majorBidi" w:cstheme="majorBidi"/>
        </w:rPr>
        <w:t xml:space="preserve"> based on information taken from e-</w:t>
      </w:r>
      <w:proofErr w:type="spellStart"/>
      <w:r w:rsidR="00F02ED7" w:rsidRPr="00173F61">
        <w:rPr>
          <w:rFonts w:asciiTheme="majorBidi" w:hAnsiTheme="majorBidi" w:cstheme="majorBidi"/>
        </w:rPr>
        <w:t>Matica</w:t>
      </w:r>
      <w:proofErr w:type="spellEnd"/>
      <w:r w:rsidRPr="00173F61">
        <w:rPr>
          <w:rFonts w:asciiTheme="majorBidi" w:hAnsiTheme="majorBidi" w:cstheme="majorBidi"/>
        </w:rPr>
        <w:t xml:space="preserve">, </w:t>
      </w:r>
      <w:r w:rsidR="00F02ED7" w:rsidRPr="00173F61">
        <w:rPr>
          <w:rFonts w:asciiTheme="majorBidi" w:hAnsiTheme="majorBidi" w:cstheme="majorBidi"/>
        </w:rPr>
        <w:t xml:space="preserve">an electronic database of all students in </w:t>
      </w:r>
      <w:r w:rsidR="00336588" w:rsidRPr="00173F61">
        <w:rPr>
          <w:rFonts w:asciiTheme="majorBidi" w:hAnsiTheme="majorBidi" w:cstheme="majorBidi"/>
        </w:rPr>
        <w:t>elementary</w:t>
      </w:r>
      <w:r w:rsidR="00F02ED7" w:rsidRPr="00173F61">
        <w:rPr>
          <w:rFonts w:asciiTheme="majorBidi" w:hAnsiTheme="majorBidi" w:cstheme="majorBidi"/>
        </w:rPr>
        <w:t xml:space="preserve"> and </w:t>
      </w:r>
      <w:r w:rsidR="00FE74AF" w:rsidRPr="00173F61">
        <w:rPr>
          <w:rFonts w:asciiTheme="majorBidi" w:hAnsiTheme="majorBidi" w:cstheme="majorBidi"/>
        </w:rPr>
        <w:t xml:space="preserve">upper </w:t>
      </w:r>
      <w:r w:rsidR="00F02ED7" w:rsidRPr="00173F61">
        <w:rPr>
          <w:rFonts w:asciiTheme="majorBidi" w:hAnsiTheme="majorBidi" w:cstheme="majorBidi"/>
        </w:rPr>
        <w:t>secondary schools in Croatia (e.g. CARN</w:t>
      </w:r>
      <w:r w:rsidR="000918F8">
        <w:rPr>
          <w:rFonts w:asciiTheme="majorBidi" w:hAnsiTheme="majorBidi" w:cstheme="majorBidi"/>
        </w:rPr>
        <w:t>ET</w:t>
      </w:r>
      <w:r w:rsidR="00F02ED7" w:rsidRPr="00173F61">
        <w:rPr>
          <w:rFonts w:asciiTheme="majorBidi" w:hAnsiTheme="majorBidi" w:cstheme="majorBidi"/>
        </w:rPr>
        <w:t xml:space="preserve"> 2018a). </w:t>
      </w:r>
      <w:r w:rsidRPr="00173F61">
        <w:rPr>
          <w:rFonts w:asciiTheme="majorBidi" w:hAnsiTheme="majorBidi" w:cstheme="majorBidi"/>
        </w:rPr>
        <w:t>In addition</w:t>
      </w:r>
      <w:r w:rsidR="00F02ED7" w:rsidRPr="00173F61">
        <w:rPr>
          <w:rFonts w:asciiTheme="majorBidi" w:hAnsiTheme="majorBidi" w:cstheme="majorBidi"/>
        </w:rPr>
        <w:t xml:space="preserve">, the percentages of pupils who applied for </w:t>
      </w:r>
      <w:r w:rsidR="001D5253" w:rsidRPr="00173F61">
        <w:rPr>
          <w:rFonts w:asciiTheme="majorBidi" w:hAnsiTheme="majorBidi" w:cstheme="majorBidi"/>
        </w:rPr>
        <w:t xml:space="preserve">three-year </w:t>
      </w:r>
      <w:r w:rsidR="003610D9" w:rsidRPr="00173F61">
        <w:rPr>
          <w:rFonts w:asciiTheme="majorBidi" w:hAnsiTheme="majorBidi" w:cstheme="majorBidi"/>
        </w:rPr>
        <w:t>VET</w:t>
      </w:r>
      <w:r w:rsidR="001D5253" w:rsidRPr="00173F61">
        <w:rPr>
          <w:rFonts w:asciiTheme="majorBidi" w:hAnsiTheme="majorBidi" w:cstheme="majorBidi"/>
        </w:rPr>
        <w:t xml:space="preserve"> programmes</w:t>
      </w:r>
      <w:r w:rsidR="00F02ED7" w:rsidRPr="00173F61">
        <w:rPr>
          <w:rFonts w:asciiTheme="majorBidi" w:hAnsiTheme="majorBidi" w:cstheme="majorBidi"/>
        </w:rPr>
        <w:t xml:space="preserve">, as well as the percentages of pupils who </w:t>
      </w:r>
      <w:r w:rsidRPr="00173F61">
        <w:rPr>
          <w:rFonts w:asciiTheme="majorBidi" w:hAnsiTheme="majorBidi" w:cstheme="majorBidi"/>
        </w:rPr>
        <w:t xml:space="preserve">eventually </w:t>
      </w:r>
      <w:r w:rsidR="00F02ED7" w:rsidRPr="00173F61">
        <w:rPr>
          <w:rFonts w:asciiTheme="majorBidi" w:hAnsiTheme="majorBidi" w:cstheme="majorBidi"/>
        </w:rPr>
        <w:t xml:space="preserve">enrolled in </w:t>
      </w:r>
      <w:r w:rsidR="00DD497C" w:rsidRPr="00173F61">
        <w:rPr>
          <w:rFonts w:asciiTheme="majorBidi" w:hAnsiTheme="majorBidi" w:cstheme="majorBidi"/>
        </w:rPr>
        <w:t xml:space="preserve">this </w:t>
      </w:r>
      <w:r w:rsidR="00F02ED7" w:rsidRPr="00173F61">
        <w:rPr>
          <w:rFonts w:asciiTheme="majorBidi" w:hAnsiTheme="majorBidi" w:cstheme="majorBidi"/>
        </w:rPr>
        <w:t xml:space="preserve">type of </w:t>
      </w:r>
      <w:r w:rsidR="00AC19DC" w:rsidRPr="00173F61">
        <w:rPr>
          <w:rFonts w:asciiTheme="majorBidi" w:hAnsiTheme="majorBidi" w:cstheme="majorBidi"/>
        </w:rPr>
        <w:t xml:space="preserve">upper </w:t>
      </w:r>
      <w:r w:rsidR="00F02ED7" w:rsidRPr="00173F61">
        <w:rPr>
          <w:rFonts w:asciiTheme="majorBidi" w:hAnsiTheme="majorBidi" w:cstheme="majorBidi"/>
        </w:rPr>
        <w:t>secondary</w:t>
      </w:r>
      <w:r w:rsidR="001D5253" w:rsidRPr="00173F61">
        <w:rPr>
          <w:rFonts w:asciiTheme="majorBidi" w:hAnsiTheme="majorBidi" w:cstheme="majorBidi"/>
        </w:rPr>
        <w:t xml:space="preserve"> school programme</w:t>
      </w:r>
      <w:r w:rsidR="00F02ED7" w:rsidRPr="00173F61">
        <w:rPr>
          <w:rFonts w:asciiTheme="majorBidi" w:hAnsiTheme="majorBidi" w:cstheme="majorBidi"/>
        </w:rPr>
        <w:t xml:space="preserve">, </w:t>
      </w:r>
      <w:proofErr w:type="gramStart"/>
      <w:r w:rsidR="00F02ED7" w:rsidRPr="00173F61">
        <w:rPr>
          <w:rFonts w:asciiTheme="majorBidi" w:hAnsiTheme="majorBidi" w:cstheme="majorBidi"/>
        </w:rPr>
        <w:t>were calculated</w:t>
      </w:r>
      <w:proofErr w:type="gramEnd"/>
      <w:r w:rsidR="00F02ED7" w:rsidRPr="00173F61">
        <w:rPr>
          <w:rFonts w:asciiTheme="majorBidi" w:hAnsiTheme="majorBidi" w:cstheme="majorBidi"/>
        </w:rPr>
        <w:t xml:space="preserve"> for every school using data from the National Information System of Application and Enrolment into Secondary Schools (NISAESS; CARN</w:t>
      </w:r>
      <w:r w:rsidR="000918F8">
        <w:rPr>
          <w:rFonts w:asciiTheme="majorBidi" w:hAnsiTheme="majorBidi" w:cstheme="majorBidi"/>
        </w:rPr>
        <w:t>ET</w:t>
      </w:r>
      <w:r w:rsidR="00F02ED7" w:rsidRPr="00173F61">
        <w:rPr>
          <w:rFonts w:asciiTheme="majorBidi" w:hAnsiTheme="majorBidi" w:cstheme="majorBidi"/>
        </w:rPr>
        <w:t xml:space="preserve"> 2018b). </w:t>
      </w:r>
      <w:r w:rsidR="00DD497C" w:rsidRPr="00173F61">
        <w:rPr>
          <w:rFonts w:asciiTheme="majorBidi" w:hAnsiTheme="majorBidi" w:cstheme="majorBidi"/>
        </w:rPr>
        <w:t>School</w:t>
      </w:r>
      <w:r w:rsidR="00F02ED7" w:rsidRPr="00173F61">
        <w:rPr>
          <w:rFonts w:asciiTheme="majorBidi" w:hAnsiTheme="majorBidi" w:cstheme="majorBidi"/>
        </w:rPr>
        <w:t xml:space="preserve"> grade point averages were </w:t>
      </w:r>
      <w:r w:rsidR="00DD497C" w:rsidRPr="00173F61">
        <w:rPr>
          <w:rFonts w:asciiTheme="majorBidi" w:hAnsiTheme="majorBidi" w:cstheme="majorBidi"/>
        </w:rPr>
        <w:t xml:space="preserve">highly </w:t>
      </w:r>
      <w:r w:rsidR="00F02ED7" w:rsidRPr="00173F61">
        <w:rPr>
          <w:rFonts w:asciiTheme="majorBidi" w:hAnsiTheme="majorBidi" w:cstheme="majorBidi"/>
        </w:rPr>
        <w:t>negative</w:t>
      </w:r>
      <w:r w:rsidR="00DD497C" w:rsidRPr="00173F61">
        <w:rPr>
          <w:rFonts w:asciiTheme="majorBidi" w:hAnsiTheme="majorBidi" w:cstheme="majorBidi"/>
        </w:rPr>
        <w:t>ly</w:t>
      </w:r>
      <w:r w:rsidR="00F02ED7" w:rsidRPr="00173F61">
        <w:rPr>
          <w:rFonts w:asciiTheme="majorBidi" w:hAnsiTheme="majorBidi" w:cstheme="majorBidi"/>
        </w:rPr>
        <w:t xml:space="preserve"> correlat</w:t>
      </w:r>
      <w:r w:rsidR="00DD497C" w:rsidRPr="00173F61">
        <w:rPr>
          <w:rFonts w:asciiTheme="majorBidi" w:hAnsiTheme="majorBidi" w:cstheme="majorBidi"/>
        </w:rPr>
        <w:t>ed</w:t>
      </w:r>
      <w:r w:rsidR="00F02ED7" w:rsidRPr="00173F61">
        <w:rPr>
          <w:rFonts w:asciiTheme="majorBidi" w:hAnsiTheme="majorBidi" w:cstheme="majorBidi"/>
        </w:rPr>
        <w:t xml:space="preserve"> with </w:t>
      </w:r>
      <w:r w:rsidR="00DD497C" w:rsidRPr="00173F61">
        <w:rPr>
          <w:rFonts w:asciiTheme="majorBidi" w:hAnsiTheme="majorBidi" w:cstheme="majorBidi"/>
        </w:rPr>
        <w:t>the proportion</w:t>
      </w:r>
      <w:r w:rsidR="00F02ED7" w:rsidRPr="00173F61">
        <w:rPr>
          <w:rFonts w:asciiTheme="majorBidi" w:hAnsiTheme="majorBidi" w:cstheme="majorBidi"/>
        </w:rPr>
        <w:t xml:space="preserve"> of pupils who applied for </w:t>
      </w:r>
      <w:r w:rsidR="001D5253" w:rsidRPr="00173F61">
        <w:rPr>
          <w:rFonts w:asciiTheme="majorBidi" w:hAnsiTheme="majorBidi" w:cstheme="majorBidi"/>
        </w:rPr>
        <w:t xml:space="preserve">three-year </w:t>
      </w:r>
      <w:r w:rsidR="00541EC4" w:rsidRPr="00173F61">
        <w:rPr>
          <w:rFonts w:asciiTheme="majorBidi" w:hAnsiTheme="majorBidi" w:cstheme="majorBidi"/>
        </w:rPr>
        <w:t>VET</w:t>
      </w:r>
      <w:r w:rsidR="001D5253" w:rsidRPr="00173F61">
        <w:rPr>
          <w:rFonts w:asciiTheme="majorBidi" w:hAnsiTheme="majorBidi" w:cstheme="majorBidi"/>
        </w:rPr>
        <w:t xml:space="preserve"> programmes</w:t>
      </w:r>
      <w:r w:rsidR="00F02ED7" w:rsidRPr="00173F61">
        <w:rPr>
          <w:rFonts w:asciiTheme="majorBidi" w:hAnsiTheme="majorBidi" w:cstheme="majorBidi"/>
        </w:rPr>
        <w:t xml:space="preserve"> (</w:t>
      </w:r>
      <w:r w:rsidR="00F02ED7" w:rsidRPr="00173F61">
        <w:rPr>
          <w:rFonts w:asciiTheme="majorBidi" w:hAnsiTheme="majorBidi" w:cstheme="majorBidi"/>
          <w:i/>
          <w:iCs/>
        </w:rPr>
        <w:t>r</w:t>
      </w:r>
      <w:r w:rsidR="00F02ED7" w:rsidRPr="00173F61">
        <w:rPr>
          <w:rFonts w:asciiTheme="majorBidi" w:hAnsiTheme="majorBidi" w:cstheme="majorBidi"/>
        </w:rPr>
        <w:t xml:space="preserve"> = -.927)</w:t>
      </w:r>
      <w:r w:rsidR="00DD497C" w:rsidRPr="00173F61">
        <w:rPr>
          <w:rFonts w:asciiTheme="majorBidi" w:hAnsiTheme="majorBidi" w:cstheme="majorBidi"/>
        </w:rPr>
        <w:t xml:space="preserve"> and</w:t>
      </w:r>
      <w:r w:rsidR="00F02ED7" w:rsidRPr="00173F61">
        <w:rPr>
          <w:rFonts w:asciiTheme="majorBidi" w:hAnsiTheme="majorBidi" w:cstheme="majorBidi"/>
        </w:rPr>
        <w:t xml:space="preserve"> </w:t>
      </w:r>
      <w:r w:rsidR="00585D21" w:rsidRPr="00173F61">
        <w:rPr>
          <w:rFonts w:asciiTheme="majorBidi" w:hAnsiTheme="majorBidi" w:cstheme="majorBidi"/>
        </w:rPr>
        <w:t xml:space="preserve">the proportion of pupils </w:t>
      </w:r>
      <w:r w:rsidR="00F02ED7" w:rsidRPr="00173F61">
        <w:rPr>
          <w:rFonts w:asciiTheme="majorBidi" w:hAnsiTheme="majorBidi" w:cstheme="majorBidi"/>
        </w:rPr>
        <w:t xml:space="preserve">who enrolled in </w:t>
      </w:r>
      <w:r w:rsidR="00DD497C" w:rsidRPr="00173F61">
        <w:rPr>
          <w:rFonts w:asciiTheme="majorBidi" w:hAnsiTheme="majorBidi" w:cstheme="majorBidi"/>
        </w:rPr>
        <w:t xml:space="preserve">this </w:t>
      </w:r>
      <w:r w:rsidR="00F02ED7" w:rsidRPr="00173F61">
        <w:rPr>
          <w:rFonts w:asciiTheme="majorBidi" w:hAnsiTheme="majorBidi" w:cstheme="majorBidi"/>
        </w:rPr>
        <w:t xml:space="preserve">type of </w:t>
      </w:r>
      <w:r w:rsidR="001D5253" w:rsidRPr="00173F61">
        <w:rPr>
          <w:rFonts w:asciiTheme="majorBidi" w:hAnsiTheme="majorBidi" w:cstheme="majorBidi"/>
        </w:rPr>
        <w:t>programme</w:t>
      </w:r>
      <w:r w:rsidR="00F02ED7" w:rsidRPr="00173F61">
        <w:rPr>
          <w:rFonts w:asciiTheme="majorBidi" w:hAnsiTheme="majorBidi" w:cstheme="majorBidi"/>
        </w:rPr>
        <w:t xml:space="preserve"> (</w:t>
      </w:r>
      <w:r w:rsidR="00F02ED7" w:rsidRPr="00173F61">
        <w:rPr>
          <w:rFonts w:asciiTheme="majorBidi" w:hAnsiTheme="majorBidi" w:cstheme="majorBidi"/>
          <w:i/>
          <w:iCs/>
        </w:rPr>
        <w:t>r</w:t>
      </w:r>
      <w:r w:rsidR="00F02ED7" w:rsidRPr="00173F61">
        <w:rPr>
          <w:rFonts w:asciiTheme="majorBidi" w:hAnsiTheme="majorBidi" w:cstheme="majorBidi"/>
        </w:rPr>
        <w:t xml:space="preserve"> = -.931). </w:t>
      </w:r>
      <w:r w:rsidR="00DD497C" w:rsidRPr="00173F61">
        <w:rPr>
          <w:rFonts w:asciiTheme="majorBidi" w:hAnsiTheme="majorBidi" w:cstheme="majorBidi"/>
        </w:rPr>
        <w:t>In light of</w:t>
      </w:r>
      <w:r w:rsidR="00F02ED7" w:rsidRPr="00173F61">
        <w:rPr>
          <w:rFonts w:asciiTheme="majorBidi" w:hAnsiTheme="majorBidi" w:cstheme="majorBidi"/>
        </w:rPr>
        <w:t xml:space="preserve"> problems with multicollinearity between </w:t>
      </w:r>
      <w:r w:rsidR="00DD497C" w:rsidRPr="00173F61">
        <w:rPr>
          <w:rFonts w:asciiTheme="majorBidi" w:hAnsiTheme="majorBidi" w:cstheme="majorBidi"/>
        </w:rPr>
        <w:t xml:space="preserve">these </w:t>
      </w:r>
      <w:r w:rsidR="00F02ED7" w:rsidRPr="00173F61">
        <w:rPr>
          <w:rFonts w:asciiTheme="majorBidi" w:hAnsiTheme="majorBidi" w:cstheme="majorBidi"/>
        </w:rPr>
        <w:t xml:space="preserve">three variables, </w:t>
      </w:r>
      <w:r w:rsidR="00DD497C" w:rsidRPr="00173F61">
        <w:rPr>
          <w:rFonts w:asciiTheme="majorBidi" w:hAnsiTheme="majorBidi" w:cstheme="majorBidi"/>
        </w:rPr>
        <w:t>only the school</w:t>
      </w:r>
      <w:r w:rsidR="00F02ED7" w:rsidRPr="00173F61">
        <w:rPr>
          <w:rFonts w:asciiTheme="majorBidi" w:hAnsiTheme="majorBidi" w:cstheme="majorBidi"/>
        </w:rPr>
        <w:t xml:space="preserve"> grade point average </w:t>
      </w:r>
      <w:proofErr w:type="gramStart"/>
      <w:r w:rsidR="00DD497C" w:rsidRPr="00173F61">
        <w:rPr>
          <w:rFonts w:asciiTheme="majorBidi" w:hAnsiTheme="majorBidi" w:cstheme="majorBidi"/>
        </w:rPr>
        <w:t xml:space="preserve">was </w:t>
      </w:r>
      <w:r w:rsidR="00DD497C" w:rsidRPr="00173F61">
        <w:rPr>
          <w:rFonts w:asciiTheme="majorBidi" w:hAnsiTheme="majorBidi" w:cstheme="majorBidi"/>
        </w:rPr>
        <w:lastRenderedPageBreak/>
        <w:t>used</w:t>
      </w:r>
      <w:proofErr w:type="gramEnd"/>
      <w:r w:rsidR="00DD497C" w:rsidRPr="00173F61">
        <w:rPr>
          <w:rFonts w:asciiTheme="majorBidi" w:hAnsiTheme="majorBidi" w:cstheme="majorBidi"/>
        </w:rPr>
        <w:t xml:space="preserve"> </w:t>
      </w:r>
      <w:r w:rsidR="00F02ED7" w:rsidRPr="00173F61">
        <w:rPr>
          <w:rFonts w:asciiTheme="majorBidi" w:hAnsiTheme="majorBidi" w:cstheme="majorBidi"/>
        </w:rPr>
        <w:t>as the predictor in our study.</w:t>
      </w:r>
    </w:p>
    <w:p w14:paraId="5E6B10EC" w14:textId="69A87B00" w:rsidR="00F02ED7" w:rsidRPr="00173F61" w:rsidRDefault="00F02ED7" w:rsidP="00113B5A">
      <w:pPr>
        <w:pStyle w:val="Heading3"/>
        <w:rPr>
          <w:rFonts w:asciiTheme="majorBidi" w:hAnsiTheme="majorBidi" w:cstheme="majorBidi"/>
          <w:i w:val="0"/>
          <w:szCs w:val="24"/>
        </w:rPr>
      </w:pPr>
      <w:r w:rsidRPr="00173F61">
        <w:rPr>
          <w:rFonts w:asciiTheme="majorBidi" w:hAnsiTheme="majorBidi" w:cstheme="majorBidi"/>
          <w:szCs w:val="24"/>
        </w:rPr>
        <w:t xml:space="preserve">School and </w:t>
      </w:r>
      <w:r w:rsidR="00425513" w:rsidRPr="00173F61">
        <w:rPr>
          <w:rFonts w:asciiTheme="majorBidi" w:hAnsiTheme="majorBidi" w:cstheme="majorBidi"/>
          <w:szCs w:val="24"/>
        </w:rPr>
        <w:t>C</w:t>
      </w:r>
      <w:r w:rsidRPr="00173F61">
        <w:rPr>
          <w:rFonts w:asciiTheme="majorBidi" w:hAnsiTheme="majorBidi" w:cstheme="majorBidi"/>
          <w:szCs w:val="24"/>
        </w:rPr>
        <w:t xml:space="preserve">lass </w:t>
      </w:r>
      <w:r w:rsidR="00425513" w:rsidRPr="00173F61">
        <w:rPr>
          <w:rFonts w:asciiTheme="majorBidi" w:hAnsiTheme="majorBidi" w:cstheme="majorBidi"/>
          <w:szCs w:val="24"/>
        </w:rPr>
        <w:t>S</w:t>
      </w:r>
      <w:r w:rsidRPr="00173F61">
        <w:rPr>
          <w:rFonts w:asciiTheme="majorBidi" w:hAnsiTheme="majorBidi" w:cstheme="majorBidi"/>
          <w:szCs w:val="24"/>
        </w:rPr>
        <w:t>ize</w:t>
      </w:r>
    </w:p>
    <w:p w14:paraId="4C750C12" w14:textId="6350B707" w:rsidR="00F02ED7" w:rsidRPr="00173F61" w:rsidRDefault="00F02ED7" w:rsidP="004C08CD">
      <w:pPr>
        <w:pStyle w:val="Paragraph"/>
        <w:rPr>
          <w:rFonts w:asciiTheme="majorBidi" w:hAnsiTheme="majorBidi" w:cstheme="majorBidi"/>
        </w:rPr>
      </w:pPr>
      <w:r w:rsidRPr="00173F61">
        <w:rPr>
          <w:rFonts w:asciiTheme="majorBidi" w:hAnsiTheme="majorBidi" w:cstheme="majorBidi"/>
        </w:rPr>
        <w:t>For every school in</w:t>
      </w:r>
      <w:r w:rsidR="00DD497C" w:rsidRPr="00173F61">
        <w:rPr>
          <w:rFonts w:asciiTheme="majorBidi" w:hAnsiTheme="majorBidi" w:cstheme="majorBidi"/>
        </w:rPr>
        <w:t>cluded in the</w:t>
      </w:r>
      <w:r w:rsidRPr="00173F61">
        <w:rPr>
          <w:rFonts w:asciiTheme="majorBidi" w:hAnsiTheme="majorBidi" w:cstheme="majorBidi"/>
        </w:rPr>
        <w:t xml:space="preserve"> sample,</w:t>
      </w:r>
      <w:r w:rsidR="00DD497C" w:rsidRPr="00173F61">
        <w:rPr>
          <w:rFonts w:asciiTheme="majorBidi" w:hAnsiTheme="majorBidi" w:cstheme="majorBidi"/>
        </w:rPr>
        <w:t xml:space="preserve"> data </w:t>
      </w:r>
      <w:r w:rsidR="00585D21" w:rsidRPr="00173F61">
        <w:rPr>
          <w:rFonts w:asciiTheme="majorBidi" w:hAnsiTheme="majorBidi" w:cstheme="majorBidi"/>
        </w:rPr>
        <w:t>regarding</w:t>
      </w:r>
      <w:r w:rsidRPr="00173F61">
        <w:rPr>
          <w:rFonts w:asciiTheme="majorBidi" w:hAnsiTheme="majorBidi" w:cstheme="majorBidi"/>
        </w:rPr>
        <w:t xml:space="preserve"> the total number of students and the total number of classes in the 2017/18 </w:t>
      </w:r>
      <w:r w:rsidR="00DD497C" w:rsidRPr="00173F61">
        <w:rPr>
          <w:rFonts w:asciiTheme="majorBidi" w:hAnsiTheme="majorBidi" w:cstheme="majorBidi"/>
        </w:rPr>
        <w:t xml:space="preserve">academic year </w:t>
      </w:r>
      <w:r w:rsidRPr="00173F61">
        <w:rPr>
          <w:rFonts w:asciiTheme="majorBidi" w:hAnsiTheme="majorBidi" w:cstheme="majorBidi"/>
        </w:rPr>
        <w:t xml:space="preserve">were </w:t>
      </w:r>
      <w:r w:rsidR="00DD497C" w:rsidRPr="00173F61">
        <w:rPr>
          <w:rFonts w:asciiTheme="majorBidi" w:hAnsiTheme="majorBidi" w:cstheme="majorBidi"/>
        </w:rPr>
        <w:t xml:space="preserve">obtained </w:t>
      </w:r>
      <w:r w:rsidRPr="00173F61">
        <w:rPr>
          <w:rFonts w:asciiTheme="majorBidi" w:hAnsiTheme="majorBidi" w:cstheme="majorBidi"/>
        </w:rPr>
        <w:t>from the School e-Mine</w:t>
      </w:r>
      <w:r w:rsidR="00585D21" w:rsidRPr="00173F61">
        <w:rPr>
          <w:rFonts w:asciiTheme="majorBidi" w:hAnsiTheme="majorBidi" w:cstheme="majorBidi"/>
        </w:rPr>
        <w:t>, a</w:t>
      </w:r>
      <w:r w:rsidRPr="00173F61">
        <w:rPr>
          <w:rFonts w:asciiTheme="majorBidi" w:hAnsiTheme="majorBidi" w:cstheme="majorBidi"/>
        </w:rPr>
        <w:t xml:space="preserve"> database</w:t>
      </w:r>
      <w:r w:rsidR="00585D21" w:rsidRPr="00173F61">
        <w:rPr>
          <w:rFonts w:asciiTheme="majorBidi" w:hAnsiTheme="majorBidi" w:cstheme="majorBidi"/>
        </w:rPr>
        <w:t xml:space="preserve"> that </w:t>
      </w:r>
      <w:r w:rsidRPr="00173F61">
        <w:rPr>
          <w:rFonts w:asciiTheme="majorBidi" w:hAnsiTheme="majorBidi" w:cstheme="majorBidi"/>
        </w:rPr>
        <w:t xml:space="preserve">contains various statistical data </w:t>
      </w:r>
      <w:r w:rsidR="00DD497C" w:rsidRPr="00173F61">
        <w:rPr>
          <w:rFonts w:asciiTheme="majorBidi" w:hAnsiTheme="majorBidi" w:cstheme="majorBidi"/>
        </w:rPr>
        <w:t xml:space="preserve">about </w:t>
      </w:r>
      <w:r w:rsidRPr="00173F61">
        <w:rPr>
          <w:rFonts w:asciiTheme="majorBidi" w:hAnsiTheme="majorBidi" w:cstheme="majorBidi"/>
        </w:rPr>
        <w:t xml:space="preserve">Croatian schools (in Croatian: </w:t>
      </w:r>
      <w:proofErr w:type="spellStart"/>
      <w:r w:rsidRPr="00173F61">
        <w:rPr>
          <w:rFonts w:asciiTheme="majorBidi" w:hAnsiTheme="majorBidi" w:cstheme="majorBidi"/>
          <w:i/>
          <w:iCs/>
        </w:rPr>
        <w:t>Školski</w:t>
      </w:r>
      <w:proofErr w:type="spellEnd"/>
      <w:r w:rsidRPr="00173F61">
        <w:rPr>
          <w:rFonts w:asciiTheme="majorBidi" w:hAnsiTheme="majorBidi" w:cstheme="majorBidi"/>
          <w:i/>
          <w:iCs/>
        </w:rPr>
        <w:t xml:space="preserve"> e-</w:t>
      </w:r>
      <w:proofErr w:type="spellStart"/>
      <w:r w:rsidRPr="00173F61">
        <w:rPr>
          <w:rFonts w:asciiTheme="majorBidi" w:hAnsiTheme="majorBidi" w:cstheme="majorBidi"/>
          <w:i/>
        </w:rPr>
        <w:t>Rudnik</w:t>
      </w:r>
      <w:proofErr w:type="spellEnd"/>
      <w:r w:rsidRPr="00173F61">
        <w:rPr>
          <w:rFonts w:asciiTheme="majorBidi" w:hAnsiTheme="majorBidi" w:cstheme="majorBidi"/>
        </w:rPr>
        <w:t>; Ministry of Scienc</w:t>
      </w:r>
      <w:r w:rsidR="00852B5E">
        <w:rPr>
          <w:rFonts w:asciiTheme="majorBidi" w:hAnsiTheme="majorBidi" w:cstheme="majorBidi"/>
        </w:rPr>
        <w:t>e and Education of Croatia</w:t>
      </w:r>
      <w:r w:rsidR="00474D37" w:rsidRPr="00173F61">
        <w:rPr>
          <w:rFonts w:asciiTheme="majorBidi" w:hAnsiTheme="majorBidi" w:cstheme="majorBidi"/>
        </w:rPr>
        <w:t xml:space="preserve"> 2019</w:t>
      </w:r>
      <w:r w:rsidRPr="00173F61">
        <w:rPr>
          <w:rFonts w:asciiTheme="majorBidi" w:hAnsiTheme="majorBidi" w:cstheme="majorBidi"/>
        </w:rPr>
        <w:t xml:space="preserve">). </w:t>
      </w:r>
      <w:r w:rsidR="00DD497C" w:rsidRPr="00173F61">
        <w:rPr>
          <w:rFonts w:asciiTheme="majorBidi" w:hAnsiTheme="majorBidi" w:cstheme="majorBidi"/>
        </w:rPr>
        <w:t xml:space="preserve">For each school, </w:t>
      </w:r>
      <w:r w:rsidRPr="00173F61">
        <w:rPr>
          <w:rFonts w:asciiTheme="majorBidi" w:hAnsiTheme="majorBidi" w:cstheme="majorBidi"/>
        </w:rPr>
        <w:t xml:space="preserve">average class size </w:t>
      </w:r>
      <w:proofErr w:type="gramStart"/>
      <w:r w:rsidR="00DD497C" w:rsidRPr="00173F61">
        <w:rPr>
          <w:rFonts w:asciiTheme="majorBidi" w:hAnsiTheme="majorBidi" w:cstheme="majorBidi"/>
        </w:rPr>
        <w:t>was calculated</w:t>
      </w:r>
      <w:proofErr w:type="gramEnd"/>
      <w:r w:rsidRPr="00173F61">
        <w:rPr>
          <w:rFonts w:asciiTheme="majorBidi" w:hAnsiTheme="majorBidi" w:cstheme="majorBidi"/>
        </w:rPr>
        <w:t xml:space="preserve"> by dividing the total number of students in the school by the total number of classes.</w:t>
      </w:r>
    </w:p>
    <w:p w14:paraId="227CD7BC" w14:textId="0004BB52" w:rsidR="00F02ED7" w:rsidRPr="00173F61" w:rsidRDefault="0039086E" w:rsidP="00113B5A">
      <w:pPr>
        <w:pStyle w:val="Heading3"/>
        <w:rPr>
          <w:rFonts w:asciiTheme="majorBidi" w:hAnsiTheme="majorBidi" w:cstheme="majorBidi"/>
          <w:i w:val="0"/>
          <w:szCs w:val="24"/>
        </w:rPr>
      </w:pPr>
      <w:r w:rsidRPr="00173F61">
        <w:rPr>
          <w:rFonts w:asciiTheme="majorBidi" w:hAnsiTheme="majorBidi" w:cstheme="majorBidi"/>
          <w:szCs w:val="24"/>
        </w:rPr>
        <w:t xml:space="preserve">Real </w:t>
      </w:r>
      <w:r w:rsidR="00FE1935" w:rsidRPr="00173F61">
        <w:rPr>
          <w:rFonts w:asciiTheme="majorBidi" w:hAnsiTheme="majorBidi" w:cstheme="majorBidi"/>
          <w:szCs w:val="24"/>
        </w:rPr>
        <w:t>E</w:t>
      </w:r>
      <w:r w:rsidRPr="00173F61">
        <w:rPr>
          <w:rFonts w:asciiTheme="majorBidi" w:hAnsiTheme="majorBidi" w:cstheme="majorBidi"/>
          <w:szCs w:val="24"/>
        </w:rPr>
        <w:t>state</w:t>
      </w:r>
      <w:r w:rsidR="00F02ED7" w:rsidRPr="00173F61">
        <w:rPr>
          <w:rFonts w:asciiTheme="majorBidi" w:hAnsiTheme="majorBidi" w:cstheme="majorBidi"/>
          <w:szCs w:val="24"/>
        </w:rPr>
        <w:t xml:space="preserve"> </w:t>
      </w:r>
      <w:r w:rsidR="00FE1935" w:rsidRPr="00173F61">
        <w:rPr>
          <w:rFonts w:asciiTheme="majorBidi" w:hAnsiTheme="majorBidi" w:cstheme="majorBidi"/>
          <w:szCs w:val="24"/>
        </w:rPr>
        <w:t>P</w:t>
      </w:r>
      <w:r w:rsidR="00F02ED7" w:rsidRPr="00173F61">
        <w:rPr>
          <w:rFonts w:asciiTheme="majorBidi" w:hAnsiTheme="majorBidi" w:cstheme="majorBidi"/>
          <w:szCs w:val="24"/>
        </w:rPr>
        <w:t>rices</w:t>
      </w:r>
    </w:p>
    <w:p w14:paraId="2A6D05A4" w14:textId="1D6174C3" w:rsidR="00F02ED7" w:rsidRPr="00173F61" w:rsidRDefault="00DD497C" w:rsidP="004C08CD">
      <w:pPr>
        <w:pStyle w:val="Paragraph"/>
        <w:rPr>
          <w:rFonts w:asciiTheme="majorBidi" w:hAnsiTheme="majorBidi" w:cstheme="majorBidi"/>
        </w:rPr>
      </w:pPr>
      <w:r w:rsidRPr="00173F61">
        <w:rPr>
          <w:rFonts w:asciiTheme="majorBidi" w:hAnsiTheme="majorBidi" w:cstheme="majorBidi"/>
        </w:rPr>
        <w:t xml:space="preserve">In 2018, all </w:t>
      </w:r>
      <w:r w:rsidR="00F02ED7" w:rsidRPr="00173F61">
        <w:rPr>
          <w:rFonts w:asciiTheme="majorBidi" w:hAnsiTheme="majorBidi" w:cstheme="majorBidi"/>
        </w:rPr>
        <w:t>Zagreb cadastral districts</w:t>
      </w:r>
      <w:r w:rsidRPr="00173F61">
        <w:rPr>
          <w:rFonts w:asciiTheme="majorBidi" w:hAnsiTheme="majorBidi" w:cstheme="majorBidi"/>
        </w:rPr>
        <w:t xml:space="preserve"> </w:t>
      </w:r>
      <w:proofErr w:type="gramStart"/>
      <w:r w:rsidRPr="00173F61">
        <w:rPr>
          <w:rFonts w:asciiTheme="majorBidi" w:hAnsiTheme="majorBidi" w:cstheme="majorBidi"/>
        </w:rPr>
        <w:t>were ranked</w:t>
      </w:r>
      <w:proofErr w:type="gramEnd"/>
      <w:r w:rsidRPr="00173F61">
        <w:rPr>
          <w:rFonts w:asciiTheme="majorBidi" w:hAnsiTheme="majorBidi" w:cstheme="majorBidi"/>
        </w:rPr>
        <w:t xml:space="preserve"> according to real estate prices </w:t>
      </w:r>
      <w:r w:rsidR="00585D21" w:rsidRPr="00173F61">
        <w:rPr>
          <w:rFonts w:asciiTheme="majorBidi" w:hAnsiTheme="majorBidi" w:cstheme="majorBidi"/>
        </w:rPr>
        <w:t>from</w:t>
      </w:r>
      <w:r w:rsidRPr="00173F61">
        <w:rPr>
          <w:rFonts w:asciiTheme="majorBidi" w:hAnsiTheme="majorBidi" w:cstheme="majorBidi"/>
        </w:rPr>
        <w:t xml:space="preserve"> the period </w:t>
      </w:r>
      <w:r w:rsidR="00585D21" w:rsidRPr="00173F61">
        <w:rPr>
          <w:rFonts w:asciiTheme="majorBidi" w:hAnsiTheme="majorBidi" w:cstheme="majorBidi"/>
        </w:rPr>
        <w:t xml:space="preserve">2012 - </w:t>
      </w:r>
      <w:r w:rsidR="003D52F7">
        <w:rPr>
          <w:rFonts w:asciiTheme="majorBidi" w:hAnsiTheme="majorBidi" w:cstheme="majorBidi"/>
        </w:rPr>
        <w:t>2017 (</w:t>
      </w:r>
      <w:proofErr w:type="spellStart"/>
      <w:r w:rsidR="003D52F7">
        <w:rPr>
          <w:rFonts w:asciiTheme="majorBidi" w:hAnsiTheme="majorBidi" w:cstheme="majorBidi"/>
        </w:rPr>
        <w:t>Tkalec</w:t>
      </w:r>
      <w:proofErr w:type="spellEnd"/>
      <w:r w:rsidR="003D52F7">
        <w:rPr>
          <w:rFonts w:asciiTheme="majorBidi" w:hAnsiTheme="majorBidi" w:cstheme="majorBidi"/>
        </w:rPr>
        <w:t xml:space="preserve">, </w:t>
      </w:r>
      <w:proofErr w:type="spellStart"/>
      <w:r w:rsidR="003D52F7">
        <w:rPr>
          <w:rFonts w:asciiTheme="majorBidi" w:hAnsiTheme="majorBidi" w:cstheme="majorBidi"/>
        </w:rPr>
        <w:t>Vizek</w:t>
      </w:r>
      <w:proofErr w:type="spellEnd"/>
      <w:r w:rsidR="003D52F7">
        <w:rPr>
          <w:rFonts w:asciiTheme="majorBidi" w:hAnsiTheme="majorBidi" w:cstheme="majorBidi"/>
        </w:rPr>
        <w:t>, and</w:t>
      </w:r>
      <w:r w:rsidR="00852B5E">
        <w:rPr>
          <w:rFonts w:asciiTheme="majorBidi" w:hAnsiTheme="majorBidi" w:cstheme="majorBidi"/>
        </w:rPr>
        <w:t xml:space="preserve"> </w:t>
      </w:r>
      <w:proofErr w:type="spellStart"/>
      <w:r w:rsidR="00852B5E">
        <w:rPr>
          <w:rFonts w:asciiTheme="majorBidi" w:hAnsiTheme="majorBidi" w:cstheme="majorBidi"/>
        </w:rPr>
        <w:t>Žilić</w:t>
      </w:r>
      <w:proofErr w:type="spellEnd"/>
      <w:r w:rsidRPr="00173F61">
        <w:rPr>
          <w:rFonts w:asciiTheme="majorBidi" w:hAnsiTheme="majorBidi" w:cstheme="majorBidi"/>
        </w:rPr>
        <w:t xml:space="preserve"> </w:t>
      </w:r>
      <w:r w:rsidR="00311285" w:rsidRPr="00173F61">
        <w:rPr>
          <w:rFonts w:asciiTheme="majorBidi" w:hAnsiTheme="majorBidi" w:cstheme="majorBidi"/>
        </w:rPr>
        <w:t>2018)</w:t>
      </w:r>
      <w:r w:rsidR="00F02ED7" w:rsidRPr="00173F61">
        <w:rPr>
          <w:rFonts w:asciiTheme="majorBidi" w:hAnsiTheme="majorBidi" w:cstheme="majorBidi"/>
        </w:rPr>
        <w:t xml:space="preserve">. </w:t>
      </w:r>
      <w:r w:rsidRPr="00173F61">
        <w:rPr>
          <w:rFonts w:asciiTheme="majorBidi" w:hAnsiTheme="majorBidi" w:cstheme="majorBidi"/>
        </w:rPr>
        <w:t>These</w:t>
      </w:r>
      <w:r w:rsidR="00F02ED7" w:rsidRPr="00173F61">
        <w:rPr>
          <w:rFonts w:asciiTheme="majorBidi" w:hAnsiTheme="majorBidi" w:cstheme="majorBidi"/>
        </w:rPr>
        <w:t xml:space="preserve"> rankings </w:t>
      </w:r>
      <w:proofErr w:type="gramStart"/>
      <w:r w:rsidRPr="00173F61">
        <w:rPr>
          <w:rFonts w:asciiTheme="majorBidi" w:hAnsiTheme="majorBidi" w:cstheme="majorBidi"/>
        </w:rPr>
        <w:t>were used</w:t>
      </w:r>
      <w:proofErr w:type="gramEnd"/>
      <w:r w:rsidRPr="00173F61">
        <w:rPr>
          <w:rFonts w:asciiTheme="majorBidi" w:hAnsiTheme="majorBidi" w:cstheme="majorBidi"/>
        </w:rPr>
        <w:t xml:space="preserve"> </w:t>
      </w:r>
      <w:r w:rsidR="00F02ED7" w:rsidRPr="00173F61">
        <w:rPr>
          <w:rFonts w:asciiTheme="majorBidi" w:hAnsiTheme="majorBidi" w:cstheme="majorBidi"/>
        </w:rPr>
        <w:t xml:space="preserve">as a predictor in </w:t>
      </w:r>
      <w:r w:rsidRPr="00173F61">
        <w:rPr>
          <w:rFonts w:asciiTheme="majorBidi" w:hAnsiTheme="majorBidi" w:cstheme="majorBidi"/>
        </w:rPr>
        <w:t xml:space="preserve">the present </w:t>
      </w:r>
      <w:r w:rsidR="00F02ED7" w:rsidRPr="00173F61">
        <w:rPr>
          <w:rFonts w:asciiTheme="majorBidi" w:hAnsiTheme="majorBidi" w:cstheme="majorBidi"/>
        </w:rPr>
        <w:t>study.</w:t>
      </w:r>
    </w:p>
    <w:p w14:paraId="08259A7C" w14:textId="24E78025" w:rsidR="00F02ED7" w:rsidRPr="00D6471A" w:rsidRDefault="00F02ED7" w:rsidP="00D6471A">
      <w:pPr>
        <w:pStyle w:val="Heading2"/>
        <w:rPr>
          <w:rFonts w:asciiTheme="majorBidi" w:hAnsiTheme="majorBidi" w:cstheme="majorBidi"/>
          <w:szCs w:val="24"/>
        </w:rPr>
      </w:pPr>
      <w:r w:rsidRPr="00173F61">
        <w:rPr>
          <w:rFonts w:asciiTheme="majorBidi" w:hAnsiTheme="majorBidi" w:cstheme="majorBidi"/>
          <w:szCs w:val="24"/>
        </w:rPr>
        <w:t xml:space="preserve">Statistical </w:t>
      </w:r>
      <w:r w:rsidR="00D25851" w:rsidRPr="00173F61">
        <w:rPr>
          <w:rFonts w:asciiTheme="majorBidi" w:hAnsiTheme="majorBidi" w:cstheme="majorBidi"/>
          <w:szCs w:val="24"/>
        </w:rPr>
        <w:t>A</w:t>
      </w:r>
      <w:r w:rsidRPr="00173F61">
        <w:rPr>
          <w:rFonts w:asciiTheme="majorBidi" w:hAnsiTheme="majorBidi" w:cstheme="majorBidi"/>
          <w:szCs w:val="24"/>
        </w:rPr>
        <w:t>nalysis</w:t>
      </w:r>
    </w:p>
    <w:p w14:paraId="25A43EDF" w14:textId="656A4B27" w:rsidR="00F02ED7" w:rsidRPr="00173F61" w:rsidRDefault="00DD497C" w:rsidP="004C08CD">
      <w:pPr>
        <w:pStyle w:val="Paragraph"/>
        <w:rPr>
          <w:rFonts w:asciiTheme="majorBidi" w:hAnsiTheme="majorBidi" w:cstheme="majorBidi"/>
        </w:rPr>
      </w:pPr>
      <w:r w:rsidRPr="00173F61">
        <w:rPr>
          <w:rFonts w:asciiTheme="majorBidi" w:hAnsiTheme="majorBidi" w:cstheme="majorBidi"/>
        </w:rPr>
        <w:t>M</w:t>
      </w:r>
      <w:r w:rsidR="00F02ED7" w:rsidRPr="00173F61">
        <w:rPr>
          <w:rFonts w:asciiTheme="majorBidi" w:hAnsiTheme="majorBidi" w:cstheme="majorBidi"/>
        </w:rPr>
        <w:t>ultilevel ordinal logistic regressi</w:t>
      </w:r>
      <w:r w:rsidR="00EE23B6">
        <w:rPr>
          <w:rFonts w:asciiTheme="majorBidi" w:hAnsiTheme="majorBidi" w:cstheme="majorBidi"/>
        </w:rPr>
        <w:t>on analysis (e.g. Heck, Thomas, and</w:t>
      </w:r>
      <w:r w:rsidR="00F02ED7" w:rsidRPr="00173F61">
        <w:rPr>
          <w:rFonts w:asciiTheme="majorBidi" w:hAnsiTheme="majorBidi" w:cstheme="majorBidi"/>
        </w:rPr>
        <w:t xml:space="preserve"> </w:t>
      </w:r>
      <w:proofErr w:type="spellStart"/>
      <w:r w:rsidR="00F02ED7" w:rsidRPr="00173F61">
        <w:rPr>
          <w:rFonts w:asciiTheme="majorBidi" w:hAnsiTheme="majorBidi" w:cstheme="majorBidi"/>
        </w:rPr>
        <w:t>Tabata</w:t>
      </w:r>
      <w:proofErr w:type="spellEnd"/>
      <w:r w:rsidR="00F02ED7" w:rsidRPr="00173F61">
        <w:rPr>
          <w:rFonts w:asciiTheme="majorBidi" w:hAnsiTheme="majorBidi" w:cstheme="majorBidi"/>
        </w:rPr>
        <w:t xml:space="preserve"> 2013) was performed to model the association between individual level (variables representing status attainment and blocked opportunities models) and school level predictors and pupils’ aspirations for higher education. The effect of gender was controlled. We used </w:t>
      </w:r>
      <w:r w:rsidR="00585D21" w:rsidRPr="00173F61">
        <w:rPr>
          <w:rFonts w:asciiTheme="majorBidi" w:hAnsiTheme="majorBidi" w:cstheme="majorBidi"/>
        </w:rPr>
        <w:t>bi</w:t>
      </w:r>
      <w:r w:rsidR="00F02ED7" w:rsidRPr="00173F61">
        <w:rPr>
          <w:rFonts w:asciiTheme="majorBidi" w:hAnsiTheme="majorBidi" w:cstheme="majorBidi"/>
        </w:rPr>
        <w:t xml:space="preserve">-level modelling in order to take into account the hierarchical nature of the sample and the fact that pupils </w:t>
      </w:r>
      <w:proofErr w:type="gramStart"/>
      <w:r w:rsidR="00F02ED7" w:rsidRPr="00173F61">
        <w:rPr>
          <w:rFonts w:asciiTheme="majorBidi" w:hAnsiTheme="majorBidi" w:cstheme="majorBidi"/>
        </w:rPr>
        <w:t>were nested</w:t>
      </w:r>
      <w:proofErr w:type="gramEnd"/>
      <w:r w:rsidR="00F02ED7" w:rsidRPr="00173F61">
        <w:rPr>
          <w:rFonts w:asciiTheme="majorBidi" w:hAnsiTheme="majorBidi" w:cstheme="majorBidi"/>
        </w:rPr>
        <w:t xml:space="preserve"> with</w:t>
      </w:r>
      <w:r w:rsidR="00BF216E">
        <w:rPr>
          <w:rFonts w:asciiTheme="majorBidi" w:hAnsiTheme="majorBidi" w:cstheme="majorBidi"/>
        </w:rPr>
        <w:t xml:space="preserve">in schools (e.g. </w:t>
      </w:r>
      <w:proofErr w:type="spellStart"/>
      <w:r w:rsidR="00BF216E">
        <w:rPr>
          <w:rFonts w:asciiTheme="majorBidi" w:hAnsiTheme="majorBidi" w:cstheme="majorBidi"/>
        </w:rPr>
        <w:t>Hox</w:t>
      </w:r>
      <w:proofErr w:type="spellEnd"/>
      <w:r w:rsidR="00BF216E">
        <w:rPr>
          <w:rFonts w:asciiTheme="majorBidi" w:hAnsiTheme="majorBidi" w:cstheme="majorBidi"/>
        </w:rPr>
        <w:t xml:space="preserve">, </w:t>
      </w:r>
      <w:proofErr w:type="spellStart"/>
      <w:r w:rsidR="00BF216E">
        <w:rPr>
          <w:rFonts w:asciiTheme="majorBidi" w:hAnsiTheme="majorBidi" w:cstheme="majorBidi"/>
        </w:rPr>
        <w:t>Moerbeek</w:t>
      </w:r>
      <w:proofErr w:type="spellEnd"/>
      <w:r w:rsidR="00BF216E">
        <w:rPr>
          <w:rFonts w:asciiTheme="majorBidi" w:hAnsiTheme="majorBidi" w:cstheme="majorBidi"/>
        </w:rPr>
        <w:t>, and</w:t>
      </w:r>
      <w:r w:rsidR="00852B5E">
        <w:rPr>
          <w:rFonts w:asciiTheme="majorBidi" w:hAnsiTheme="majorBidi" w:cstheme="majorBidi"/>
        </w:rPr>
        <w:t xml:space="preserve"> Van de </w:t>
      </w:r>
      <w:proofErr w:type="spellStart"/>
      <w:r w:rsidR="00852B5E">
        <w:rPr>
          <w:rFonts w:asciiTheme="majorBidi" w:hAnsiTheme="majorBidi" w:cstheme="majorBidi"/>
        </w:rPr>
        <w:t>Schoot</w:t>
      </w:r>
      <w:proofErr w:type="spellEnd"/>
      <w:r w:rsidR="00F02ED7" w:rsidRPr="00173F61">
        <w:rPr>
          <w:rFonts w:asciiTheme="majorBidi" w:hAnsiTheme="majorBidi" w:cstheme="majorBidi"/>
        </w:rPr>
        <w:t xml:space="preserve"> 2017).</w:t>
      </w:r>
    </w:p>
    <w:p w14:paraId="290CB0DA" w14:textId="0E7086DB" w:rsidR="00F02ED7" w:rsidRPr="00173F61" w:rsidRDefault="00F22450" w:rsidP="004C08CD">
      <w:pPr>
        <w:pStyle w:val="Newparagraph"/>
        <w:rPr>
          <w:rFonts w:asciiTheme="majorBidi" w:hAnsiTheme="majorBidi" w:cstheme="majorBidi"/>
        </w:rPr>
      </w:pPr>
      <w:r w:rsidRPr="00173F61">
        <w:rPr>
          <w:rFonts w:asciiTheme="majorBidi" w:hAnsiTheme="majorBidi" w:cstheme="majorBidi"/>
        </w:rPr>
        <w:t>The majority of pupils</w:t>
      </w:r>
      <w:r w:rsidR="00FB3B65">
        <w:rPr>
          <w:rFonts w:asciiTheme="majorBidi" w:hAnsiTheme="majorBidi" w:cstheme="majorBidi"/>
        </w:rPr>
        <w:t xml:space="preserve"> who participated in all three data collection points</w:t>
      </w:r>
      <w:r w:rsidRPr="00173F61">
        <w:rPr>
          <w:rFonts w:asciiTheme="majorBidi" w:hAnsiTheme="majorBidi" w:cstheme="majorBidi"/>
        </w:rPr>
        <w:t xml:space="preserve"> (</w:t>
      </w:r>
      <w:r w:rsidR="00F9245E" w:rsidRPr="00173F61">
        <w:rPr>
          <w:rFonts w:asciiTheme="majorBidi" w:hAnsiTheme="majorBidi" w:cstheme="majorBidi"/>
        </w:rPr>
        <w:t>84</w:t>
      </w:r>
      <w:r w:rsidR="00F02ED7" w:rsidRPr="00173F61">
        <w:rPr>
          <w:rFonts w:asciiTheme="majorBidi" w:hAnsiTheme="majorBidi" w:cstheme="majorBidi"/>
        </w:rPr>
        <w:t>.</w:t>
      </w:r>
      <w:r w:rsidRPr="00173F61">
        <w:rPr>
          <w:rFonts w:asciiTheme="majorBidi" w:hAnsiTheme="majorBidi" w:cstheme="majorBidi"/>
        </w:rPr>
        <w:t>0</w:t>
      </w:r>
      <w:r w:rsidR="00F02ED7" w:rsidRPr="00173F61">
        <w:rPr>
          <w:rFonts w:asciiTheme="majorBidi" w:hAnsiTheme="majorBidi" w:cstheme="majorBidi"/>
        </w:rPr>
        <w:t xml:space="preserve"> %) </w:t>
      </w:r>
      <w:r w:rsidR="00DD497C" w:rsidRPr="00173F61">
        <w:rPr>
          <w:rFonts w:asciiTheme="majorBidi" w:hAnsiTheme="majorBidi" w:cstheme="majorBidi"/>
        </w:rPr>
        <w:t xml:space="preserve">provided responses </w:t>
      </w:r>
      <w:r w:rsidR="00F02ED7" w:rsidRPr="00173F61">
        <w:rPr>
          <w:rFonts w:asciiTheme="majorBidi" w:hAnsiTheme="majorBidi" w:cstheme="majorBidi"/>
        </w:rPr>
        <w:t xml:space="preserve">to all items, which </w:t>
      </w:r>
      <w:r w:rsidR="00DD497C" w:rsidRPr="00173F61">
        <w:rPr>
          <w:rFonts w:asciiTheme="majorBidi" w:hAnsiTheme="majorBidi" w:cstheme="majorBidi"/>
        </w:rPr>
        <w:t xml:space="preserve">produced </w:t>
      </w:r>
      <w:r w:rsidR="00F02ED7" w:rsidRPr="00173F61">
        <w:rPr>
          <w:rFonts w:asciiTheme="majorBidi" w:hAnsiTheme="majorBidi" w:cstheme="majorBidi"/>
        </w:rPr>
        <w:t>an almost complete dataset (9</w:t>
      </w:r>
      <w:r w:rsidR="00F9245E" w:rsidRPr="00173F61">
        <w:rPr>
          <w:rFonts w:asciiTheme="majorBidi" w:hAnsiTheme="majorBidi" w:cstheme="majorBidi"/>
        </w:rPr>
        <w:t>8</w:t>
      </w:r>
      <w:r w:rsidR="00F02ED7" w:rsidRPr="00173F61">
        <w:rPr>
          <w:rFonts w:asciiTheme="majorBidi" w:hAnsiTheme="majorBidi" w:cstheme="majorBidi"/>
        </w:rPr>
        <w:t>.</w:t>
      </w:r>
      <w:r w:rsidR="00F9245E" w:rsidRPr="00173F61">
        <w:rPr>
          <w:rFonts w:asciiTheme="majorBidi" w:hAnsiTheme="majorBidi" w:cstheme="majorBidi"/>
        </w:rPr>
        <w:t>3</w:t>
      </w:r>
      <w:r w:rsidR="00F02ED7" w:rsidRPr="00173F61">
        <w:rPr>
          <w:rFonts w:asciiTheme="majorBidi" w:hAnsiTheme="majorBidi" w:cstheme="majorBidi"/>
        </w:rPr>
        <w:t xml:space="preserve"> % of </w:t>
      </w:r>
      <w:r w:rsidR="00DD497C" w:rsidRPr="00173F61">
        <w:rPr>
          <w:rFonts w:asciiTheme="majorBidi" w:hAnsiTheme="majorBidi" w:cstheme="majorBidi"/>
        </w:rPr>
        <w:t xml:space="preserve">all </w:t>
      </w:r>
      <w:r w:rsidR="00F02ED7" w:rsidRPr="00173F61">
        <w:rPr>
          <w:rFonts w:asciiTheme="majorBidi" w:hAnsiTheme="majorBidi" w:cstheme="majorBidi"/>
        </w:rPr>
        <w:t xml:space="preserve">cells </w:t>
      </w:r>
      <w:r w:rsidR="00585D21" w:rsidRPr="00173F61">
        <w:rPr>
          <w:rFonts w:asciiTheme="majorBidi" w:hAnsiTheme="majorBidi" w:cstheme="majorBidi"/>
        </w:rPr>
        <w:t xml:space="preserve">were </w:t>
      </w:r>
      <w:r w:rsidR="00F02ED7" w:rsidRPr="00173F61">
        <w:rPr>
          <w:rFonts w:asciiTheme="majorBidi" w:hAnsiTheme="majorBidi" w:cstheme="majorBidi"/>
        </w:rPr>
        <w:t xml:space="preserve">completed). The missing rates for individual </w:t>
      </w:r>
      <w:r w:rsidR="00D9556C" w:rsidRPr="00173F61">
        <w:rPr>
          <w:rFonts w:asciiTheme="majorBidi" w:hAnsiTheme="majorBidi" w:cstheme="majorBidi"/>
        </w:rPr>
        <w:t>items</w:t>
      </w:r>
      <w:r w:rsidR="00F02ED7" w:rsidRPr="00173F61">
        <w:rPr>
          <w:rFonts w:asciiTheme="majorBidi" w:hAnsiTheme="majorBidi" w:cstheme="majorBidi"/>
        </w:rPr>
        <w:t xml:space="preserve"> were very low (≤ </w:t>
      </w:r>
      <w:r w:rsidR="002449AE" w:rsidRPr="00173F61">
        <w:rPr>
          <w:rFonts w:asciiTheme="majorBidi" w:hAnsiTheme="majorBidi" w:cstheme="majorBidi"/>
        </w:rPr>
        <w:t>4.5</w:t>
      </w:r>
      <w:r w:rsidR="00F02ED7" w:rsidRPr="00173F61">
        <w:rPr>
          <w:rFonts w:asciiTheme="majorBidi" w:hAnsiTheme="majorBidi" w:cstheme="majorBidi"/>
        </w:rPr>
        <w:t xml:space="preserve"> %)</w:t>
      </w:r>
      <w:r w:rsidR="00585D21" w:rsidRPr="00173F61">
        <w:rPr>
          <w:rFonts w:asciiTheme="majorBidi" w:hAnsiTheme="majorBidi" w:cstheme="majorBidi"/>
        </w:rPr>
        <w:t xml:space="preserve"> and, because a</w:t>
      </w:r>
      <w:r w:rsidR="00F02ED7" w:rsidRPr="00173F61">
        <w:rPr>
          <w:rFonts w:asciiTheme="majorBidi" w:hAnsiTheme="majorBidi" w:cstheme="majorBidi"/>
        </w:rPr>
        <w:t xml:space="preserve"> missing rate of 5 % or less is usually considered inconsequen</w:t>
      </w:r>
      <w:r w:rsidR="00852B5E">
        <w:rPr>
          <w:rFonts w:asciiTheme="majorBidi" w:hAnsiTheme="majorBidi" w:cstheme="majorBidi"/>
        </w:rPr>
        <w:t xml:space="preserve">tial for data analysis </w:t>
      </w:r>
      <w:r w:rsidR="00852B5E">
        <w:rPr>
          <w:rFonts w:asciiTheme="majorBidi" w:hAnsiTheme="majorBidi" w:cstheme="majorBidi"/>
        </w:rPr>
        <w:lastRenderedPageBreak/>
        <w:t>(Schafer</w:t>
      </w:r>
      <w:r w:rsidR="00F02ED7" w:rsidRPr="00173F61">
        <w:rPr>
          <w:rFonts w:asciiTheme="majorBidi" w:hAnsiTheme="majorBidi" w:cstheme="majorBidi"/>
        </w:rPr>
        <w:t xml:space="preserve"> 1999; </w:t>
      </w:r>
      <w:r w:rsidR="00AB7D72">
        <w:rPr>
          <w:rFonts w:asciiTheme="majorBidi" w:hAnsiTheme="majorBidi" w:cstheme="majorBidi"/>
          <w:shd w:val="clear" w:color="auto" w:fill="FFFFFF"/>
        </w:rPr>
        <w:t>Dong and</w:t>
      </w:r>
      <w:r w:rsidR="00852B5E">
        <w:rPr>
          <w:rFonts w:asciiTheme="majorBidi" w:hAnsiTheme="majorBidi" w:cstheme="majorBidi"/>
          <w:shd w:val="clear" w:color="auto" w:fill="FFFFFF"/>
        </w:rPr>
        <w:t xml:space="preserve"> Peng </w:t>
      </w:r>
      <w:r w:rsidR="00F02ED7" w:rsidRPr="00173F61">
        <w:rPr>
          <w:rFonts w:asciiTheme="majorBidi" w:hAnsiTheme="majorBidi" w:cstheme="majorBidi"/>
          <w:shd w:val="clear" w:color="auto" w:fill="FFFFFF"/>
        </w:rPr>
        <w:t>2013</w:t>
      </w:r>
      <w:r w:rsidR="00F02ED7" w:rsidRPr="00173F61">
        <w:rPr>
          <w:rFonts w:asciiTheme="majorBidi" w:hAnsiTheme="majorBidi" w:cstheme="majorBidi"/>
        </w:rPr>
        <w:t>)</w:t>
      </w:r>
      <w:r w:rsidR="00585D21" w:rsidRPr="00173F61">
        <w:rPr>
          <w:rFonts w:asciiTheme="majorBidi" w:hAnsiTheme="majorBidi" w:cstheme="majorBidi"/>
        </w:rPr>
        <w:t>,</w:t>
      </w:r>
      <w:r w:rsidR="00F02ED7" w:rsidRPr="00173F61">
        <w:rPr>
          <w:rFonts w:asciiTheme="majorBidi" w:hAnsiTheme="majorBidi" w:cstheme="majorBidi"/>
        </w:rPr>
        <w:t xml:space="preserve"> we decided to run </w:t>
      </w:r>
      <w:r w:rsidR="00585D21" w:rsidRPr="00173F61">
        <w:rPr>
          <w:rFonts w:asciiTheme="majorBidi" w:hAnsiTheme="majorBidi" w:cstheme="majorBidi"/>
        </w:rPr>
        <w:t xml:space="preserve">a </w:t>
      </w:r>
      <w:r w:rsidR="00F02ED7" w:rsidRPr="00173F61">
        <w:rPr>
          <w:rFonts w:asciiTheme="majorBidi" w:hAnsiTheme="majorBidi" w:cstheme="majorBidi"/>
        </w:rPr>
        <w:t>complete-case analysis.</w:t>
      </w:r>
      <w:r w:rsidR="003D1514">
        <w:rPr>
          <w:rFonts w:asciiTheme="majorBidi" w:hAnsiTheme="majorBidi" w:cstheme="majorBidi"/>
        </w:rPr>
        <w:t xml:space="preserve"> </w:t>
      </w:r>
      <w:proofErr w:type="gramStart"/>
      <w:r w:rsidR="003D1514">
        <w:rPr>
          <w:rFonts w:asciiTheme="majorBidi" w:hAnsiTheme="majorBidi" w:cstheme="majorBidi"/>
        </w:rPr>
        <w:t>Due to the fact that</w:t>
      </w:r>
      <w:proofErr w:type="gramEnd"/>
      <w:r w:rsidR="003D1514">
        <w:rPr>
          <w:rFonts w:asciiTheme="majorBidi" w:hAnsiTheme="majorBidi" w:cstheme="majorBidi"/>
        </w:rPr>
        <w:t xml:space="preserve"> almost 22 % of pupils did not participated in all </w:t>
      </w:r>
      <w:r w:rsidR="00AD24F6">
        <w:rPr>
          <w:rFonts w:asciiTheme="majorBidi" w:hAnsiTheme="majorBidi" w:cstheme="majorBidi"/>
        </w:rPr>
        <w:t>data collection</w:t>
      </w:r>
      <w:r w:rsidR="003D1514">
        <w:rPr>
          <w:rFonts w:asciiTheme="majorBidi" w:hAnsiTheme="majorBidi" w:cstheme="majorBidi"/>
        </w:rPr>
        <w:t xml:space="preserve"> points, we could no longer assume randomness of the sample. Therefore, we </w:t>
      </w:r>
      <w:r w:rsidR="00AA085C">
        <w:rPr>
          <w:rFonts w:asciiTheme="majorBidi" w:hAnsiTheme="majorBidi" w:cstheme="majorBidi"/>
        </w:rPr>
        <w:t xml:space="preserve">decided against reporting </w:t>
      </w:r>
      <w:r w:rsidR="00273B68">
        <w:rPr>
          <w:rFonts w:asciiTheme="majorBidi" w:hAnsiTheme="majorBidi" w:cstheme="majorBidi"/>
        </w:rPr>
        <w:t>p-values</w:t>
      </w:r>
      <w:r w:rsidR="003D1514">
        <w:rPr>
          <w:rFonts w:asciiTheme="majorBidi" w:hAnsiTheme="majorBidi" w:cstheme="majorBidi"/>
        </w:rPr>
        <w:t>.</w:t>
      </w:r>
    </w:p>
    <w:p w14:paraId="66E96BBE" w14:textId="74F85B02" w:rsidR="00F02ED7" w:rsidRPr="00173F61" w:rsidRDefault="00F02ED7" w:rsidP="004C08CD">
      <w:pPr>
        <w:pStyle w:val="Newparagraph"/>
        <w:rPr>
          <w:rFonts w:asciiTheme="majorBidi" w:hAnsiTheme="majorBidi" w:cstheme="majorBidi"/>
        </w:rPr>
      </w:pPr>
      <w:r w:rsidRPr="00173F61">
        <w:rPr>
          <w:rFonts w:asciiTheme="majorBidi" w:hAnsiTheme="majorBidi" w:cstheme="majorBidi"/>
        </w:rPr>
        <w:t>The value of the test of parallel lines suggested that the slopes of the predictors were parallel across the categories of the outcome (</w:t>
      </w:r>
      <w:proofErr w:type="gramStart"/>
      <w:r w:rsidRPr="004C08CD">
        <w:rPr>
          <w:rFonts w:asciiTheme="majorBidi" w:hAnsiTheme="majorBidi" w:cstheme="majorBidi"/>
        </w:rPr>
        <w:t>χ</w:t>
      </w:r>
      <w:r w:rsidRPr="001133D0">
        <w:rPr>
          <w:rFonts w:asciiTheme="majorBidi" w:hAnsiTheme="majorBidi"/>
          <w:vertAlign w:val="superscript"/>
        </w:rPr>
        <w:t>2</w:t>
      </w:r>
      <w:r w:rsidRPr="00173F61">
        <w:rPr>
          <w:rFonts w:asciiTheme="majorBidi" w:hAnsiTheme="majorBidi" w:cstheme="majorBidi"/>
        </w:rPr>
        <w:t>(</w:t>
      </w:r>
      <w:proofErr w:type="gramEnd"/>
      <w:r w:rsidRPr="00173F61">
        <w:rPr>
          <w:rFonts w:asciiTheme="majorBidi" w:hAnsiTheme="majorBidi" w:cstheme="majorBidi"/>
        </w:rPr>
        <w:t>5</w:t>
      </w:r>
      <w:r w:rsidR="00F22450" w:rsidRPr="00173F61">
        <w:rPr>
          <w:rFonts w:asciiTheme="majorBidi" w:hAnsiTheme="majorBidi" w:cstheme="majorBidi"/>
        </w:rPr>
        <w:t>0</w:t>
      </w:r>
      <w:r w:rsidRPr="00173F61">
        <w:rPr>
          <w:rFonts w:asciiTheme="majorBidi" w:hAnsiTheme="majorBidi" w:cstheme="majorBidi"/>
        </w:rPr>
        <w:t>) = 4</w:t>
      </w:r>
      <w:r w:rsidR="00F22450" w:rsidRPr="00173F61">
        <w:rPr>
          <w:rFonts w:asciiTheme="majorBidi" w:hAnsiTheme="majorBidi" w:cstheme="majorBidi"/>
        </w:rPr>
        <w:t>4</w:t>
      </w:r>
      <w:r w:rsidRPr="00173F61">
        <w:rPr>
          <w:rFonts w:asciiTheme="majorBidi" w:hAnsiTheme="majorBidi" w:cstheme="majorBidi"/>
        </w:rPr>
        <w:t>.</w:t>
      </w:r>
      <w:r w:rsidR="00F22450" w:rsidRPr="00173F61">
        <w:rPr>
          <w:rFonts w:asciiTheme="majorBidi" w:hAnsiTheme="majorBidi" w:cstheme="majorBidi"/>
        </w:rPr>
        <w:t>41</w:t>
      </w:r>
      <w:r w:rsidRPr="00173F61">
        <w:rPr>
          <w:rFonts w:asciiTheme="majorBidi" w:hAnsiTheme="majorBidi" w:cstheme="majorBidi"/>
        </w:rPr>
        <w:t xml:space="preserve">, </w:t>
      </w:r>
      <w:r w:rsidR="00CC268A">
        <w:rPr>
          <w:rFonts w:asciiTheme="majorBidi" w:hAnsiTheme="majorBidi" w:cstheme="majorBidi"/>
        </w:rPr>
        <w:t>Cramer’s V = .03</w:t>
      </w:r>
      <w:r w:rsidRPr="00173F61">
        <w:rPr>
          <w:rFonts w:asciiTheme="majorBidi" w:hAnsiTheme="majorBidi" w:cstheme="majorBidi"/>
        </w:rPr>
        <w:t>). This provided preliminary evidence that an ordinal model might be appropri</w:t>
      </w:r>
      <w:r w:rsidR="00F642B0">
        <w:rPr>
          <w:rFonts w:asciiTheme="majorBidi" w:hAnsiTheme="majorBidi" w:cstheme="majorBidi"/>
        </w:rPr>
        <w:t>ate for the data (Heck, Thomas, and</w:t>
      </w:r>
      <w:r w:rsidRPr="00173F61">
        <w:rPr>
          <w:rFonts w:asciiTheme="majorBidi" w:hAnsiTheme="majorBidi" w:cstheme="majorBidi"/>
        </w:rPr>
        <w:t xml:space="preserve"> </w:t>
      </w:r>
      <w:proofErr w:type="spellStart"/>
      <w:r w:rsidRPr="00173F61">
        <w:rPr>
          <w:rFonts w:asciiTheme="majorBidi" w:hAnsiTheme="majorBidi" w:cstheme="majorBidi"/>
        </w:rPr>
        <w:t>Tabata</w:t>
      </w:r>
      <w:proofErr w:type="spellEnd"/>
      <w:r w:rsidRPr="00173F61">
        <w:rPr>
          <w:rFonts w:asciiTheme="majorBidi" w:hAnsiTheme="majorBidi" w:cstheme="majorBidi"/>
        </w:rPr>
        <w:t xml:space="preserve"> 2013).</w:t>
      </w:r>
    </w:p>
    <w:p w14:paraId="23D73BFB" w14:textId="4C251FD1" w:rsidR="00F02ED7" w:rsidRPr="00173F61" w:rsidRDefault="00F938D3" w:rsidP="004C08CD">
      <w:pPr>
        <w:pStyle w:val="Newparagraph"/>
        <w:rPr>
          <w:rFonts w:asciiTheme="majorBidi" w:hAnsiTheme="majorBidi" w:cstheme="majorBidi"/>
        </w:rPr>
      </w:pPr>
      <w:r w:rsidRPr="00173F61">
        <w:rPr>
          <w:rFonts w:asciiTheme="majorBidi" w:hAnsiTheme="majorBidi" w:cstheme="majorBidi"/>
        </w:rPr>
        <w:t>M</w:t>
      </w:r>
      <w:r w:rsidR="00F02ED7" w:rsidRPr="00173F61">
        <w:rPr>
          <w:rFonts w:asciiTheme="majorBidi" w:hAnsiTheme="majorBidi" w:cstheme="majorBidi"/>
        </w:rPr>
        <w:t xml:space="preserve">ultilevel ordinal </w:t>
      </w:r>
      <w:r w:rsidR="00EF5EAC" w:rsidRPr="00173F61">
        <w:rPr>
          <w:rFonts w:asciiTheme="majorBidi" w:hAnsiTheme="majorBidi" w:cstheme="majorBidi"/>
        </w:rPr>
        <w:t xml:space="preserve">logistic </w:t>
      </w:r>
      <w:r w:rsidR="00F02ED7" w:rsidRPr="00173F61">
        <w:rPr>
          <w:rFonts w:asciiTheme="majorBidi" w:hAnsiTheme="majorBidi" w:cstheme="majorBidi"/>
        </w:rPr>
        <w:t xml:space="preserve">regression analysis </w:t>
      </w:r>
      <w:proofErr w:type="gramStart"/>
      <w:r w:rsidR="00F02ED7" w:rsidRPr="00173F61">
        <w:rPr>
          <w:rFonts w:asciiTheme="majorBidi" w:hAnsiTheme="majorBidi" w:cstheme="majorBidi"/>
        </w:rPr>
        <w:t>was performed</w:t>
      </w:r>
      <w:proofErr w:type="gramEnd"/>
      <w:r w:rsidR="00F02ED7" w:rsidRPr="00173F61">
        <w:rPr>
          <w:rFonts w:asciiTheme="majorBidi" w:hAnsiTheme="majorBidi" w:cstheme="majorBidi"/>
        </w:rPr>
        <w:t xml:space="preserve"> using the mixed</w:t>
      </w:r>
      <w:r w:rsidR="00F02ED7" w:rsidRPr="004C08CD">
        <w:rPr>
          <w:rFonts w:asciiTheme="majorBidi" w:hAnsiTheme="majorBidi" w:cstheme="majorBidi"/>
        </w:rPr>
        <w:t>‐</w:t>
      </w:r>
      <w:r w:rsidR="00F02ED7" w:rsidRPr="00173F61">
        <w:rPr>
          <w:rFonts w:asciiTheme="majorBidi" w:hAnsiTheme="majorBidi" w:cstheme="majorBidi"/>
        </w:rPr>
        <w:t xml:space="preserve">model procedure in IBM SPSS 22 (IBM, 2013). We used robust estimation for the tests of fixed effects to account for possible violations of model </w:t>
      </w:r>
      <w:r w:rsidR="00670365">
        <w:rPr>
          <w:rFonts w:asciiTheme="majorBidi" w:hAnsiTheme="majorBidi" w:cstheme="majorBidi"/>
        </w:rPr>
        <w:t>assumptions (e.g. Heck, Thomas, and</w:t>
      </w:r>
      <w:r w:rsidR="00852B5E">
        <w:rPr>
          <w:rFonts w:asciiTheme="majorBidi" w:hAnsiTheme="majorBidi" w:cstheme="majorBidi"/>
        </w:rPr>
        <w:t xml:space="preserve"> </w:t>
      </w:r>
      <w:proofErr w:type="spellStart"/>
      <w:r w:rsidR="00852B5E">
        <w:rPr>
          <w:rFonts w:asciiTheme="majorBidi" w:hAnsiTheme="majorBidi" w:cstheme="majorBidi"/>
        </w:rPr>
        <w:t>Tabata</w:t>
      </w:r>
      <w:proofErr w:type="spellEnd"/>
      <w:r w:rsidR="00F02ED7" w:rsidRPr="00173F61">
        <w:rPr>
          <w:rFonts w:asciiTheme="majorBidi" w:hAnsiTheme="majorBidi" w:cstheme="majorBidi"/>
        </w:rPr>
        <w:t xml:space="preserve"> 2013). The </w:t>
      </w:r>
      <w:proofErr w:type="spellStart"/>
      <w:r w:rsidR="00F02ED7" w:rsidRPr="00173F61">
        <w:rPr>
          <w:rFonts w:asciiTheme="majorBidi" w:hAnsiTheme="majorBidi" w:cstheme="majorBidi"/>
        </w:rPr>
        <w:t>intraclass</w:t>
      </w:r>
      <w:proofErr w:type="spellEnd"/>
      <w:r w:rsidR="00F02ED7" w:rsidRPr="00173F61">
        <w:rPr>
          <w:rFonts w:asciiTheme="majorBidi" w:hAnsiTheme="majorBidi" w:cstheme="majorBidi"/>
        </w:rPr>
        <w:t xml:space="preserve"> correlation coefficient value (ICC) was .071 and design effect was 3.49, </w:t>
      </w:r>
      <w:r w:rsidRPr="00173F61">
        <w:rPr>
          <w:rFonts w:asciiTheme="majorBidi" w:hAnsiTheme="majorBidi" w:cstheme="majorBidi"/>
        </w:rPr>
        <w:t xml:space="preserve">which suggested that </w:t>
      </w:r>
      <w:r w:rsidR="00F02ED7" w:rsidRPr="00173F61">
        <w:rPr>
          <w:rFonts w:asciiTheme="majorBidi" w:hAnsiTheme="majorBidi" w:cstheme="majorBidi"/>
        </w:rPr>
        <w:t>multilevel</w:t>
      </w:r>
      <w:r w:rsidRPr="00173F61">
        <w:rPr>
          <w:rFonts w:asciiTheme="majorBidi" w:hAnsiTheme="majorBidi" w:cstheme="majorBidi"/>
        </w:rPr>
        <w:t>, rather than</w:t>
      </w:r>
      <w:r w:rsidR="00F02ED7" w:rsidRPr="00173F61">
        <w:rPr>
          <w:rFonts w:asciiTheme="majorBidi" w:hAnsiTheme="majorBidi" w:cstheme="majorBidi"/>
        </w:rPr>
        <w:t xml:space="preserve"> single-level</w:t>
      </w:r>
      <w:r w:rsidRPr="00173F61">
        <w:rPr>
          <w:rFonts w:asciiTheme="majorBidi" w:hAnsiTheme="majorBidi" w:cstheme="majorBidi"/>
        </w:rPr>
        <w:t>,</w:t>
      </w:r>
      <w:r w:rsidR="00F02ED7" w:rsidRPr="00173F61">
        <w:rPr>
          <w:rFonts w:asciiTheme="majorBidi" w:hAnsiTheme="majorBidi" w:cstheme="majorBidi"/>
        </w:rPr>
        <w:t xml:space="preserve"> analyses</w:t>
      </w:r>
      <w:r w:rsidRPr="00173F61">
        <w:rPr>
          <w:rFonts w:asciiTheme="majorBidi" w:hAnsiTheme="majorBidi" w:cstheme="majorBidi"/>
        </w:rPr>
        <w:t xml:space="preserve"> should be conducted</w:t>
      </w:r>
      <w:r w:rsidR="00F02ED7" w:rsidRPr="00173F61">
        <w:rPr>
          <w:rFonts w:asciiTheme="majorBidi" w:hAnsiTheme="majorBidi" w:cstheme="majorBidi"/>
        </w:rPr>
        <w:t xml:space="preserve"> (</w:t>
      </w:r>
      <w:r w:rsidR="00852B5E" w:rsidRPr="004C08CD">
        <w:rPr>
          <w:rFonts w:asciiTheme="majorBidi" w:hAnsiTheme="majorBidi" w:cstheme="majorBidi"/>
        </w:rPr>
        <w:t>Huang</w:t>
      </w:r>
      <w:r w:rsidR="00F02ED7" w:rsidRPr="004C08CD">
        <w:rPr>
          <w:rFonts w:asciiTheme="majorBidi" w:hAnsiTheme="majorBidi" w:cstheme="majorBidi"/>
        </w:rPr>
        <w:t xml:space="preserve"> 2018</w:t>
      </w:r>
      <w:r w:rsidR="00F02ED7" w:rsidRPr="00173F61">
        <w:rPr>
          <w:rFonts w:asciiTheme="majorBidi" w:hAnsiTheme="majorBidi" w:cstheme="majorBidi"/>
        </w:rPr>
        <w:t xml:space="preserve">). </w:t>
      </w:r>
      <w:r w:rsidR="00485C90">
        <w:rPr>
          <w:rFonts w:asciiTheme="majorBidi" w:hAnsiTheme="majorBidi" w:cstheme="majorBidi"/>
        </w:rPr>
        <w:t xml:space="preserve"> </w:t>
      </w:r>
    </w:p>
    <w:p w14:paraId="310A6F73" w14:textId="2C376424" w:rsidR="00F8163D" w:rsidRPr="004C08CD" w:rsidRDefault="00F8163D" w:rsidP="004C08CD">
      <w:pPr>
        <w:pStyle w:val="Heading1"/>
      </w:pPr>
      <w:r w:rsidRPr="004C08CD">
        <w:t>Results</w:t>
      </w:r>
    </w:p>
    <w:p w14:paraId="3681826C" w14:textId="0B13FA5B" w:rsidR="00013E8B" w:rsidRPr="00173F61" w:rsidRDefault="00D25851" w:rsidP="00D6471A">
      <w:pPr>
        <w:pStyle w:val="Heading2"/>
        <w:rPr>
          <w:rFonts w:asciiTheme="majorBidi" w:hAnsiTheme="majorBidi" w:cstheme="majorBidi"/>
          <w:b w:val="0"/>
          <w:bCs w:val="0"/>
          <w:i w:val="0"/>
          <w:szCs w:val="24"/>
        </w:rPr>
      </w:pPr>
      <w:r w:rsidRPr="00173F61">
        <w:rPr>
          <w:rFonts w:asciiTheme="majorBidi" w:hAnsiTheme="majorBidi" w:cstheme="majorBidi"/>
          <w:szCs w:val="24"/>
        </w:rPr>
        <w:t>Descriptive S</w:t>
      </w:r>
      <w:r w:rsidR="00013E8B" w:rsidRPr="00173F61">
        <w:rPr>
          <w:rFonts w:asciiTheme="majorBidi" w:hAnsiTheme="majorBidi" w:cstheme="majorBidi"/>
          <w:szCs w:val="24"/>
        </w:rPr>
        <w:t>tatistics</w:t>
      </w:r>
    </w:p>
    <w:p w14:paraId="21754074" w14:textId="7DB4CCF9" w:rsidR="00013E8B" w:rsidRPr="00173F61" w:rsidRDefault="00013E8B" w:rsidP="004C08CD">
      <w:pPr>
        <w:pStyle w:val="Paragraph"/>
        <w:rPr>
          <w:rFonts w:asciiTheme="majorBidi" w:hAnsiTheme="majorBidi" w:cstheme="majorBidi"/>
        </w:rPr>
      </w:pPr>
      <w:r w:rsidRPr="00173F61">
        <w:rPr>
          <w:rFonts w:asciiTheme="majorBidi" w:hAnsiTheme="majorBidi" w:cstheme="majorBidi"/>
        </w:rPr>
        <w:t xml:space="preserve">Descriptive statistics of the predictors and the outcome </w:t>
      </w:r>
      <w:proofErr w:type="gramStart"/>
      <w:r w:rsidRPr="00173F61">
        <w:rPr>
          <w:rFonts w:asciiTheme="majorBidi" w:hAnsiTheme="majorBidi" w:cstheme="majorBidi"/>
        </w:rPr>
        <w:t>are presented</w:t>
      </w:r>
      <w:proofErr w:type="gramEnd"/>
      <w:r w:rsidRPr="00173F61">
        <w:rPr>
          <w:rFonts w:asciiTheme="majorBidi" w:hAnsiTheme="majorBidi" w:cstheme="majorBidi"/>
        </w:rPr>
        <w:t xml:space="preserve"> in Table 1. </w:t>
      </w:r>
      <w:r w:rsidR="00345598" w:rsidRPr="00173F61">
        <w:rPr>
          <w:rFonts w:asciiTheme="majorBidi" w:hAnsiTheme="majorBidi" w:cstheme="majorBidi"/>
        </w:rPr>
        <w:t>For the</w:t>
      </w:r>
      <w:r w:rsidRPr="00173F61">
        <w:rPr>
          <w:rFonts w:asciiTheme="majorBidi" w:hAnsiTheme="majorBidi" w:cstheme="majorBidi"/>
        </w:rPr>
        <w:t xml:space="preserve"> majority of pupils</w:t>
      </w:r>
      <w:r w:rsidR="00345598" w:rsidRPr="00173F61">
        <w:rPr>
          <w:rFonts w:asciiTheme="majorBidi" w:hAnsiTheme="majorBidi" w:cstheme="majorBidi"/>
        </w:rPr>
        <w:t>,</w:t>
      </w:r>
      <w:r w:rsidRPr="00173F61">
        <w:rPr>
          <w:rFonts w:asciiTheme="majorBidi" w:hAnsiTheme="majorBidi" w:cstheme="majorBidi"/>
        </w:rPr>
        <w:t xml:space="preserve"> </w:t>
      </w:r>
      <w:r w:rsidR="00345598" w:rsidRPr="00173F61">
        <w:rPr>
          <w:rFonts w:asciiTheme="majorBidi" w:hAnsiTheme="majorBidi" w:cstheme="majorBidi"/>
        </w:rPr>
        <w:t xml:space="preserve">both </w:t>
      </w:r>
      <w:r w:rsidRPr="00173F61">
        <w:rPr>
          <w:rFonts w:asciiTheme="majorBidi" w:hAnsiTheme="majorBidi" w:cstheme="majorBidi"/>
        </w:rPr>
        <w:t xml:space="preserve">parents </w:t>
      </w:r>
      <w:proofErr w:type="gramStart"/>
      <w:r w:rsidRPr="00173F61">
        <w:rPr>
          <w:rFonts w:asciiTheme="majorBidi" w:hAnsiTheme="majorBidi" w:cstheme="majorBidi"/>
        </w:rPr>
        <w:t>are currently employed</w:t>
      </w:r>
      <w:proofErr w:type="gramEnd"/>
      <w:r w:rsidR="00345598" w:rsidRPr="00173F61">
        <w:rPr>
          <w:rFonts w:asciiTheme="majorBidi" w:hAnsiTheme="majorBidi" w:cstheme="majorBidi"/>
        </w:rPr>
        <w:t xml:space="preserve"> and</w:t>
      </w:r>
      <w:r w:rsidRPr="00173F61">
        <w:rPr>
          <w:rFonts w:asciiTheme="majorBidi" w:hAnsiTheme="majorBidi" w:cstheme="majorBidi"/>
        </w:rPr>
        <w:t xml:space="preserve"> more than half </w:t>
      </w:r>
      <w:r w:rsidR="007C1D6B" w:rsidRPr="00173F61">
        <w:rPr>
          <w:rFonts w:asciiTheme="majorBidi" w:hAnsiTheme="majorBidi" w:cstheme="majorBidi"/>
        </w:rPr>
        <w:t xml:space="preserve">hold </w:t>
      </w:r>
      <w:r w:rsidRPr="00173F61">
        <w:rPr>
          <w:rFonts w:asciiTheme="majorBidi" w:hAnsiTheme="majorBidi" w:cstheme="majorBidi"/>
        </w:rPr>
        <w:t xml:space="preserve">a university or professional degree. </w:t>
      </w:r>
      <w:r w:rsidR="00345598" w:rsidRPr="00173F61">
        <w:rPr>
          <w:rFonts w:asciiTheme="majorBidi" w:hAnsiTheme="majorBidi" w:cstheme="majorBidi"/>
        </w:rPr>
        <w:t xml:space="preserve">A large </w:t>
      </w:r>
      <w:r w:rsidR="007C1D6B" w:rsidRPr="00173F61">
        <w:rPr>
          <w:rFonts w:asciiTheme="majorBidi" w:hAnsiTheme="majorBidi" w:cstheme="majorBidi"/>
        </w:rPr>
        <w:t>majority</w:t>
      </w:r>
      <w:r w:rsidR="00345598" w:rsidRPr="00173F61">
        <w:rPr>
          <w:rFonts w:asciiTheme="majorBidi" w:hAnsiTheme="majorBidi" w:cstheme="majorBidi"/>
        </w:rPr>
        <w:t xml:space="preserve"> of p</w:t>
      </w:r>
      <w:r w:rsidRPr="00173F61">
        <w:rPr>
          <w:rFonts w:asciiTheme="majorBidi" w:hAnsiTheme="majorBidi" w:cstheme="majorBidi"/>
        </w:rPr>
        <w:t>upils have their own computer and work desk</w:t>
      </w:r>
      <w:r w:rsidR="00345598" w:rsidRPr="00173F61">
        <w:rPr>
          <w:rFonts w:asciiTheme="majorBidi" w:hAnsiTheme="majorBidi" w:cstheme="majorBidi"/>
        </w:rPr>
        <w:t>, while ne</w:t>
      </w:r>
      <w:r w:rsidRPr="00173F61">
        <w:rPr>
          <w:rFonts w:asciiTheme="majorBidi" w:hAnsiTheme="majorBidi" w:cstheme="majorBidi"/>
        </w:rPr>
        <w:t xml:space="preserve">arly two thirds of pupils have their own room. </w:t>
      </w:r>
      <w:r w:rsidR="00345598" w:rsidRPr="00173F61">
        <w:rPr>
          <w:rFonts w:asciiTheme="majorBidi" w:hAnsiTheme="majorBidi" w:cstheme="majorBidi"/>
        </w:rPr>
        <w:t>P</w:t>
      </w:r>
      <w:r w:rsidRPr="00173F61">
        <w:rPr>
          <w:rFonts w:asciiTheme="majorBidi" w:hAnsiTheme="majorBidi" w:cstheme="majorBidi"/>
        </w:rPr>
        <w:t>arental</w:t>
      </w:r>
      <w:r w:rsidR="007C1D6B" w:rsidRPr="00173F61">
        <w:rPr>
          <w:rFonts w:asciiTheme="majorBidi" w:hAnsiTheme="majorBidi" w:cstheme="majorBidi"/>
        </w:rPr>
        <w:t xml:space="preserve"> higher education</w:t>
      </w:r>
      <w:r w:rsidRPr="00173F61">
        <w:rPr>
          <w:rFonts w:asciiTheme="majorBidi" w:hAnsiTheme="majorBidi" w:cstheme="majorBidi"/>
        </w:rPr>
        <w:t xml:space="preserve"> aspirations </w:t>
      </w:r>
      <w:r w:rsidR="00345598" w:rsidRPr="00173F61">
        <w:rPr>
          <w:rFonts w:asciiTheme="majorBidi" w:hAnsiTheme="majorBidi" w:cstheme="majorBidi"/>
        </w:rPr>
        <w:t xml:space="preserve">for </w:t>
      </w:r>
      <w:r w:rsidRPr="00173F61">
        <w:rPr>
          <w:rFonts w:asciiTheme="majorBidi" w:hAnsiTheme="majorBidi" w:cstheme="majorBidi"/>
        </w:rPr>
        <w:t xml:space="preserve">their children are relatively high, </w:t>
      </w:r>
      <w:r w:rsidR="00345598" w:rsidRPr="00173F61">
        <w:rPr>
          <w:rFonts w:asciiTheme="majorBidi" w:hAnsiTheme="majorBidi" w:cstheme="majorBidi"/>
        </w:rPr>
        <w:t>where</w:t>
      </w:r>
      <w:r w:rsidRPr="00173F61">
        <w:rPr>
          <w:rFonts w:asciiTheme="majorBidi" w:hAnsiTheme="majorBidi" w:cstheme="majorBidi"/>
        </w:rPr>
        <w:t xml:space="preserve"> parents </w:t>
      </w:r>
      <w:r w:rsidR="00345598" w:rsidRPr="00173F61">
        <w:rPr>
          <w:rFonts w:asciiTheme="majorBidi" w:hAnsiTheme="majorBidi" w:cstheme="majorBidi"/>
        </w:rPr>
        <w:t xml:space="preserve">generally </w:t>
      </w:r>
      <w:r w:rsidRPr="00173F61">
        <w:rPr>
          <w:rFonts w:asciiTheme="majorBidi" w:hAnsiTheme="majorBidi" w:cstheme="majorBidi"/>
        </w:rPr>
        <w:t>expect enrolment</w:t>
      </w:r>
      <w:r w:rsidR="00345598" w:rsidRPr="00173F61">
        <w:rPr>
          <w:rFonts w:asciiTheme="majorBidi" w:hAnsiTheme="majorBidi" w:cstheme="majorBidi"/>
        </w:rPr>
        <w:t xml:space="preserve"> of their child</w:t>
      </w:r>
      <w:r w:rsidRPr="00173F61">
        <w:rPr>
          <w:rFonts w:asciiTheme="majorBidi" w:hAnsiTheme="majorBidi" w:cstheme="majorBidi"/>
        </w:rPr>
        <w:t xml:space="preserve"> in higher education. On average, pupils estimate their parents’ academic support as high.</w:t>
      </w:r>
    </w:p>
    <w:p w14:paraId="2A36661A" w14:textId="7337EC6F" w:rsidR="00013E8B" w:rsidRPr="00173F61" w:rsidRDefault="00345598" w:rsidP="004C08CD">
      <w:pPr>
        <w:pStyle w:val="Newparagraph"/>
        <w:rPr>
          <w:rFonts w:asciiTheme="majorBidi" w:hAnsiTheme="majorBidi" w:cstheme="majorBidi"/>
        </w:rPr>
      </w:pPr>
      <w:r w:rsidRPr="00173F61">
        <w:rPr>
          <w:rFonts w:asciiTheme="majorBidi" w:hAnsiTheme="majorBidi" w:cstheme="majorBidi"/>
        </w:rPr>
        <w:t>In the 7</w:t>
      </w:r>
      <w:r w:rsidRPr="001133D0">
        <w:rPr>
          <w:rFonts w:asciiTheme="majorBidi" w:hAnsiTheme="majorBidi"/>
          <w:vertAlign w:val="superscript"/>
        </w:rPr>
        <w:t>th</w:t>
      </w:r>
      <w:r w:rsidRPr="00173F61">
        <w:rPr>
          <w:rFonts w:asciiTheme="majorBidi" w:hAnsiTheme="majorBidi" w:cstheme="majorBidi"/>
        </w:rPr>
        <w:t xml:space="preserve"> grade, p</w:t>
      </w:r>
      <w:r w:rsidR="00013E8B" w:rsidRPr="00173F61">
        <w:rPr>
          <w:rFonts w:asciiTheme="majorBidi" w:hAnsiTheme="majorBidi" w:cstheme="majorBidi"/>
        </w:rPr>
        <w:t xml:space="preserve">upils </w:t>
      </w:r>
      <w:r w:rsidRPr="00173F61">
        <w:rPr>
          <w:rFonts w:asciiTheme="majorBidi" w:hAnsiTheme="majorBidi" w:cstheme="majorBidi"/>
        </w:rPr>
        <w:t>achieved</w:t>
      </w:r>
      <w:r w:rsidR="00013E8B" w:rsidRPr="00173F61">
        <w:rPr>
          <w:rFonts w:asciiTheme="majorBidi" w:hAnsiTheme="majorBidi" w:cstheme="majorBidi"/>
        </w:rPr>
        <w:t xml:space="preserve"> relatively high academic </w:t>
      </w:r>
      <w:r w:rsidRPr="00173F61">
        <w:rPr>
          <w:rFonts w:asciiTheme="majorBidi" w:hAnsiTheme="majorBidi" w:cstheme="majorBidi"/>
        </w:rPr>
        <w:t>results</w:t>
      </w:r>
      <w:r w:rsidR="00013E8B" w:rsidRPr="00173F61">
        <w:rPr>
          <w:rFonts w:asciiTheme="majorBidi" w:hAnsiTheme="majorBidi" w:cstheme="majorBidi"/>
        </w:rPr>
        <w:t xml:space="preserve">. Nevertheless, they </w:t>
      </w:r>
      <w:r w:rsidRPr="00173F61">
        <w:rPr>
          <w:rFonts w:asciiTheme="majorBidi" w:hAnsiTheme="majorBidi" w:cstheme="majorBidi"/>
        </w:rPr>
        <w:t xml:space="preserve">report that they </w:t>
      </w:r>
      <w:r w:rsidR="002F4142" w:rsidRPr="00173F61">
        <w:rPr>
          <w:rFonts w:asciiTheme="majorBidi" w:hAnsiTheme="majorBidi" w:cstheme="majorBidi"/>
        </w:rPr>
        <w:t>do not like to go to school</w:t>
      </w:r>
      <w:r w:rsidR="00013E8B" w:rsidRPr="00173F61">
        <w:rPr>
          <w:rFonts w:asciiTheme="majorBidi" w:hAnsiTheme="majorBidi" w:cstheme="majorBidi"/>
        </w:rPr>
        <w:t xml:space="preserve"> and </w:t>
      </w:r>
      <w:r w:rsidRPr="00173F61">
        <w:rPr>
          <w:rFonts w:asciiTheme="majorBidi" w:hAnsiTheme="majorBidi" w:cstheme="majorBidi"/>
        </w:rPr>
        <w:t>think</w:t>
      </w:r>
      <w:r w:rsidR="00013E8B" w:rsidRPr="00173F61">
        <w:rPr>
          <w:rFonts w:asciiTheme="majorBidi" w:hAnsiTheme="majorBidi" w:cstheme="majorBidi"/>
        </w:rPr>
        <w:t xml:space="preserve"> that their workload is too </w:t>
      </w:r>
      <w:r w:rsidRPr="00173F61">
        <w:rPr>
          <w:rFonts w:asciiTheme="majorBidi" w:hAnsiTheme="majorBidi" w:cstheme="majorBidi"/>
        </w:rPr>
        <w:t>great</w:t>
      </w:r>
      <w:r w:rsidR="00013E8B" w:rsidRPr="00173F61">
        <w:rPr>
          <w:rFonts w:asciiTheme="majorBidi" w:hAnsiTheme="majorBidi" w:cstheme="majorBidi"/>
        </w:rPr>
        <w:t xml:space="preserve">. </w:t>
      </w:r>
      <w:r w:rsidRPr="00173F61">
        <w:rPr>
          <w:rFonts w:asciiTheme="majorBidi" w:hAnsiTheme="majorBidi" w:cstheme="majorBidi"/>
        </w:rPr>
        <w:t>School</w:t>
      </w:r>
      <w:r w:rsidR="00013E8B" w:rsidRPr="00173F61">
        <w:rPr>
          <w:rFonts w:asciiTheme="majorBidi" w:hAnsiTheme="majorBidi" w:cstheme="majorBidi"/>
        </w:rPr>
        <w:t xml:space="preserve"> grade point average was somewhat lower than the grade point average (7</w:t>
      </w:r>
      <w:r w:rsidR="00013E8B" w:rsidRPr="001133D0">
        <w:rPr>
          <w:rFonts w:asciiTheme="majorBidi" w:hAnsiTheme="majorBidi"/>
          <w:vertAlign w:val="superscript"/>
        </w:rPr>
        <w:t>th</w:t>
      </w:r>
      <w:r w:rsidR="00013E8B" w:rsidRPr="00173F61">
        <w:rPr>
          <w:rFonts w:asciiTheme="majorBidi" w:hAnsiTheme="majorBidi" w:cstheme="majorBidi"/>
        </w:rPr>
        <w:t xml:space="preserve"> grade) of </w:t>
      </w:r>
      <w:r w:rsidRPr="00173F61">
        <w:rPr>
          <w:rFonts w:asciiTheme="majorBidi" w:hAnsiTheme="majorBidi" w:cstheme="majorBidi"/>
        </w:rPr>
        <w:t xml:space="preserve">pupils in </w:t>
      </w:r>
      <w:r w:rsidRPr="00173F61">
        <w:rPr>
          <w:rFonts w:asciiTheme="majorBidi" w:hAnsiTheme="majorBidi" w:cstheme="majorBidi"/>
        </w:rPr>
        <w:lastRenderedPageBreak/>
        <w:t xml:space="preserve">our </w:t>
      </w:r>
      <w:r w:rsidR="00013E8B" w:rsidRPr="00173F61">
        <w:rPr>
          <w:rFonts w:asciiTheme="majorBidi" w:hAnsiTheme="majorBidi" w:cstheme="majorBidi"/>
        </w:rPr>
        <w:t xml:space="preserve">sample. The number of pupils </w:t>
      </w:r>
      <w:r w:rsidRPr="00173F61">
        <w:rPr>
          <w:rFonts w:asciiTheme="majorBidi" w:hAnsiTheme="majorBidi" w:cstheme="majorBidi"/>
        </w:rPr>
        <w:t xml:space="preserve">in a given school and class </w:t>
      </w:r>
      <w:r w:rsidR="00013E8B" w:rsidRPr="00173F61">
        <w:rPr>
          <w:rFonts w:asciiTheme="majorBidi" w:hAnsiTheme="majorBidi" w:cstheme="majorBidi"/>
        </w:rPr>
        <w:t xml:space="preserve">varies, as </w:t>
      </w:r>
      <w:r w:rsidRPr="00173F61">
        <w:rPr>
          <w:rFonts w:asciiTheme="majorBidi" w:hAnsiTheme="majorBidi" w:cstheme="majorBidi"/>
        </w:rPr>
        <w:t>do</w:t>
      </w:r>
      <w:r w:rsidR="00013E8B" w:rsidRPr="00173F61">
        <w:rPr>
          <w:rFonts w:asciiTheme="majorBidi" w:hAnsiTheme="majorBidi" w:cstheme="majorBidi"/>
        </w:rPr>
        <w:t xml:space="preserve"> real estate prices </w:t>
      </w:r>
      <w:r w:rsidRPr="00173F61">
        <w:rPr>
          <w:rFonts w:asciiTheme="majorBidi" w:hAnsiTheme="majorBidi" w:cstheme="majorBidi"/>
        </w:rPr>
        <w:t xml:space="preserve">across </w:t>
      </w:r>
      <w:r w:rsidR="00013E8B" w:rsidRPr="00173F61">
        <w:rPr>
          <w:rFonts w:asciiTheme="majorBidi" w:hAnsiTheme="majorBidi" w:cstheme="majorBidi"/>
        </w:rPr>
        <w:t>different cadastral districts.</w:t>
      </w:r>
    </w:p>
    <w:p w14:paraId="7CF8215E" w14:textId="02A51AD0" w:rsidR="008C3089" w:rsidRPr="00173F61" w:rsidRDefault="00345598" w:rsidP="004C08CD">
      <w:pPr>
        <w:pStyle w:val="Newparagraph"/>
        <w:rPr>
          <w:rFonts w:asciiTheme="majorBidi" w:hAnsiTheme="majorBidi" w:cstheme="majorBidi"/>
        </w:rPr>
      </w:pPr>
      <w:r w:rsidRPr="00173F61">
        <w:rPr>
          <w:rFonts w:asciiTheme="majorBidi" w:hAnsiTheme="majorBidi" w:cstheme="majorBidi"/>
        </w:rPr>
        <w:t xml:space="preserve">Approximately </w:t>
      </w:r>
      <w:r w:rsidR="00013E8B" w:rsidRPr="00173F61">
        <w:rPr>
          <w:rFonts w:asciiTheme="majorBidi" w:hAnsiTheme="majorBidi" w:cstheme="majorBidi"/>
        </w:rPr>
        <w:t xml:space="preserve">77 % of pupils generally or completely agree </w:t>
      </w:r>
      <w:r w:rsidRPr="00173F61">
        <w:rPr>
          <w:rFonts w:asciiTheme="majorBidi" w:hAnsiTheme="majorBidi" w:cstheme="majorBidi"/>
        </w:rPr>
        <w:t xml:space="preserve">that they wish </w:t>
      </w:r>
      <w:r w:rsidR="00013E8B" w:rsidRPr="00173F61">
        <w:rPr>
          <w:rFonts w:asciiTheme="majorBidi" w:hAnsiTheme="majorBidi" w:cstheme="majorBidi"/>
        </w:rPr>
        <w:t>to pursue higher education in the future.</w:t>
      </w:r>
      <w:r w:rsidR="006D7AAA" w:rsidRPr="00173F61">
        <w:rPr>
          <w:rFonts w:asciiTheme="majorBidi" w:hAnsiTheme="majorBidi" w:cstheme="majorBidi"/>
        </w:rPr>
        <w:t xml:space="preserve"> </w:t>
      </w:r>
      <w:r w:rsidR="008046EB" w:rsidRPr="00173F61">
        <w:rPr>
          <w:rFonts w:asciiTheme="majorBidi" w:hAnsiTheme="majorBidi" w:cstheme="majorBidi"/>
        </w:rPr>
        <w:t xml:space="preserve">On </w:t>
      </w:r>
      <w:r w:rsidRPr="00173F61">
        <w:rPr>
          <w:rFonts w:asciiTheme="majorBidi" w:hAnsiTheme="majorBidi" w:cstheme="majorBidi"/>
        </w:rPr>
        <w:t xml:space="preserve">a </w:t>
      </w:r>
      <w:r w:rsidR="008046EB" w:rsidRPr="00173F61">
        <w:rPr>
          <w:rFonts w:asciiTheme="majorBidi" w:hAnsiTheme="majorBidi" w:cstheme="majorBidi"/>
        </w:rPr>
        <w:t>bivariate level</w:t>
      </w:r>
      <w:r w:rsidR="008C3089" w:rsidRPr="00173F61">
        <w:rPr>
          <w:rFonts w:asciiTheme="majorBidi" w:hAnsiTheme="majorBidi" w:cstheme="majorBidi"/>
        </w:rPr>
        <w:t xml:space="preserve">, most predictors </w:t>
      </w:r>
      <w:r w:rsidR="00570743" w:rsidRPr="00173F61">
        <w:rPr>
          <w:rFonts w:asciiTheme="majorBidi" w:hAnsiTheme="majorBidi" w:cstheme="majorBidi"/>
        </w:rPr>
        <w:t>are</w:t>
      </w:r>
      <w:r w:rsidR="008C3089" w:rsidRPr="00173F61">
        <w:rPr>
          <w:rFonts w:asciiTheme="majorBidi" w:hAnsiTheme="majorBidi" w:cstheme="majorBidi"/>
        </w:rPr>
        <w:t xml:space="preserve"> </w:t>
      </w:r>
      <w:r w:rsidR="008046EB" w:rsidRPr="00173F61">
        <w:rPr>
          <w:rFonts w:asciiTheme="majorBidi" w:hAnsiTheme="majorBidi" w:cstheme="majorBidi"/>
        </w:rPr>
        <w:t>associated</w:t>
      </w:r>
      <w:r w:rsidR="008C3089" w:rsidRPr="00173F61">
        <w:rPr>
          <w:rFonts w:asciiTheme="majorBidi" w:hAnsiTheme="majorBidi" w:cstheme="majorBidi"/>
        </w:rPr>
        <w:t xml:space="preserve"> </w:t>
      </w:r>
      <w:r w:rsidR="00026D77" w:rsidRPr="00173F61">
        <w:rPr>
          <w:rFonts w:asciiTheme="majorBidi" w:hAnsiTheme="majorBidi" w:cstheme="majorBidi"/>
        </w:rPr>
        <w:t>with</w:t>
      </w:r>
      <w:r w:rsidR="008C3089" w:rsidRPr="00173F61">
        <w:rPr>
          <w:rFonts w:asciiTheme="majorBidi" w:hAnsiTheme="majorBidi" w:cstheme="majorBidi"/>
        </w:rPr>
        <w:t xml:space="preserve"> the outcome </w:t>
      </w:r>
      <w:r w:rsidR="008046EB" w:rsidRPr="00173F61">
        <w:rPr>
          <w:rFonts w:asciiTheme="majorBidi" w:hAnsiTheme="majorBidi" w:cstheme="majorBidi"/>
        </w:rPr>
        <w:t>in the expected direction</w:t>
      </w:r>
      <w:r w:rsidR="008C3089" w:rsidRPr="00173F61">
        <w:rPr>
          <w:rFonts w:asciiTheme="majorBidi" w:hAnsiTheme="majorBidi" w:cstheme="majorBidi"/>
        </w:rPr>
        <w:t xml:space="preserve"> (Table 1).</w:t>
      </w:r>
    </w:p>
    <w:p w14:paraId="6AEF444B" w14:textId="3D8EE17D" w:rsidR="00013E8B" w:rsidRPr="00173F61" w:rsidRDefault="00D25851" w:rsidP="00D6471A">
      <w:pPr>
        <w:pStyle w:val="Heading2"/>
        <w:rPr>
          <w:rFonts w:asciiTheme="majorBidi" w:hAnsiTheme="majorBidi" w:cstheme="majorBidi"/>
          <w:b w:val="0"/>
          <w:bCs w:val="0"/>
          <w:i w:val="0"/>
          <w:szCs w:val="24"/>
        </w:rPr>
      </w:pPr>
      <w:r w:rsidRPr="00173F61">
        <w:rPr>
          <w:rFonts w:asciiTheme="majorBidi" w:hAnsiTheme="majorBidi" w:cstheme="majorBidi"/>
          <w:szCs w:val="24"/>
        </w:rPr>
        <w:t>Multilevel O</w:t>
      </w:r>
      <w:r w:rsidR="00013E8B" w:rsidRPr="00173F61">
        <w:rPr>
          <w:rFonts w:asciiTheme="majorBidi" w:hAnsiTheme="majorBidi" w:cstheme="majorBidi"/>
          <w:szCs w:val="24"/>
        </w:rPr>
        <w:t xml:space="preserve">rdinal </w:t>
      </w:r>
      <w:r w:rsidRPr="00173F61">
        <w:rPr>
          <w:rFonts w:asciiTheme="majorBidi" w:hAnsiTheme="majorBidi" w:cstheme="majorBidi"/>
          <w:szCs w:val="24"/>
        </w:rPr>
        <w:t>L</w:t>
      </w:r>
      <w:r w:rsidR="00013E8B" w:rsidRPr="00173F61">
        <w:rPr>
          <w:rFonts w:asciiTheme="majorBidi" w:hAnsiTheme="majorBidi" w:cstheme="majorBidi"/>
          <w:szCs w:val="24"/>
        </w:rPr>
        <w:t xml:space="preserve">ogistic </w:t>
      </w:r>
      <w:r w:rsidRPr="00173F61">
        <w:rPr>
          <w:rFonts w:asciiTheme="majorBidi" w:hAnsiTheme="majorBidi" w:cstheme="majorBidi"/>
          <w:szCs w:val="24"/>
        </w:rPr>
        <w:t>R</w:t>
      </w:r>
      <w:r w:rsidR="00013E8B" w:rsidRPr="00173F61">
        <w:rPr>
          <w:rFonts w:asciiTheme="majorBidi" w:hAnsiTheme="majorBidi" w:cstheme="majorBidi"/>
          <w:szCs w:val="24"/>
        </w:rPr>
        <w:t xml:space="preserve">egression </w:t>
      </w:r>
      <w:r w:rsidRPr="00173F61">
        <w:rPr>
          <w:rFonts w:asciiTheme="majorBidi" w:hAnsiTheme="majorBidi" w:cstheme="majorBidi"/>
          <w:szCs w:val="24"/>
        </w:rPr>
        <w:t>A</w:t>
      </w:r>
      <w:r w:rsidR="00013E8B" w:rsidRPr="00173F61">
        <w:rPr>
          <w:rFonts w:asciiTheme="majorBidi" w:hAnsiTheme="majorBidi" w:cstheme="majorBidi"/>
          <w:szCs w:val="24"/>
        </w:rPr>
        <w:t>nalysis</w:t>
      </w:r>
    </w:p>
    <w:p w14:paraId="781BDBDE" w14:textId="6472C69D" w:rsidR="00013E8B" w:rsidRPr="00173F61" w:rsidRDefault="00F57EAA" w:rsidP="004C08CD">
      <w:pPr>
        <w:pStyle w:val="Paragraph"/>
        <w:rPr>
          <w:rFonts w:asciiTheme="majorBidi" w:hAnsiTheme="majorBidi" w:cstheme="majorBidi"/>
        </w:rPr>
      </w:pPr>
      <w:r w:rsidRPr="00173F61">
        <w:rPr>
          <w:rFonts w:asciiTheme="majorBidi" w:hAnsiTheme="majorBidi" w:cstheme="majorBidi"/>
        </w:rPr>
        <w:t>P</w:t>
      </w:r>
      <w:r w:rsidR="00013E8B" w:rsidRPr="00173F61">
        <w:rPr>
          <w:rFonts w:asciiTheme="majorBidi" w:hAnsiTheme="majorBidi" w:cstheme="majorBidi"/>
        </w:rPr>
        <w:t xml:space="preserve">arameter estimates for the </w:t>
      </w:r>
      <w:r w:rsidR="00BE23AF" w:rsidRPr="00173F61">
        <w:rPr>
          <w:rFonts w:asciiTheme="majorBidi" w:hAnsiTheme="majorBidi" w:cstheme="majorBidi"/>
        </w:rPr>
        <w:t xml:space="preserve">multilevel </w:t>
      </w:r>
      <w:r w:rsidR="00013E8B" w:rsidRPr="00173F61">
        <w:rPr>
          <w:rFonts w:asciiTheme="majorBidi" w:hAnsiTheme="majorBidi" w:cstheme="majorBidi"/>
        </w:rPr>
        <w:t xml:space="preserve">ordinal logistic regression model </w:t>
      </w:r>
      <w:proofErr w:type="gramStart"/>
      <w:r w:rsidR="00013E8B" w:rsidRPr="00173F61">
        <w:rPr>
          <w:rFonts w:asciiTheme="majorBidi" w:hAnsiTheme="majorBidi" w:cstheme="majorBidi"/>
        </w:rPr>
        <w:t>are presented</w:t>
      </w:r>
      <w:proofErr w:type="gramEnd"/>
      <w:r w:rsidR="00013E8B" w:rsidRPr="00173F61">
        <w:rPr>
          <w:rFonts w:asciiTheme="majorBidi" w:hAnsiTheme="majorBidi" w:cstheme="majorBidi"/>
        </w:rPr>
        <w:t xml:space="preserve"> in Table 2. </w:t>
      </w:r>
      <w:r w:rsidR="00151DE2">
        <w:rPr>
          <w:rFonts w:asciiTheme="majorBidi" w:hAnsiTheme="majorBidi" w:cstheme="majorBidi"/>
        </w:rPr>
        <w:t>G</w:t>
      </w:r>
      <w:r w:rsidR="00013E8B" w:rsidRPr="00173F61">
        <w:rPr>
          <w:rFonts w:asciiTheme="majorBidi" w:hAnsiTheme="majorBidi" w:cstheme="majorBidi"/>
        </w:rPr>
        <w:t xml:space="preserve">irls </w:t>
      </w:r>
      <w:r w:rsidR="00345598" w:rsidRPr="00173F61">
        <w:rPr>
          <w:rFonts w:asciiTheme="majorBidi" w:hAnsiTheme="majorBidi" w:cstheme="majorBidi"/>
        </w:rPr>
        <w:t xml:space="preserve">express a wish </w:t>
      </w:r>
      <w:r w:rsidR="00013E8B" w:rsidRPr="00173F61">
        <w:rPr>
          <w:rFonts w:asciiTheme="majorBidi" w:hAnsiTheme="majorBidi" w:cstheme="majorBidi"/>
        </w:rPr>
        <w:t xml:space="preserve">to attend higher education more often than </w:t>
      </w:r>
      <w:proofErr w:type="gramStart"/>
      <w:r w:rsidR="00013E8B" w:rsidRPr="00173F61">
        <w:rPr>
          <w:rFonts w:asciiTheme="majorBidi" w:hAnsiTheme="majorBidi" w:cstheme="majorBidi"/>
        </w:rPr>
        <w:t>boys</w:t>
      </w:r>
      <w:proofErr w:type="gramEnd"/>
      <w:r w:rsidR="00013E8B" w:rsidRPr="00173F61">
        <w:rPr>
          <w:rFonts w:asciiTheme="majorBidi" w:hAnsiTheme="majorBidi" w:cstheme="majorBidi"/>
        </w:rPr>
        <w:t xml:space="preserve">. For girls, the </w:t>
      </w:r>
      <w:r w:rsidR="00311285" w:rsidRPr="00173F61">
        <w:rPr>
          <w:rFonts w:asciiTheme="majorBidi" w:hAnsiTheme="majorBidi" w:cstheme="majorBidi"/>
        </w:rPr>
        <w:t>odds</w:t>
      </w:r>
      <w:r w:rsidR="00345598" w:rsidRPr="00173F61">
        <w:rPr>
          <w:rFonts w:asciiTheme="majorBidi" w:hAnsiTheme="majorBidi" w:cstheme="majorBidi"/>
        </w:rPr>
        <w:t xml:space="preserve"> </w:t>
      </w:r>
      <w:r w:rsidR="00013E8B" w:rsidRPr="00173F61">
        <w:rPr>
          <w:rFonts w:asciiTheme="majorBidi" w:hAnsiTheme="majorBidi" w:cstheme="majorBidi"/>
        </w:rPr>
        <w:t xml:space="preserve">of </w:t>
      </w:r>
      <w:r w:rsidR="00311285" w:rsidRPr="00173F61">
        <w:rPr>
          <w:rFonts w:asciiTheme="majorBidi" w:hAnsiTheme="majorBidi" w:cstheme="majorBidi"/>
        </w:rPr>
        <w:t>being in complete</w:t>
      </w:r>
      <w:r w:rsidR="00013E8B" w:rsidRPr="00173F61">
        <w:rPr>
          <w:rFonts w:asciiTheme="majorBidi" w:hAnsiTheme="majorBidi" w:cstheme="majorBidi"/>
        </w:rPr>
        <w:t xml:space="preserve"> a</w:t>
      </w:r>
      <w:r w:rsidR="00311285" w:rsidRPr="00173F61">
        <w:rPr>
          <w:rFonts w:asciiTheme="majorBidi" w:hAnsiTheme="majorBidi" w:cstheme="majorBidi"/>
        </w:rPr>
        <w:t>greement</w:t>
      </w:r>
      <w:r w:rsidR="00013E8B" w:rsidRPr="00173F61">
        <w:rPr>
          <w:rFonts w:asciiTheme="majorBidi" w:hAnsiTheme="majorBidi" w:cstheme="majorBidi"/>
        </w:rPr>
        <w:t xml:space="preserve"> with the </w:t>
      </w:r>
      <w:r w:rsidR="00345598" w:rsidRPr="00173F61">
        <w:rPr>
          <w:rFonts w:asciiTheme="majorBidi" w:hAnsiTheme="majorBidi" w:cstheme="majorBidi"/>
        </w:rPr>
        <w:t xml:space="preserve">statement </w:t>
      </w:r>
      <w:r w:rsidR="00013E8B" w:rsidRPr="00173F61">
        <w:rPr>
          <w:rFonts w:asciiTheme="majorBidi" w:hAnsiTheme="majorBidi" w:cstheme="majorBidi"/>
          <w:i/>
        </w:rPr>
        <w:t>In the future I want to pursue higher education</w:t>
      </w:r>
      <w:r w:rsidR="00013E8B" w:rsidRPr="00173F61">
        <w:rPr>
          <w:rFonts w:asciiTheme="majorBidi" w:hAnsiTheme="majorBidi" w:cstheme="majorBidi"/>
        </w:rPr>
        <w:t xml:space="preserve"> </w:t>
      </w:r>
      <w:r w:rsidR="00345598" w:rsidRPr="00173F61">
        <w:rPr>
          <w:rFonts w:asciiTheme="majorBidi" w:hAnsiTheme="majorBidi" w:cstheme="majorBidi"/>
        </w:rPr>
        <w:t xml:space="preserve">instead of one of three </w:t>
      </w:r>
      <w:r w:rsidR="00013E8B" w:rsidRPr="00173F61">
        <w:rPr>
          <w:rFonts w:asciiTheme="majorBidi" w:hAnsiTheme="majorBidi" w:cstheme="majorBidi"/>
        </w:rPr>
        <w:t>lower categories of the outcome are 1.9</w:t>
      </w:r>
      <w:r w:rsidR="0016730E" w:rsidRPr="00173F61">
        <w:rPr>
          <w:rFonts w:asciiTheme="majorBidi" w:hAnsiTheme="majorBidi" w:cstheme="majorBidi"/>
        </w:rPr>
        <w:t>05</w:t>
      </w:r>
      <w:r w:rsidR="00013E8B" w:rsidRPr="00173F61">
        <w:rPr>
          <w:rFonts w:asciiTheme="majorBidi" w:hAnsiTheme="majorBidi" w:cstheme="majorBidi"/>
        </w:rPr>
        <w:t xml:space="preserve"> greater (1/0.5</w:t>
      </w:r>
      <w:r w:rsidR="0016730E" w:rsidRPr="00173F61">
        <w:rPr>
          <w:rFonts w:asciiTheme="majorBidi" w:hAnsiTheme="majorBidi" w:cstheme="majorBidi"/>
        </w:rPr>
        <w:t>25</w:t>
      </w:r>
      <w:r w:rsidR="00013E8B" w:rsidRPr="00173F61">
        <w:rPr>
          <w:rFonts w:asciiTheme="majorBidi" w:hAnsiTheme="majorBidi" w:cstheme="majorBidi"/>
        </w:rPr>
        <w:t xml:space="preserve">) than for boys, </w:t>
      </w:r>
      <w:r w:rsidR="00345598" w:rsidRPr="00173F61">
        <w:rPr>
          <w:rFonts w:asciiTheme="majorBidi" w:hAnsiTheme="majorBidi" w:cstheme="majorBidi"/>
        </w:rPr>
        <w:t xml:space="preserve">when </w:t>
      </w:r>
      <w:r w:rsidR="00013E8B" w:rsidRPr="00173F61">
        <w:rPr>
          <w:rFonts w:asciiTheme="majorBidi" w:hAnsiTheme="majorBidi" w:cstheme="majorBidi"/>
        </w:rPr>
        <w:t xml:space="preserve">other variables are held constant in the model. Likewise, the </w:t>
      </w:r>
      <w:r w:rsidR="00311285" w:rsidRPr="00173F61">
        <w:rPr>
          <w:rFonts w:asciiTheme="majorBidi" w:hAnsiTheme="majorBidi" w:cstheme="majorBidi"/>
        </w:rPr>
        <w:t>odds</w:t>
      </w:r>
      <w:r w:rsidRPr="00173F61">
        <w:rPr>
          <w:rFonts w:asciiTheme="majorBidi" w:hAnsiTheme="majorBidi" w:cstheme="majorBidi"/>
        </w:rPr>
        <w:t xml:space="preserve"> </w:t>
      </w:r>
      <w:r w:rsidR="00013E8B" w:rsidRPr="00173F61">
        <w:rPr>
          <w:rFonts w:asciiTheme="majorBidi" w:hAnsiTheme="majorBidi" w:cstheme="majorBidi"/>
        </w:rPr>
        <w:t xml:space="preserve">of </w:t>
      </w:r>
      <w:r w:rsidR="00345598" w:rsidRPr="00173F61">
        <w:rPr>
          <w:rFonts w:asciiTheme="majorBidi" w:hAnsiTheme="majorBidi" w:cstheme="majorBidi"/>
        </w:rPr>
        <w:t xml:space="preserve">selecting </w:t>
      </w:r>
      <w:r w:rsidR="00013E8B" w:rsidRPr="00173F61">
        <w:rPr>
          <w:rFonts w:asciiTheme="majorBidi" w:hAnsiTheme="majorBidi" w:cstheme="majorBidi"/>
        </w:rPr>
        <w:t>one of the two combined highest categories of the outcome versus the two combined lower categories are also 1.9</w:t>
      </w:r>
      <w:r w:rsidR="00B224C6" w:rsidRPr="00173F61">
        <w:rPr>
          <w:rFonts w:asciiTheme="majorBidi" w:hAnsiTheme="majorBidi" w:cstheme="majorBidi"/>
        </w:rPr>
        <w:t>05</w:t>
      </w:r>
      <w:r w:rsidR="00013E8B" w:rsidRPr="00173F61">
        <w:rPr>
          <w:rFonts w:asciiTheme="majorBidi" w:hAnsiTheme="majorBidi" w:cstheme="majorBidi"/>
        </w:rPr>
        <w:t xml:space="preserve"> times greater for girls than for boys, </w:t>
      </w:r>
      <w:r w:rsidR="00345598" w:rsidRPr="00173F61">
        <w:rPr>
          <w:rFonts w:asciiTheme="majorBidi" w:hAnsiTheme="majorBidi" w:cstheme="majorBidi"/>
        </w:rPr>
        <w:t xml:space="preserve">when </w:t>
      </w:r>
      <w:r w:rsidR="00013E8B" w:rsidRPr="00173F61">
        <w:rPr>
          <w:rFonts w:asciiTheme="majorBidi" w:hAnsiTheme="majorBidi" w:cstheme="majorBidi"/>
        </w:rPr>
        <w:t>ot</w:t>
      </w:r>
      <w:r w:rsidR="00402A38" w:rsidRPr="00173F61">
        <w:rPr>
          <w:rFonts w:asciiTheme="majorBidi" w:hAnsiTheme="majorBidi" w:cstheme="majorBidi"/>
        </w:rPr>
        <w:t xml:space="preserve">her variables </w:t>
      </w:r>
      <w:proofErr w:type="gramStart"/>
      <w:r w:rsidR="00402A38" w:rsidRPr="00173F61">
        <w:rPr>
          <w:rFonts w:asciiTheme="majorBidi" w:hAnsiTheme="majorBidi" w:cstheme="majorBidi"/>
        </w:rPr>
        <w:t>are held</w:t>
      </w:r>
      <w:proofErr w:type="gramEnd"/>
      <w:r w:rsidR="00402A38" w:rsidRPr="00173F61">
        <w:rPr>
          <w:rFonts w:asciiTheme="majorBidi" w:hAnsiTheme="majorBidi" w:cstheme="majorBidi"/>
        </w:rPr>
        <w:t xml:space="preserve"> constant</w:t>
      </w:r>
      <w:r w:rsidR="00013E8B" w:rsidRPr="00173F61">
        <w:rPr>
          <w:rFonts w:asciiTheme="majorBidi" w:hAnsiTheme="majorBidi" w:cstheme="majorBidi"/>
        </w:rPr>
        <w:t>.</w:t>
      </w:r>
    </w:p>
    <w:p w14:paraId="5FCEBFC5" w14:textId="223A72FE" w:rsidR="00013E8B" w:rsidRPr="00173F61" w:rsidRDefault="00F57EAA" w:rsidP="004C08CD">
      <w:pPr>
        <w:pStyle w:val="Newparagraph"/>
        <w:rPr>
          <w:rFonts w:asciiTheme="majorBidi" w:hAnsiTheme="majorBidi" w:cstheme="majorBidi"/>
        </w:rPr>
      </w:pPr>
      <w:r w:rsidRPr="00173F61">
        <w:rPr>
          <w:rFonts w:asciiTheme="majorBidi" w:hAnsiTheme="majorBidi" w:cstheme="majorBidi"/>
        </w:rPr>
        <w:t>R</w:t>
      </w:r>
      <w:r w:rsidR="00013E8B" w:rsidRPr="00173F61">
        <w:rPr>
          <w:rFonts w:asciiTheme="majorBidi" w:hAnsiTheme="majorBidi" w:cstheme="majorBidi"/>
        </w:rPr>
        <w:t>egression parameters and odds ratios of the predictor variables used in the status attainment model indicate that pupils are more likely to aspire to higher education</w:t>
      </w:r>
      <w:r w:rsidR="00345598" w:rsidRPr="00173F61">
        <w:rPr>
          <w:rFonts w:asciiTheme="majorBidi" w:hAnsiTheme="majorBidi" w:cstheme="majorBidi"/>
        </w:rPr>
        <w:t xml:space="preserve"> if</w:t>
      </w:r>
      <w:r w:rsidR="00013E8B" w:rsidRPr="00173F61">
        <w:rPr>
          <w:rFonts w:asciiTheme="majorBidi" w:hAnsiTheme="majorBidi" w:cstheme="majorBidi"/>
        </w:rPr>
        <w:t>: 1) their parents expect them to continue their education in a higher education institution</w:t>
      </w:r>
      <w:r w:rsidR="007C1D6B" w:rsidRPr="00173F61">
        <w:rPr>
          <w:rFonts w:asciiTheme="majorBidi" w:hAnsiTheme="majorBidi" w:cstheme="majorBidi"/>
        </w:rPr>
        <w:t>;</w:t>
      </w:r>
      <w:r w:rsidR="00013E8B" w:rsidRPr="00173F61">
        <w:rPr>
          <w:rFonts w:asciiTheme="majorBidi" w:hAnsiTheme="majorBidi" w:cstheme="majorBidi"/>
        </w:rPr>
        <w:t xml:space="preserve"> 2) they have their own work desk and 3) they have higher levels of maternal academic </w:t>
      </w:r>
      <w:r w:rsidR="00B8671A" w:rsidRPr="00173F61">
        <w:rPr>
          <w:rFonts w:asciiTheme="majorBidi" w:hAnsiTheme="majorBidi" w:cstheme="majorBidi"/>
        </w:rPr>
        <w:t>s</w:t>
      </w:r>
      <w:r w:rsidR="00013E8B" w:rsidRPr="00173F61">
        <w:rPr>
          <w:rFonts w:asciiTheme="majorBidi" w:hAnsiTheme="majorBidi" w:cstheme="majorBidi"/>
        </w:rPr>
        <w:t xml:space="preserve">upport. </w:t>
      </w:r>
      <w:r w:rsidR="007C1D6B" w:rsidRPr="00173F61">
        <w:rPr>
          <w:rFonts w:asciiTheme="majorBidi" w:hAnsiTheme="majorBidi" w:cstheme="majorBidi"/>
        </w:rPr>
        <w:t>In contrast</w:t>
      </w:r>
      <w:r w:rsidR="00013E8B" w:rsidRPr="00173F61">
        <w:rPr>
          <w:rFonts w:asciiTheme="majorBidi" w:hAnsiTheme="majorBidi" w:cstheme="majorBidi"/>
        </w:rPr>
        <w:t xml:space="preserve">, pupils who are less inclined to pursue higher education more often </w:t>
      </w:r>
      <w:r w:rsidRPr="00173F61">
        <w:rPr>
          <w:rFonts w:asciiTheme="majorBidi" w:hAnsiTheme="majorBidi" w:cstheme="majorBidi"/>
        </w:rPr>
        <w:t xml:space="preserve">report that their </w:t>
      </w:r>
      <w:r w:rsidR="00013E8B" w:rsidRPr="00173F61">
        <w:rPr>
          <w:rFonts w:asciiTheme="majorBidi" w:hAnsiTheme="majorBidi" w:cstheme="majorBidi"/>
        </w:rPr>
        <w:t>parents would be satisfied if their child complete</w:t>
      </w:r>
      <w:r w:rsidR="007C1D6B" w:rsidRPr="00173F61">
        <w:rPr>
          <w:rFonts w:asciiTheme="majorBidi" w:hAnsiTheme="majorBidi" w:cstheme="majorBidi"/>
        </w:rPr>
        <w:t>d a</w:t>
      </w:r>
      <w:r w:rsidR="00013E8B" w:rsidRPr="00173F61">
        <w:rPr>
          <w:rFonts w:asciiTheme="majorBidi" w:hAnsiTheme="majorBidi" w:cstheme="majorBidi"/>
        </w:rPr>
        <w:t xml:space="preserve"> </w:t>
      </w:r>
      <w:r w:rsidR="00F20EDB" w:rsidRPr="00173F61">
        <w:rPr>
          <w:rFonts w:asciiTheme="majorBidi" w:hAnsiTheme="majorBidi" w:cstheme="majorBidi"/>
        </w:rPr>
        <w:t>VET</w:t>
      </w:r>
      <w:r w:rsidR="00013E8B" w:rsidRPr="00173F61">
        <w:rPr>
          <w:rFonts w:asciiTheme="majorBidi" w:hAnsiTheme="majorBidi" w:cstheme="majorBidi"/>
        </w:rPr>
        <w:t xml:space="preserve"> </w:t>
      </w:r>
      <w:r w:rsidR="00981604" w:rsidRPr="00173F61">
        <w:rPr>
          <w:rFonts w:asciiTheme="majorBidi" w:hAnsiTheme="majorBidi" w:cstheme="majorBidi"/>
        </w:rPr>
        <w:t>programme</w:t>
      </w:r>
      <w:r w:rsidR="00013E8B" w:rsidRPr="00173F61">
        <w:rPr>
          <w:rFonts w:asciiTheme="majorBidi" w:hAnsiTheme="majorBidi" w:cstheme="majorBidi"/>
        </w:rPr>
        <w:t>. Other variables from the status attainment model are not predictors of aspirations.</w:t>
      </w:r>
    </w:p>
    <w:p w14:paraId="199FC69B" w14:textId="75F8BBD9" w:rsidR="00013E8B" w:rsidRPr="00173F61" w:rsidRDefault="00013E8B" w:rsidP="004C08CD">
      <w:pPr>
        <w:pStyle w:val="Newparagraph"/>
        <w:rPr>
          <w:rFonts w:asciiTheme="majorBidi" w:hAnsiTheme="majorBidi" w:cstheme="majorBidi"/>
        </w:rPr>
      </w:pPr>
      <w:r w:rsidRPr="00173F61">
        <w:rPr>
          <w:rFonts w:asciiTheme="majorBidi" w:hAnsiTheme="majorBidi" w:cstheme="majorBidi"/>
        </w:rPr>
        <w:t xml:space="preserve">Among the variables from the blocked opportunities model, only grade point average </w:t>
      </w:r>
      <w:r w:rsidR="00F82BB4" w:rsidRPr="00173F61">
        <w:rPr>
          <w:rFonts w:asciiTheme="majorBidi" w:hAnsiTheme="majorBidi" w:cstheme="majorBidi"/>
        </w:rPr>
        <w:t xml:space="preserve">and school satisfaction </w:t>
      </w:r>
      <w:r w:rsidRPr="00173F61">
        <w:rPr>
          <w:rFonts w:asciiTheme="majorBidi" w:hAnsiTheme="majorBidi" w:cstheme="majorBidi"/>
        </w:rPr>
        <w:t>pr</w:t>
      </w:r>
      <w:r w:rsidR="00F82BB4" w:rsidRPr="00173F61">
        <w:rPr>
          <w:rFonts w:asciiTheme="majorBidi" w:hAnsiTheme="majorBidi" w:cstheme="majorBidi"/>
        </w:rPr>
        <w:t>edict</w:t>
      </w:r>
      <w:r w:rsidRPr="00173F61">
        <w:rPr>
          <w:rFonts w:asciiTheme="majorBidi" w:hAnsiTheme="majorBidi" w:cstheme="majorBidi"/>
        </w:rPr>
        <w:t xml:space="preserve"> aspirations. Pupils </w:t>
      </w:r>
      <w:r w:rsidR="007C1D6B" w:rsidRPr="00173F61">
        <w:rPr>
          <w:rFonts w:asciiTheme="majorBidi" w:hAnsiTheme="majorBidi" w:cstheme="majorBidi"/>
        </w:rPr>
        <w:t>with</w:t>
      </w:r>
      <w:r w:rsidRPr="00173F61">
        <w:rPr>
          <w:rFonts w:asciiTheme="majorBidi" w:hAnsiTheme="majorBidi" w:cstheme="majorBidi"/>
        </w:rPr>
        <w:t xml:space="preserve"> a higher grade point average tend to have higher aspirations</w:t>
      </w:r>
      <w:r w:rsidR="00F57EAA" w:rsidRPr="00173F61">
        <w:rPr>
          <w:rFonts w:asciiTheme="majorBidi" w:hAnsiTheme="majorBidi" w:cstheme="majorBidi"/>
        </w:rPr>
        <w:t>, which represents the</w:t>
      </w:r>
      <w:r w:rsidRPr="00173F61">
        <w:rPr>
          <w:rFonts w:asciiTheme="majorBidi" w:hAnsiTheme="majorBidi" w:cstheme="majorBidi"/>
        </w:rPr>
        <w:t xml:space="preserve"> strongest predictor of aspirations for tertiary </w:t>
      </w:r>
      <w:r w:rsidRPr="00173F61">
        <w:rPr>
          <w:rFonts w:asciiTheme="majorBidi" w:hAnsiTheme="majorBidi" w:cstheme="majorBidi"/>
        </w:rPr>
        <w:lastRenderedPageBreak/>
        <w:t xml:space="preserve">education. </w:t>
      </w:r>
      <w:r w:rsidR="00F57EAA" w:rsidRPr="00173F61">
        <w:rPr>
          <w:rFonts w:asciiTheme="majorBidi" w:hAnsiTheme="majorBidi" w:cstheme="majorBidi"/>
        </w:rPr>
        <w:t>P</w:t>
      </w:r>
      <w:r w:rsidRPr="00173F61">
        <w:rPr>
          <w:rFonts w:asciiTheme="majorBidi" w:hAnsiTheme="majorBidi" w:cstheme="majorBidi"/>
        </w:rPr>
        <w:t xml:space="preserve">upils whose grade point average is one unit higher than </w:t>
      </w:r>
      <w:r w:rsidR="00F57EAA" w:rsidRPr="00173F61">
        <w:rPr>
          <w:rFonts w:asciiTheme="majorBidi" w:hAnsiTheme="majorBidi" w:cstheme="majorBidi"/>
        </w:rPr>
        <w:t xml:space="preserve">that of their </w:t>
      </w:r>
      <w:r w:rsidRPr="00173F61">
        <w:rPr>
          <w:rFonts w:asciiTheme="majorBidi" w:hAnsiTheme="majorBidi" w:cstheme="majorBidi"/>
        </w:rPr>
        <w:t xml:space="preserve">peers </w:t>
      </w:r>
      <w:r w:rsidR="00F57EAA" w:rsidRPr="00173F61">
        <w:rPr>
          <w:rFonts w:asciiTheme="majorBidi" w:hAnsiTheme="majorBidi" w:cstheme="majorBidi"/>
        </w:rPr>
        <w:t>are</w:t>
      </w:r>
      <w:r w:rsidRPr="00173F61">
        <w:rPr>
          <w:rFonts w:asciiTheme="majorBidi" w:hAnsiTheme="majorBidi" w:cstheme="majorBidi"/>
        </w:rPr>
        <w:t xml:space="preserve"> four times </w:t>
      </w:r>
      <w:r w:rsidR="00F57EAA" w:rsidRPr="00173F61">
        <w:rPr>
          <w:rFonts w:asciiTheme="majorBidi" w:hAnsiTheme="majorBidi" w:cstheme="majorBidi"/>
        </w:rPr>
        <w:t>more likely to select</w:t>
      </w:r>
      <w:r w:rsidRPr="00173F61">
        <w:rPr>
          <w:rFonts w:asciiTheme="majorBidi" w:hAnsiTheme="majorBidi" w:cstheme="majorBidi"/>
        </w:rPr>
        <w:t xml:space="preserve"> a higher outcome category. </w:t>
      </w:r>
      <w:r w:rsidR="00481792" w:rsidRPr="00173F61">
        <w:rPr>
          <w:rFonts w:asciiTheme="majorBidi" w:hAnsiTheme="majorBidi" w:cstheme="majorBidi"/>
        </w:rPr>
        <w:t xml:space="preserve">Furthermore, </w:t>
      </w:r>
      <w:r w:rsidR="00B61CDE" w:rsidRPr="00173F61">
        <w:rPr>
          <w:rFonts w:asciiTheme="majorBidi" w:hAnsiTheme="majorBidi" w:cstheme="majorBidi"/>
        </w:rPr>
        <w:t>pupils are more likely to aspire to higher education</w:t>
      </w:r>
      <w:r w:rsidR="00EA3859" w:rsidRPr="00173F61">
        <w:rPr>
          <w:rFonts w:asciiTheme="majorBidi" w:hAnsiTheme="majorBidi" w:cstheme="majorBidi"/>
        </w:rPr>
        <w:t xml:space="preserve"> </w:t>
      </w:r>
      <w:r w:rsidR="00B61CDE" w:rsidRPr="00173F61">
        <w:rPr>
          <w:rFonts w:asciiTheme="majorBidi" w:hAnsiTheme="majorBidi" w:cstheme="majorBidi"/>
        </w:rPr>
        <w:t xml:space="preserve">if they </w:t>
      </w:r>
      <w:r w:rsidR="00EA3859" w:rsidRPr="00173F61">
        <w:rPr>
          <w:rFonts w:asciiTheme="majorBidi" w:hAnsiTheme="majorBidi" w:cstheme="majorBidi"/>
        </w:rPr>
        <w:t>like to go to school.</w:t>
      </w:r>
      <w:r w:rsidRPr="00173F61">
        <w:rPr>
          <w:rFonts w:asciiTheme="majorBidi" w:hAnsiTheme="majorBidi" w:cstheme="majorBidi"/>
        </w:rPr>
        <w:t xml:space="preserve"> </w:t>
      </w:r>
    </w:p>
    <w:p w14:paraId="2192DA37" w14:textId="55B2490F" w:rsidR="00013E8B" w:rsidRPr="00173F61" w:rsidRDefault="00F57EAA" w:rsidP="004C08CD">
      <w:pPr>
        <w:pStyle w:val="Newparagraph"/>
        <w:rPr>
          <w:rFonts w:asciiTheme="majorBidi" w:hAnsiTheme="majorBidi" w:cstheme="majorBidi"/>
        </w:rPr>
      </w:pPr>
      <w:r w:rsidRPr="00173F61">
        <w:rPr>
          <w:rFonts w:asciiTheme="majorBidi" w:hAnsiTheme="majorBidi" w:cstheme="majorBidi"/>
        </w:rPr>
        <w:t>None</w:t>
      </w:r>
      <w:r w:rsidR="00013E8B" w:rsidRPr="00173F61">
        <w:rPr>
          <w:rFonts w:asciiTheme="majorBidi" w:hAnsiTheme="majorBidi" w:cstheme="majorBidi"/>
        </w:rPr>
        <w:t xml:space="preserve"> of the school-level variables </w:t>
      </w:r>
      <w:r w:rsidR="00637963">
        <w:rPr>
          <w:rFonts w:asciiTheme="majorBidi" w:hAnsiTheme="majorBidi" w:cstheme="majorBidi"/>
        </w:rPr>
        <w:t>predicts</w:t>
      </w:r>
      <w:r w:rsidRPr="00173F61">
        <w:rPr>
          <w:rFonts w:asciiTheme="majorBidi" w:hAnsiTheme="majorBidi" w:cstheme="majorBidi"/>
        </w:rPr>
        <w:t xml:space="preserve"> educational </w:t>
      </w:r>
      <w:r w:rsidR="00013E8B" w:rsidRPr="00173F61">
        <w:rPr>
          <w:rFonts w:asciiTheme="majorBidi" w:hAnsiTheme="majorBidi" w:cstheme="majorBidi"/>
        </w:rPr>
        <w:t>aspirations.</w:t>
      </w:r>
      <w:r w:rsidR="00591696">
        <w:rPr>
          <w:rFonts w:asciiTheme="majorBidi" w:hAnsiTheme="majorBidi" w:cstheme="majorBidi"/>
        </w:rPr>
        <w:t xml:space="preserve"> The model classifies slightly more than two thirds of pupils</w:t>
      </w:r>
      <w:r w:rsidR="00CD5307">
        <w:rPr>
          <w:rFonts w:asciiTheme="majorBidi" w:hAnsiTheme="majorBidi" w:cstheme="majorBidi"/>
        </w:rPr>
        <w:t xml:space="preserve"> (67.3 %)</w:t>
      </w:r>
      <w:r w:rsidR="00591696">
        <w:rPr>
          <w:rFonts w:asciiTheme="majorBidi" w:hAnsiTheme="majorBidi" w:cstheme="majorBidi"/>
        </w:rPr>
        <w:t xml:space="preserve"> in</w:t>
      </w:r>
      <w:r w:rsidR="00D83545">
        <w:rPr>
          <w:rFonts w:asciiTheme="majorBidi" w:hAnsiTheme="majorBidi" w:cstheme="majorBidi"/>
        </w:rPr>
        <w:t>to</w:t>
      </w:r>
      <w:r w:rsidR="00591696">
        <w:rPr>
          <w:rFonts w:asciiTheme="majorBidi" w:hAnsiTheme="majorBidi" w:cstheme="majorBidi"/>
        </w:rPr>
        <w:t xml:space="preserve"> </w:t>
      </w:r>
      <w:r w:rsidR="000E4840">
        <w:rPr>
          <w:rFonts w:asciiTheme="majorBidi" w:hAnsiTheme="majorBidi" w:cstheme="majorBidi"/>
        </w:rPr>
        <w:t>appropriate categories of outcome.</w:t>
      </w:r>
      <w:r w:rsidR="00591696">
        <w:rPr>
          <w:rFonts w:asciiTheme="majorBidi" w:hAnsiTheme="majorBidi" w:cstheme="majorBidi"/>
        </w:rPr>
        <w:t xml:space="preserve"> </w:t>
      </w:r>
      <w:r w:rsidR="00E93A47">
        <w:rPr>
          <w:rFonts w:asciiTheme="majorBidi" w:hAnsiTheme="majorBidi" w:cstheme="majorBidi"/>
        </w:rPr>
        <w:t xml:space="preserve">On the other hand, </w:t>
      </w:r>
      <w:proofErr w:type="gramStart"/>
      <w:r w:rsidR="008C4FD8">
        <w:rPr>
          <w:rFonts w:asciiTheme="majorBidi" w:hAnsiTheme="majorBidi" w:cstheme="majorBidi"/>
        </w:rPr>
        <w:t>less complex</w:t>
      </w:r>
      <w:r w:rsidR="009A089B">
        <w:rPr>
          <w:rFonts w:asciiTheme="majorBidi" w:hAnsiTheme="majorBidi" w:cstheme="majorBidi"/>
        </w:rPr>
        <w:t xml:space="preserve"> </w:t>
      </w:r>
      <w:r w:rsidR="00E93A47">
        <w:rPr>
          <w:rFonts w:asciiTheme="majorBidi" w:hAnsiTheme="majorBidi" w:cstheme="majorBidi"/>
        </w:rPr>
        <w:t>m</w:t>
      </w:r>
      <w:r w:rsidR="00240175">
        <w:rPr>
          <w:rFonts w:asciiTheme="majorBidi" w:hAnsiTheme="majorBidi" w:cstheme="majorBidi"/>
        </w:rPr>
        <w:t xml:space="preserve">odels containing </w:t>
      </w:r>
      <w:r w:rsidR="00AB4E22">
        <w:rPr>
          <w:rFonts w:asciiTheme="majorBidi" w:hAnsiTheme="majorBidi" w:cstheme="majorBidi"/>
        </w:rPr>
        <w:t xml:space="preserve">only </w:t>
      </w:r>
      <w:r w:rsidR="00A66733">
        <w:rPr>
          <w:rFonts w:asciiTheme="majorBidi" w:hAnsiTheme="majorBidi" w:cstheme="majorBidi"/>
        </w:rPr>
        <w:t xml:space="preserve">1) </w:t>
      </w:r>
      <w:r w:rsidR="00240175">
        <w:rPr>
          <w:rFonts w:asciiTheme="majorBidi" w:hAnsiTheme="majorBidi" w:cstheme="majorBidi"/>
        </w:rPr>
        <w:t xml:space="preserve">gender, </w:t>
      </w:r>
      <w:r w:rsidR="00A66733">
        <w:rPr>
          <w:rFonts w:asciiTheme="majorBidi" w:hAnsiTheme="majorBidi" w:cstheme="majorBidi"/>
        </w:rPr>
        <w:t xml:space="preserve">2) </w:t>
      </w:r>
      <w:r w:rsidR="00240175">
        <w:rPr>
          <w:rFonts w:asciiTheme="majorBidi" w:hAnsiTheme="majorBidi" w:cstheme="majorBidi"/>
        </w:rPr>
        <w:t xml:space="preserve">gender and status attainment variables, </w:t>
      </w:r>
      <w:r w:rsidR="00A66733">
        <w:rPr>
          <w:rFonts w:asciiTheme="majorBidi" w:hAnsiTheme="majorBidi" w:cstheme="majorBidi"/>
        </w:rPr>
        <w:t xml:space="preserve">3) </w:t>
      </w:r>
      <w:r w:rsidR="00240175">
        <w:rPr>
          <w:rFonts w:asciiTheme="majorBidi" w:hAnsiTheme="majorBidi" w:cstheme="majorBidi"/>
        </w:rPr>
        <w:t xml:space="preserve">gender and blocked opportunities variables and </w:t>
      </w:r>
      <w:r w:rsidR="00A66733">
        <w:rPr>
          <w:rFonts w:asciiTheme="majorBidi" w:hAnsiTheme="majorBidi" w:cstheme="majorBidi"/>
        </w:rPr>
        <w:t xml:space="preserve">4) </w:t>
      </w:r>
      <w:r w:rsidR="00240175">
        <w:rPr>
          <w:rFonts w:asciiTheme="majorBidi" w:hAnsiTheme="majorBidi" w:cstheme="majorBidi"/>
        </w:rPr>
        <w:t>gender and school context variables</w:t>
      </w:r>
      <w:r w:rsidR="00497C00">
        <w:rPr>
          <w:rFonts w:asciiTheme="majorBidi" w:hAnsiTheme="majorBidi" w:cstheme="majorBidi"/>
        </w:rPr>
        <w:t xml:space="preserve"> (not reported here)</w:t>
      </w:r>
      <w:proofErr w:type="gramEnd"/>
      <w:r w:rsidR="00240175">
        <w:rPr>
          <w:rFonts w:asciiTheme="majorBidi" w:hAnsiTheme="majorBidi" w:cstheme="majorBidi"/>
        </w:rPr>
        <w:t xml:space="preserve"> </w:t>
      </w:r>
      <w:r w:rsidR="00497C00">
        <w:rPr>
          <w:rFonts w:asciiTheme="majorBidi" w:hAnsiTheme="majorBidi" w:cstheme="majorBidi"/>
        </w:rPr>
        <w:t>classify correctly 59.8 %, 66.3 %, 63.2 % and 60.1 %</w:t>
      </w:r>
      <w:r w:rsidR="00F86462">
        <w:rPr>
          <w:rFonts w:asciiTheme="majorBidi" w:hAnsiTheme="majorBidi" w:cstheme="majorBidi"/>
        </w:rPr>
        <w:t xml:space="preserve"> of pupils</w:t>
      </w:r>
      <w:r w:rsidR="00310916">
        <w:rPr>
          <w:rFonts w:asciiTheme="majorBidi" w:hAnsiTheme="majorBidi" w:cstheme="majorBidi"/>
        </w:rPr>
        <w:t>,</w:t>
      </w:r>
      <w:r w:rsidR="00497C00">
        <w:rPr>
          <w:rFonts w:asciiTheme="majorBidi" w:hAnsiTheme="majorBidi" w:cstheme="majorBidi"/>
        </w:rPr>
        <w:t xml:space="preserve"> respectively.</w:t>
      </w:r>
      <w:r w:rsidR="00310916">
        <w:rPr>
          <w:rFonts w:asciiTheme="majorBidi" w:hAnsiTheme="majorBidi" w:cstheme="majorBidi"/>
        </w:rPr>
        <w:t xml:space="preserve"> </w:t>
      </w:r>
      <w:r w:rsidR="00395366">
        <w:rPr>
          <w:rFonts w:asciiTheme="majorBidi" w:hAnsiTheme="majorBidi" w:cstheme="majorBidi"/>
        </w:rPr>
        <w:t>Consequentially</w:t>
      </w:r>
      <w:r w:rsidR="00C47A49">
        <w:rPr>
          <w:rFonts w:asciiTheme="majorBidi" w:hAnsiTheme="majorBidi" w:cstheme="majorBidi"/>
        </w:rPr>
        <w:t xml:space="preserve">, </w:t>
      </w:r>
      <w:r w:rsidR="0077389D">
        <w:rPr>
          <w:rFonts w:asciiTheme="majorBidi" w:hAnsiTheme="majorBidi" w:cstheme="majorBidi"/>
        </w:rPr>
        <w:t xml:space="preserve">the </w:t>
      </w:r>
      <w:r w:rsidR="00CB6007">
        <w:rPr>
          <w:rFonts w:asciiTheme="majorBidi" w:hAnsiTheme="majorBidi" w:cstheme="majorBidi"/>
        </w:rPr>
        <w:t xml:space="preserve">contribution of </w:t>
      </w:r>
      <w:r w:rsidR="00445A1D">
        <w:rPr>
          <w:rFonts w:asciiTheme="majorBidi" w:hAnsiTheme="majorBidi" w:cstheme="majorBidi"/>
        </w:rPr>
        <w:t>variables</w:t>
      </w:r>
      <w:r w:rsidR="00627BD8">
        <w:rPr>
          <w:rFonts w:asciiTheme="majorBidi" w:hAnsiTheme="majorBidi" w:cstheme="majorBidi"/>
        </w:rPr>
        <w:t xml:space="preserve"> used in this study </w:t>
      </w:r>
      <w:r w:rsidR="00CB6007">
        <w:rPr>
          <w:rFonts w:asciiTheme="majorBidi" w:hAnsiTheme="majorBidi" w:cstheme="majorBidi"/>
        </w:rPr>
        <w:t>to</w:t>
      </w:r>
      <w:r w:rsidR="00627BD8">
        <w:rPr>
          <w:rFonts w:asciiTheme="majorBidi" w:hAnsiTheme="majorBidi" w:cstheme="majorBidi"/>
        </w:rPr>
        <w:t xml:space="preserve"> prediction of </w:t>
      </w:r>
      <w:r w:rsidR="00AC0E36">
        <w:rPr>
          <w:rFonts w:asciiTheme="majorBidi" w:hAnsiTheme="majorBidi" w:cstheme="majorBidi"/>
        </w:rPr>
        <w:t xml:space="preserve">pupils’ </w:t>
      </w:r>
      <w:r w:rsidR="00627BD8">
        <w:rPr>
          <w:rFonts w:asciiTheme="majorBidi" w:hAnsiTheme="majorBidi" w:cstheme="majorBidi"/>
        </w:rPr>
        <w:t>aspirations for tertiary education</w:t>
      </w:r>
      <w:r w:rsidR="00CB6007">
        <w:rPr>
          <w:rFonts w:asciiTheme="majorBidi" w:hAnsiTheme="majorBidi" w:cstheme="majorBidi"/>
        </w:rPr>
        <w:t xml:space="preserve"> is rather limited</w:t>
      </w:r>
      <w:r w:rsidR="00627BD8">
        <w:rPr>
          <w:rFonts w:asciiTheme="majorBidi" w:hAnsiTheme="majorBidi" w:cstheme="majorBidi"/>
        </w:rPr>
        <w:t>.</w:t>
      </w:r>
    </w:p>
    <w:p w14:paraId="2CF6A63A" w14:textId="77777777" w:rsidR="003F755E" w:rsidRPr="00173F61" w:rsidRDefault="003F755E" w:rsidP="003F755E">
      <w:pPr>
        <w:spacing w:after="0" w:line="480" w:lineRule="auto"/>
        <w:jc w:val="both"/>
        <w:rPr>
          <w:rFonts w:asciiTheme="majorBidi" w:hAnsiTheme="majorBidi" w:cstheme="majorBidi"/>
          <w:sz w:val="24"/>
          <w:szCs w:val="24"/>
          <w:lang w:val="en-GB"/>
        </w:rPr>
      </w:pPr>
    </w:p>
    <w:p w14:paraId="7EDAA1EE" w14:textId="71260D9A" w:rsidR="00C67464" w:rsidRPr="00173F61" w:rsidRDefault="00264D26" w:rsidP="003F755E">
      <w:pPr>
        <w:spacing w:after="0" w:line="480" w:lineRule="auto"/>
        <w:jc w:val="center"/>
        <w:rPr>
          <w:rFonts w:asciiTheme="majorBidi" w:hAnsiTheme="majorBidi" w:cstheme="majorBidi"/>
          <w:sz w:val="24"/>
          <w:szCs w:val="24"/>
          <w:lang w:val="en-GB"/>
        </w:rPr>
      </w:pPr>
      <w:r w:rsidRPr="00173F61">
        <w:rPr>
          <w:rFonts w:asciiTheme="majorBidi" w:hAnsiTheme="majorBidi" w:cstheme="majorBidi"/>
          <w:sz w:val="24"/>
          <w:szCs w:val="24"/>
          <w:lang w:val="en-GB"/>
        </w:rPr>
        <w:t>[Table 1 near here]</w:t>
      </w:r>
    </w:p>
    <w:p w14:paraId="11CE6135" w14:textId="77777777" w:rsidR="007C56C2" w:rsidRPr="00173F61" w:rsidRDefault="007C56C2" w:rsidP="003F755E">
      <w:pPr>
        <w:spacing w:after="0" w:line="480" w:lineRule="auto"/>
        <w:jc w:val="center"/>
        <w:rPr>
          <w:rFonts w:asciiTheme="majorBidi" w:hAnsiTheme="majorBidi" w:cstheme="majorBidi"/>
          <w:sz w:val="24"/>
          <w:szCs w:val="24"/>
          <w:lang w:val="en-GB"/>
        </w:rPr>
      </w:pPr>
    </w:p>
    <w:p w14:paraId="3A2BCEA8" w14:textId="71E2A181" w:rsidR="007C56C2" w:rsidRPr="00173F61" w:rsidRDefault="002B1868" w:rsidP="003F755E">
      <w:pPr>
        <w:spacing w:after="0" w:line="480" w:lineRule="auto"/>
        <w:jc w:val="center"/>
        <w:rPr>
          <w:rFonts w:asciiTheme="majorBidi" w:hAnsiTheme="majorBidi" w:cstheme="majorBidi"/>
          <w:sz w:val="24"/>
          <w:szCs w:val="24"/>
          <w:lang w:val="en-GB"/>
        </w:rPr>
      </w:pPr>
      <w:r w:rsidRPr="00173F61">
        <w:rPr>
          <w:rFonts w:asciiTheme="majorBidi" w:hAnsiTheme="majorBidi" w:cstheme="majorBidi"/>
          <w:sz w:val="24"/>
          <w:szCs w:val="24"/>
          <w:lang w:val="en-GB"/>
        </w:rPr>
        <w:t xml:space="preserve">[Table </w:t>
      </w:r>
      <w:proofErr w:type="gramStart"/>
      <w:r w:rsidRPr="00173F61">
        <w:rPr>
          <w:rFonts w:asciiTheme="majorBidi" w:hAnsiTheme="majorBidi" w:cstheme="majorBidi"/>
          <w:sz w:val="24"/>
          <w:szCs w:val="24"/>
          <w:lang w:val="en-GB"/>
        </w:rPr>
        <w:t>2</w:t>
      </w:r>
      <w:proofErr w:type="gramEnd"/>
      <w:r w:rsidR="00264D26" w:rsidRPr="00173F61">
        <w:rPr>
          <w:rFonts w:asciiTheme="majorBidi" w:hAnsiTheme="majorBidi" w:cstheme="majorBidi"/>
          <w:sz w:val="24"/>
          <w:szCs w:val="24"/>
          <w:lang w:val="en-GB"/>
        </w:rPr>
        <w:t xml:space="preserve"> near here]</w:t>
      </w:r>
    </w:p>
    <w:p w14:paraId="554DC53F" w14:textId="77777777" w:rsidR="00C67464" w:rsidRPr="00173F61" w:rsidRDefault="00C67464" w:rsidP="003F755E">
      <w:pPr>
        <w:spacing w:after="0" w:line="480" w:lineRule="auto"/>
        <w:jc w:val="both"/>
        <w:rPr>
          <w:rFonts w:asciiTheme="majorBidi" w:hAnsiTheme="majorBidi" w:cstheme="majorBidi"/>
          <w:sz w:val="24"/>
          <w:szCs w:val="24"/>
          <w:lang w:val="en-GB"/>
        </w:rPr>
      </w:pPr>
    </w:p>
    <w:p w14:paraId="0D53C9ED" w14:textId="77777777" w:rsidR="003F755E" w:rsidRPr="00173F61" w:rsidRDefault="003F755E" w:rsidP="003F755E">
      <w:pPr>
        <w:spacing w:after="0" w:line="480" w:lineRule="auto"/>
        <w:jc w:val="both"/>
        <w:rPr>
          <w:rFonts w:asciiTheme="majorBidi" w:hAnsiTheme="majorBidi" w:cstheme="majorBidi"/>
          <w:sz w:val="24"/>
          <w:szCs w:val="24"/>
          <w:lang w:val="en-GB"/>
        </w:rPr>
      </w:pPr>
    </w:p>
    <w:p w14:paraId="2394EBB0" w14:textId="77777777" w:rsidR="00C67464" w:rsidRPr="00173F61" w:rsidRDefault="00C67464" w:rsidP="003F755E">
      <w:pPr>
        <w:spacing w:after="0" w:line="480" w:lineRule="auto"/>
        <w:jc w:val="both"/>
        <w:rPr>
          <w:rFonts w:asciiTheme="majorBidi" w:hAnsiTheme="majorBidi" w:cstheme="majorBidi"/>
          <w:sz w:val="24"/>
          <w:szCs w:val="24"/>
          <w:lang w:val="en-GB"/>
        </w:rPr>
      </w:pPr>
    </w:p>
    <w:p w14:paraId="7593EE53" w14:textId="2D6D4B35" w:rsidR="00F8163D" w:rsidRPr="004C08CD" w:rsidRDefault="00F8163D" w:rsidP="004C08CD">
      <w:pPr>
        <w:pStyle w:val="Heading1"/>
      </w:pPr>
      <w:r w:rsidRPr="004C08CD">
        <w:t>Discussion</w:t>
      </w:r>
    </w:p>
    <w:p w14:paraId="7324C5A2" w14:textId="25F85F5F" w:rsidR="00910A3E" w:rsidRPr="00173F61" w:rsidRDefault="0083013F" w:rsidP="004C08CD">
      <w:pPr>
        <w:pStyle w:val="Paragraph"/>
        <w:rPr>
          <w:rFonts w:asciiTheme="majorBidi" w:hAnsiTheme="majorBidi" w:cstheme="majorBidi"/>
        </w:rPr>
      </w:pPr>
      <w:r w:rsidRPr="00173F61">
        <w:rPr>
          <w:rFonts w:asciiTheme="majorBidi" w:hAnsiTheme="majorBidi" w:cstheme="majorBidi"/>
        </w:rPr>
        <w:t xml:space="preserve">In light of their contribution to the prediction of educational attainment among adults, the exploration of educational aspirations in adolescence is an important research endeavour </w:t>
      </w:r>
      <w:r w:rsidR="00910A3E" w:rsidRPr="00173F61">
        <w:rPr>
          <w:rFonts w:asciiTheme="majorBidi" w:hAnsiTheme="majorBidi" w:cstheme="majorBidi"/>
        </w:rPr>
        <w:t xml:space="preserve">(e.g. </w:t>
      </w:r>
      <w:r w:rsidR="00833378">
        <w:rPr>
          <w:rFonts w:asciiTheme="majorBidi" w:hAnsiTheme="majorBidi" w:cstheme="majorBidi"/>
          <w:shd w:val="clear" w:color="auto" w:fill="FFFFFF"/>
        </w:rPr>
        <w:t>Beal and</w:t>
      </w:r>
      <w:r w:rsidR="00852B5E">
        <w:rPr>
          <w:rFonts w:asciiTheme="majorBidi" w:hAnsiTheme="majorBidi" w:cstheme="majorBidi"/>
          <w:shd w:val="clear" w:color="auto" w:fill="FFFFFF"/>
        </w:rPr>
        <w:t xml:space="preserve"> Crockett</w:t>
      </w:r>
      <w:r w:rsidR="00910A3E" w:rsidRPr="00173F61">
        <w:rPr>
          <w:rFonts w:asciiTheme="majorBidi" w:hAnsiTheme="majorBidi" w:cstheme="majorBidi"/>
          <w:shd w:val="clear" w:color="auto" w:fill="FFFFFF"/>
        </w:rPr>
        <w:t xml:space="preserve"> 2010</w:t>
      </w:r>
      <w:r w:rsidR="00910A3E" w:rsidRPr="00173F61">
        <w:rPr>
          <w:rFonts w:asciiTheme="majorBidi" w:hAnsiTheme="majorBidi" w:cstheme="majorBidi"/>
        </w:rPr>
        <w:t>). Although there is a vast body of</w:t>
      </w:r>
      <w:r w:rsidRPr="00173F61">
        <w:rPr>
          <w:rFonts w:asciiTheme="majorBidi" w:hAnsiTheme="majorBidi" w:cstheme="majorBidi"/>
        </w:rPr>
        <w:t xml:space="preserve"> educational aspirations</w:t>
      </w:r>
      <w:r w:rsidR="00910A3E" w:rsidRPr="00173F61">
        <w:rPr>
          <w:rFonts w:asciiTheme="majorBidi" w:hAnsiTheme="majorBidi" w:cstheme="majorBidi"/>
        </w:rPr>
        <w:t xml:space="preserve"> literature, this is the first study</w:t>
      </w:r>
      <w:r w:rsidR="00E6038D" w:rsidRPr="00173F61">
        <w:rPr>
          <w:rFonts w:asciiTheme="majorBidi" w:hAnsiTheme="majorBidi" w:cstheme="majorBidi"/>
        </w:rPr>
        <w:t xml:space="preserve"> that</w:t>
      </w:r>
      <w:r w:rsidRPr="00173F61">
        <w:rPr>
          <w:rFonts w:asciiTheme="majorBidi" w:hAnsiTheme="majorBidi" w:cstheme="majorBidi"/>
        </w:rPr>
        <w:t>, to the best of our knowledge,</w:t>
      </w:r>
      <w:r w:rsidR="00E6038D" w:rsidRPr="00173F61">
        <w:rPr>
          <w:rFonts w:asciiTheme="majorBidi" w:hAnsiTheme="majorBidi" w:cstheme="majorBidi"/>
        </w:rPr>
        <w:t xml:space="preserve"> </w:t>
      </w:r>
      <w:r w:rsidR="00910A3E" w:rsidRPr="00173F61">
        <w:rPr>
          <w:rFonts w:asciiTheme="majorBidi" w:hAnsiTheme="majorBidi" w:cstheme="majorBidi"/>
        </w:rPr>
        <w:t xml:space="preserve">concurrently examines the effects of status attainment, blocked opportunities and the school context on </w:t>
      </w:r>
      <w:r w:rsidRPr="00173F61">
        <w:rPr>
          <w:rFonts w:asciiTheme="majorBidi" w:hAnsiTheme="majorBidi" w:cstheme="majorBidi"/>
        </w:rPr>
        <w:t xml:space="preserve">the </w:t>
      </w:r>
      <w:r w:rsidR="00910A3E" w:rsidRPr="00173F61">
        <w:rPr>
          <w:rFonts w:asciiTheme="majorBidi" w:hAnsiTheme="majorBidi" w:cstheme="majorBidi"/>
        </w:rPr>
        <w:t xml:space="preserve">educational aspirations of </w:t>
      </w:r>
      <w:r w:rsidR="00336588" w:rsidRPr="00173F61">
        <w:rPr>
          <w:rFonts w:asciiTheme="majorBidi" w:hAnsiTheme="majorBidi" w:cstheme="majorBidi"/>
        </w:rPr>
        <w:t>elementary</w:t>
      </w:r>
      <w:r w:rsidR="00910A3E" w:rsidRPr="00173F61">
        <w:rPr>
          <w:rFonts w:asciiTheme="majorBidi" w:hAnsiTheme="majorBidi" w:cstheme="majorBidi"/>
        </w:rPr>
        <w:t xml:space="preserve"> school pupils. </w:t>
      </w:r>
    </w:p>
    <w:p w14:paraId="64BEDDD2" w14:textId="5706993F" w:rsidR="00910A3E" w:rsidRPr="00173F61" w:rsidRDefault="00910A3E" w:rsidP="004C08CD">
      <w:pPr>
        <w:pStyle w:val="Newparagraph"/>
        <w:rPr>
          <w:rFonts w:asciiTheme="majorBidi" w:hAnsiTheme="majorBidi" w:cstheme="majorBidi"/>
        </w:rPr>
      </w:pPr>
      <w:r w:rsidRPr="00173F61">
        <w:rPr>
          <w:rFonts w:asciiTheme="majorBidi" w:hAnsiTheme="majorBidi" w:cstheme="majorBidi"/>
        </w:rPr>
        <w:lastRenderedPageBreak/>
        <w:t xml:space="preserve">The major finding </w:t>
      </w:r>
      <w:r w:rsidR="0083013F" w:rsidRPr="00173F61">
        <w:rPr>
          <w:rFonts w:asciiTheme="majorBidi" w:hAnsiTheme="majorBidi" w:cstheme="majorBidi"/>
        </w:rPr>
        <w:t xml:space="preserve">arising from the present </w:t>
      </w:r>
      <w:r w:rsidRPr="00173F61">
        <w:rPr>
          <w:rFonts w:asciiTheme="majorBidi" w:hAnsiTheme="majorBidi" w:cstheme="majorBidi"/>
        </w:rPr>
        <w:t xml:space="preserve">study is that none of the school level variables </w:t>
      </w:r>
      <w:r w:rsidR="0083013F" w:rsidRPr="00173F61">
        <w:rPr>
          <w:rFonts w:asciiTheme="majorBidi" w:hAnsiTheme="majorBidi" w:cstheme="majorBidi"/>
        </w:rPr>
        <w:t xml:space="preserve">used in our analysis </w:t>
      </w:r>
      <w:r w:rsidRPr="00173F61">
        <w:rPr>
          <w:rFonts w:asciiTheme="majorBidi" w:hAnsiTheme="majorBidi" w:cstheme="majorBidi"/>
        </w:rPr>
        <w:t xml:space="preserve">contributes to the explanation of pupils’ aspirations for higher education. </w:t>
      </w:r>
      <w:r w:rsidR="0083013F" w:rsidRPr="00173F61">
        <w:rPr>
          <w:rFonts w:asciiTheme="majorBidi" w:hAnsiTheme="majorBidi" w:cstheme="majorBidi"/>
        </w:rPr>
        <w:t>While it is certainly</w:t>
      </w:r>
      <w:r w:rsidRPr="00173F61">
        <w:rPr>
          <w:rFonts w:asciiTheme="majorBidi" w:hAnsiTheme="majorBidi" w:cstheme="majorBidi"/>
        </w:rPr>
        <w:t xml:space="preserve"> possible that there are other measures of school context that are better predictors of pupils’ aspirations </w:t>
      </w:r>
      <w:r w:rsidR="0083013F" w:rsidRPr="00173F61">
        <w:rPr>
          <w:rFonts w:asciiTheme="majorBidi" w:hAnsiTheme="majorBidi" w:cstheme="majorBidi"/>
        </w:rPr>
        <w:t xml:space="preserve">than those included in the present study, </w:t>
      </w:r>
      <w:r w:rsidRPr="00173F61">
        <w:rPr>
          <w:rFonts w:asciiTheme="majorBidi" w:hAnsiTheme="majorBidi" w:cstheme="majorBidi"/>
        </w:rPr>
        <w:t xml:space="preserve">we </w:t>
      </w:r>
      <w:r w:rsidR="0083013F" w:rsidRPr="00173F61">
        <w:rPr>
          <w:rFonts w:asciiTheme="majorBidi" w:hAnsiTheme="majorBidi" w:cstheme="majorBidi"/>
        </w:rPr>
        <w:t xml:space="preserve">must </w:t>
      </w:r>
      <w:r w:rsidRPr="00173F61">
        <w:rPr>
          <w:rFonts w:asciiTheme="majorBidi" w:hAnsiTheme="majorBidi" w:cstheme="majorBidi"/>
        </w:rPr>
        <w:t xml:space="preserve">take into account the relatively small value of ICC (.071), which indicates that the major predictors of aspirations for higher education are </w:t>
      </w:r>
      <w:r w:rsidR="00E6038D" w:rsidRPr="00173F61">
        <w:rPr>
          <w:rFonts w:asciiTheme="majorBidi" w:hAnsiTheme="majorBidi" w:cstheme="majorBidi"/>
        </w:rPr>
        <w:t xml:space="preserve">most likely </w:t>
      </w:r>
      <w:r w:rsidRPr="00173F61">
        <w:rPr>
          <w:rFonts w:asciiTheme="majorBidi" w:hAnsiTheme="majorBidi" w:cstheme="majorBidi"/>
        </w:rPr>
        <w:t xml:space="preserve">situated at the pupil level. This is </w:t>
      </w:r>
      <w:r w:rsidR="0083013F" w:rsidRPr="00173F61">
        <w:rPr>
          <w:rFonts w:asciiTheme="majorBidi" w:hAnsiTheme="majorBidi" w:cstheme="majorBidi"/>
        </w:rPr>
        <w:t>consistent</w:t>
      </w:r>
      <w:r w:rsidRPr="00173F61">
        <w:rPr>
          <w:rFonts w:asciiTheme="majorBidi" w:hAnsiTheme="majorBidi" w:cstheme="majorBidi"/>
        </w:rPr>
        <w:t xml:space="preserve"> with the finding </w:t>
      </w:r>
      <w:r w:rsidR="0083013F" w:rsidRPr="00173F61">
        <w:rPr>
          <w:rFonts w:asciiTheme="majorBidi" w:hAnsiTheme="majorBidi" w:cstheme="majorBidi"/>
        </w:rPr>
        <w:t xml:space="preserve">arising from the work </w:t>
      </w:r>
      <w:r w:rsidR="00535DDF" w:rsidRPr="00173F61">
        <w:rPr>
          <w:rFonts w:asciiTheme="majorBidi" w:hAnsiTheme="majorBidi" w:cstheme="majorBidi"/>
        </w:rPr>
        <w:t xml:space="preserve">of </w:t>
      </w:r>
      <w:proofErr w:type="spellStart"/>
      <w:r w:rsidRPr="00173F61">
        <w:rPr>
          <w:rFonts w:asciiTheme="majorBidi" w:hAnsiTheme="majorBidi" w:cstheme="majorBidi"/>
        </w:rPr>
        <w:t>Alwin</w:t>
      </w:r>
      <w:proofErr w:type="spellEnd"/>
      <w:r w:rsidRPr="00173F61">
        <w:rPr>
          <w:rFonts w:asciiTheme="majorBidi" w:hAnsiTheme="majorBidi" w:cstheme="majorBidi"/>
        </w:rPr>
        <w:t xml:space="preserve"> and Otto (1977)</w:t>
      </w:r>
      <w:r w:rsidR="0083013F" w:rsidRPr="00173F61">
        <w:rPr>
          <w:rFonts w:asciiTheme="majorBidi" w:hAnsiTheme="majorBidi" w:cstheme="majorBidi"/>
        </w:rPr>
        <w:t>, in which</w:t>
      </w:r>
      <w:r w:rsidRPr="00173F61">
        <w:rPr>
          <w:rFonts w:asciiTheme="majorBidi" w:hAnsiTheme="majorBidi" w:cstheme="majorBidi"/>
        </w:rPr>
        <w:t xml:space="preserve"> school context </w:t>
      </w:r>
      <w:r w:rsidR="0083013F" w:rsidRPr="00173F61">
        <w:rPr>
          <w:rFonts w:asciiTheme="majorBidi" w:hAnsiTheme="majorBidi" w:cstheme="majorBidi"/>
        </w:rPr>
        <w:t xml:space="preserve">did </w:t>
      </w:r>
      <w:r w:rsidRPr="00173F61">
        <w:rPr>
          <w:rFonts w:asciiTheme="majorBidi" w:hAnsiTheme="majorBidi" w:cstheme="majorBidi"/>
        </w:rPr>
        <w:t xml:space="preserve">not affect college plans and occupational aspirations of </w:t>
      </w:r>
      <w:r w:rsidR="009E2275" w:rsidRPr="00173F61">
        <w:rPr>
          <w:rFonts w:asciiTheme="majorBidi" w:hAnsiTheme="majorBidi" w:cstheme="majorBidi"/>
        </w:rPr>
        <w:t>secondary</w:t>
      </w:r>
      <w:r w:rsidRPr="00173F61">
        <w:rPr>
          <w:rFonts w:asciiTheme="majorBidi" w:hAnsiTheme="majorBidi" w:cstheme="majorBidi"/>
        </w:rPr>
        <w:t xml:space="preserve"> school pupils. </w:t>
      </w:r>
      <w:r w:rsidR="006D51EB" w:rsidRPr="00173F61">
        <w:rPr>
          <w:rFonts w:asciiTheme="majorBidi" w:hAnsiTheme="majorBidi" w:cstheme="majorBidi"/>
        </w:rPr>
        <w:t xml:space="preserve">In other words, pupils </w:t>
      </w:r>
      <w:r w:rsidR="00EE0A46" w:rsidRPr="00173F61">
        <w:rPr>
          <w:rFonts w:asciiTheme="majorBidi" w:hAnsiTheme="majorBidi" w:cstheme="majorBidi"/>
        </w:rPr>
        <w:t>who</w:t>
      </w:r>
      <w:r w:rsidR="006D51EB" w:rsidRPr="00173F61">
        <w:rPr>
          <w:rFonts w:asciiTheme="majorBidi" w:hAnsiTheme="majorBidi" w:cstheme="majorBidi"/>
        </w:rPr>
        <w:t xml:space="preserve"> have similar individual characteristics </w:t>
      </w:r>
      <w:r w:rsidR="00DF1722" w:rsidRPr="00173F61">
        <w:rPr>
          <w:rFonts w:asciiTheme="majorBidi" w:hAnsiTheme="majorBidi" w:cstheme="majorBidi"/>
        </w:rPr>
        <w:t xml:space="preserve">but </w:t>
      </w:r>
      <w:r w:rsidR="00EE0A46" w:rsidRPr="00173F61">
        <w:rPr>
          <w:rFonts w:asciiTheme="majorBidi" w:hAnsiTheme="majorBidi" w:cstheme="majorBidi"/>
        </w:rPr>
        <w:t xml:space="preserve">attend different schools will </w:t>
      </w:r>
      <w:r w:rsidR="00DF1722" w:rsidRPr="00173F61">
        <w:rPr>
          <w:rFonts w:asciiTheme="majorBidi" w:hAnsiTheme="majorBidi" w:cstheme="majorBidi"/>
        </w:rPr>
        <w:t xml:space="preserve">likely hold </w:t>
      </w:r>
      <w:r w:rsidR="00EE0A46" w:rsidRPr="00173F61">
        <w:rPr>
          <w:rFonts w:asciiTheme="majorBidi" w:hAnsiTheme="majorBidi" w:cstheme="majorBidi"/>
        </w:rPr>
        <w:t xml:space="preserve">similar </w:t>
      </w:r>
      <w:r w:rsidR="001D0FD6" w:rsidRPr="00173F61">
        <w:rPr>
          <w:rFonts w:asciiTheme="majorBidi" w:hAnsiTheme="majorBidi" w:cstheme="majorBidi"/>
        </w:rPr>
        <w:t>as</w:t>
      </w:r>
      <w:r w:rsidR="00FF3488" w:rsidRPr="00173F61">
        <w:rPr>
          <w:rFonts w:asciiTheme="majorBidi" w:hAnsiTheme="majorBidi" w:cstheme="majorBidi"/>
        </w:rPr>
        <w:t>p</w:t>
      </w:r>
      <w:r w:rsidR="001D0FD6" w:rsidRPr="00173F61">
        <w:rPr>
          <w:rFonts w:asciiTheme="majorBidi" w:hAnsiTheme="majorBidi" w:cstheme="majorBidi"/>
        </w:rPr>
        <w:t>irations</w:t>
      </w:r>
      <w:r w:rsidR="00534B52" w:rsidRPr="00173F61">
        <w:rPr>
          <w:rFonts w:asciiTheme="majorBidi" w:hAnsiTheme="majorBidi" w:cstheme="majorBidi"/>
        </w:rPr>
        <w:t xml:space="preserve"> </w:t>
      </w:r>
      <w:r w:rsidR="00FF3488" w:rsidRPr="00173F61">
        <w:rPr>
          <w:rFonts w:asciiTheme="majorBidi" w:hAnsiTheme="majorBidi" w:cstheme="majorBidi"/>
        </w:rPr>
        <w:t>for</w:t>
      </w:r>
      <w:r w:rsidR="00534B52" w:rsidRPr="00173F61">
        <w:rPr>
          <w:rFonts w:asciiTheme="majorBidi" w:hAnsiTheme="majorBidi" w:cstheme="majorBidi"/>
        </w:rPr>
        <w:t xml:space="preserve"> higher education</w:t>
      </w:r>
      <w:r w:rsidR="00E6038D" w:rsidRPr="00173F61">
        <w:rPr>
          <w:rFonts w:asciiTheme="majorBidi" w:hAnsiTheme="majorBidi" w:cstheme="majorBidi"/>
        </w:rPr>
        <w:t>. Similarly,</w:t>
      </w:r>
      <w:r w:rsidR="00DF1722" w:rsidRPr="00173F61">
        <w:rPr>
          <w:rFonts w:asciiTheme="majorBidi" w:hAnsiTheme="majorBidi" w:cstheme="majorBidi"/>
        </w:rPr>
        <w:t xml:space="preserve"> differences in </w:t>
      </w:r>
      <w:r w:rsidR="00E6038D" w:rsidRPr="00173F61">
        <w:rPr>
          <w:rFonts w:asciiTheme="majorBidi" w:hAnsiTheme="majorBidi" w:cstheme="majorBidi"/>
        </w:rPr>
        <w:t>educational</w:t>
      </w:r>
      <w:r w:rsidR="00DF1722" w:rsidRPr="00173F61">
        <w:rPr>
          <w:rFonts w:asciiTheme="majorBidi" w:hAnsiTheme="majorBidi" w:cstheme="majorBidi"/>
        </w:rPr>
        <w:t xml:space="preserve"> aspirations </w:t>
      </w:r>
      <w:proofErr w:type="gramStart"/>
      <w:r w:rsidR="00DF1722" w:rsidRPr="00173F61">
        <w:rPr>
          <w:rFonts w:asciiTheme="majorBidi" w:hAnsiTheme="majorBidi" w:cstheme="majorBidi"/>
        </w:rPr>
        <w:t>are not influenced</w:t>
      </w:r>
      <w:proofErr w:type="gramEnd"/>
      <w:r w:rsidR="00DF1722" w:rsidRPr="00173F61">
        <w:rPr>
          <w:rFonts w:asciiTheme="majorBidi" w:hAnsiTheme="majorBidi" w:cstheme="majorBidi"/>
        </w:rPr>
        <w:t xml:space="preserve"> by </w:t>
      </w:r>
      <w:r w:rsidR="00E6038D" w:rsidRPr="00173F61">
        <w:rPr>
          <w:rFonts w:asciiTheme="majorBidi" w:hAnsiTheme="majorBidi" w:cstheme="majorBidi"/>
        </w:rPr>
        <w:t>pupils’ attendance of</w:t>
      </w:r>
      <w:r w:rsidR="00DF1722" w:rsidRPr="00173F61">
        <w:rPr>
          <w:rFonts w:asciiTheme="majorBidi" w:hAnsiTheme="majorBidi" w:cstheme="majorBidi"/>
        </w:rPr>
        <w:t xml:space="preserve"> different</w:t>
      </w:r>
      <w:r w:rsidR="00AE02B9" w:rsidRPr="00173F61">
        <w:rPr>
          <w:rFonts w:asciiTheme="majorBidi" w:hAnsiTheme="majorBidi" w:cstheme="majorBidi"/>
        </w:rPr>
        <w:t xml:space="preserve"> schools</w:t>
      </w:r>
      <w:r w:rsidR="00DF1722" w:rsidRPr="00173F61">
        <w:rPr>
          <w:rFonts w:asciiTheme="majorBidi" w:hAnsiTheme="majorBidi" w:cstheme="majorBidi"/>
        </w:rPr>
        <w:t>.</w:t>
      </w:r>
      <w:r w:rsidR="00AE02B9" w:rsidRPr="00173F61">
        <w:rPr>
          <w:rFonts w:asciiTheme="majorBidi" w:hAnsiTheme="majorBidi" w:cstheme="majorBidi"/>
        </w:rPr>
        <w:t xml:space="preserve"> </w:t>
      </w:r>
      <w:r w:rsidR="00311285" w:rsidRPr="00173F61">
        <w:rPr>
          <w:rFonts w:asciiTheme="majorBidi" w:hAnsiTheme="majorBidi" w:cstheme="majorBidi"/>
        </w:rPr>
        <w:t xml:space="preserve">These are positive findings for </w:t>
      </w:r>
      <w:r w:rsidR="00ED324C" w:rsidRPr="00173F61">
        <w:rPr>
          <w:rFonts w:asciiTheme="majorBidi" w:hAnsiTheme="majorBidi" w:cstheme="majorBidi"/>
        </w:rPr>
        <w:t xml:space="preserve">the </w:t>
      </w:r>
      <w:r w:rsidR="00311285" w:rsidRPr="00173F61">
        <w:rPr>
          <w:rFonts w:asciiTheme="majorBidi" w:hAnsiTheme="majorBidi" w:cstheme="majorBidi"/>
        </w:rPr>
        <w:t xml:space="preserve">Croatian education </w:t>
      </w:r>
      <w:r w:rsidR="00ED324C" w:rsidRPr="00173F61">
        <w:rPr>
          <w:rFonts w:asciiTheme="majorBidi" w:hAnsiTheme="majorBidi" w:cstheme="majorBidi"/>
        </w:rPr>
        <w:t xml:space="preserve">system, </w:t>
      </w:r>
      <w:r w:rsidR="00311285" w:rsidRPr="00173F61">
        <w:rPr>
          <w:rFonts w:asciiTheme="majorBidi" w:hAnsiTheme="majorBidi" w:cstheme="majorBidi"/>
        </w:rPr>
        <w:t xml:space="preserve">where enrolment in </w:t>
      </w:r>
      <w:r w:rsidR="00ED324C" w:rsidRPr="00173F61">
        <w:rPr>
          <w:rFonts w:asciiTheme="majorBidi" w:hAnsiTheme="majorBidi" w:cstheme="majorBidi"/>
        </w:rPr>
        <w:t>the single-</w:t>
      </w:r>
      <w:r w:rsidR="00311285" w:rsidRPr="00173F61">
        <w:rPr>
          <w:rFonts w:asciiTheme="majorBidi" w:hAnsiTheme="majorBidi" w:cstheme="majorBidi"/>
        </w:rPr>
        <w:t xml:space="preserve">structure elementary education </w:t>
      </w:r>
      <w:r w:rsidR="00680E0F" w:rsidRPr="00173F61">
        <w:rPr>
          <w:rFonts w:asciiTheme="majorBidi" w:hAnsiTheme="majorBidi" w:cstheme="majorBidi"/>
        </w:rPr>
        <w:t xml:space="preserve">system </w:t>
      </w:r>
      <w:r w:rsidR="00311285" w:rsidRPr="00173F61">
        <w:rPr>
          <w:rFonts w:asciiTheme="majorBidi" w:hAnsiTheme="majorBidi" w:cstheme="majorBidi"/>
        </w:rPr>
        <w:t xml:space="preserve">(primary and lower secondary education) is almost exclusively based on </w:t>
      </w:r>
      <w:r w:rsidR="00680E0F" w:rsidRPr="00173F61">
        <w:rPr>
          <w:rFonts w:asciiTheme="majorBidi" w:hAnsiTheme="majorBidi" w:cstheme="majorBidi"/>
        </w:rPr>
        <w:t>a</w:t>
      </w:r>
      <w:r w:rsidR="00311285" w:rsidRPr="00173F61">
        <w:rPr>
          <w:rFonts w:asciiTheme="majorBidi" w:hAnsiTheme="majorBidi" w:cstheme="majorBidi"/>
        </w:rPr>
        <w:t xml:space="preserve"> pupils </w:t>
      </w:r>
      <w:r w:rsidR="00680E0F" w:rsidRPr="00173F61">
        <w:rPr>
          <w:rFonts w:asciiTheme="majorBidi" w:hAnsiTheme="majorBidi" w:cstheme="majorBidi"/>
        </w:rPr>
        <w:t>home address</w:t>
      </w:r>
      <w:r w:rsidR="00311285" w:rsidRPr="00173F61">
        <w:rPr>
          <w:rFonts w:asciiTheme="majorBidi" w:hAnsiTheme="majorBidi" w:cstheme="majorBidi"/>
        </w:rPr>
        <w:t xml:space="preserve">. In addition, these results </w:t>
      </w:r>
      <w:r w:rsidR="00680E0F" w:rsidRPr="00173F61">
        <w:rPr>
          <w:rFonts w:asciiTheme="majorBidi" w:hAnsiTheme="majorBidi" w:cstheme="majorBidi"/>
        </w:rPr>
        <w:t>might</w:t>
      </w:r>
      <w:r w:rsidR="00311285" w:rsidRPr="00173F61">
        <w:rPr>
          <w:rFonts w:asciiTheme="majorBidi" w:hAnsiTheme="majorBidi" w:cstheme="majorBidi"/>
        </w:rPr>
        <w:t xml:space="preserve"> also be generalised to other educational systems </w:t>
      </w:r>
      <w:r w:rsidR="00680E0F" w:rsidRPr="00173F61">
        <w:rPr>
          <w:rFonts w:asciiTheme="majorBidi" w:hAnsiTheme="majorBidi" w:cstheme="majorBidi"/>
        </w:rPr>
        <w:t>that aim to increase issues of equity in education</w:t>
      </w:r>
      <w:r w:rsidR="00311285" w:rsidRPr="00173F61">
        <w:rPr>
          <w:rFonts w:asciiTheme="majorBidi" w:hAnsiTheme="majorBidi" w:cstheme="majorBidi"/>
        </w:rPr>
        <w:t xml:space="preserve"> </w:t>
      </w:r>
      <w:r w:rsidR="00680E0F" w:rsidRPr="00173F61">
        <w:rPr>
          <w:rFonts w:asciiTheme="majorBidi" w:hAnsiTheme="majorBidi" w:cstheme="majorBidi"/>
        </w:rPr>
        <w:t>via</w:t>
      </w:r>
      <w:r w:rsidR="00311285" w:rsidRPr="00173F61">
        <w:rPr>
          <w:rFonts w:asciiTheme="majorBidi" w:hAnsiTheme="majorBidi" w:cstheme="majorBidi"/>
        </w:rPr>
        <w:t xml:space="preserve"> enrolment policies. </w:t>
      </w:r>
      <w:r w:rsidR="00357D04" w:rsidRPr="00173F61">
        <w:rPr>
          <w:rFonts w:asciiTheme="majorBidi" w:hAnsiTheme="majorBidi" w:cstheme="majorBidi"/>
        </w:rPr>
        <w:t xml:space="preserve">Furthermore, this </w:t>
      </w:r>
      <w:r w:rsidR="00FA3C02" w:rsidRPr="00173F61">
        <w:rPr>
          <w:rFonts w:asciiTheme="majorBidi" w:hAnsiTheme="majorBidi" w:cstheme="majorBidi"/>
        </w:rPr>
        <w:t xml:space="preserve">finding </w:t>
      </w:r>
      <w:r w:rsidR="00DF1722" w:rsidRPr="00173F61">
        <w:rPr>
          <w:rFonts w:asciiTheme="majorBidi" w:hAnsiTheme="majorBidi" w:cstheme="majorBidi"/>
        </w:rPr>
        <w:t>suggests</w:t>
      </w:r>
      <w:r w:rsidR="00357D04" w:rsidRPr="00173F61">
        <w:rPr>
          <w:rFonts w:asciiTheme="majorBidi" w:hAnsiTheme="majorBidi" w:cstheme="majorBidi"/>
        </w:rPr>
        <w:t xml:space="preserve"> that educational policies aimed </w:t>
      </w:r>
      <w:r w:rsidR="00E6038D" w:rsidRPr="00173F61">
        <w:rPr>
          <w:rFonts w:asciiTheme="majorBidi" w:hAnsiTheme="majorBidi" w:cstheme="majorBidi"/>
        </w:rPr>
        <w:t>at advising pupils of</w:t>
      </w:r>
      <w:r w:rsidR="00357D04" w:rsidRPr="00173F61">
        <w:rPr>
          <w:rFonts w:asciiTheme="majorBidi" w:hAnsiTheme="majorBidi" w:cstheme="majorBidi"/>
        </w:rPr>
        <w:t xml:space="preserve"> their educational choices </w:t>
      </w:r>
      <w:proofErr w:type="gramStart"/>
      <w:r w:rsidR="00357D04" w:rsidRPr="00173F61">
        <w:rPr>
          <w:rFonts w:asciiTheme="majorBidi" w:hAnsiTheme="majorBidi" w:cstheme="majorBidi"/>
        </w:rPr>
        <w:t>should be planned and carried out at the individual</w:t>
      </w:r>
      <w:r w:rsidR="00E6038D" w:rsidRPr="00173F61">
        <w:rPr>
          <w:rFonts w:asciiTheme="majorBidi" w:hAnsiTheme="majorBidi" w:cstheme="majorBidi"/>
        </w:rPr>
        <w:t>,</w:t>
      </w:r>
      <w:r w:rsidR="00357D04" w:rsidRPr="00173F61">
        <w:rPr>
          <w:rFonts w:asciiTheme="majorBidi" w:hAnsiTheme="majorBidi" w:cstheme="majorBidi"/>
        </w:rPr>
        <w:t xml:space="preserve"> </w:t>
      </w:r>
      <w:r w:rsidR="00E6038D" w:rsidRPr="00173F61">
        <w:rPr>
          <w:rFonts w:asciiTheme="majorBidi" w:hAnsiTheme="majorBidi" w:cstheme="majorBidi"/>
        </w:rPr>
        <w:t>rather than</w:t>
      </w:r>
      <w:r w:rsidR="00357D04" w:rsidRPr="00173F61">
        <w:rPr>
          <w:rFonts w:asciiTheme="majorBidi" w:hAnsiTheme="majorBidi" w:cstheme="majorBidi"/>
        </w:rPr>
        <w:t xml:space="preserve"> the school</w:t>
      </w:r>
      <w:r w:rsidR="00E6038D" w:rsidRPr="00173F61">
        <w:rPr>
          <w:rFonts w:asciiTheme="majorBidi" w:hAnsiTheme="majorBidi" w:cstheme="majorBidi"/>
        </w:rPr>
        <w:t>,</w:t>
      </w:r>
      <w:r w:rsidR="00357D04" w:rsidRPr="00173F61">
        <w:rPr>
          <w:rFonts w:asciiTheme="majorBidi" w:hAnsiTheme="majorBidi" w:cstheme="majorBidi"/>
        </w:rPr>
        <w:t xml:space="preserve"> level</w:t>
      </w:r>
      <w:proofErr w:type="gramEnd"/>
      <w:r w:rsidR="00357D04" w:rsidRPr="00173F61">
        <w:rPr>
          <w:rFonts w:asciiTheme="majorBidi" w:hAnsiTheme="majorBidi" w:cstheme="majorBidi"/>
        </w:rPr>
        <w:t>.</w:t>
      </w:r>
    </w:p>
    <w:p w14:paraId="0950B8CE" w14:textId="77B0BCB8" w:rsidR="00910A3E" w:rsidRPr="00173F61" w:rsidRDefault="00910A3E" w:rsidP="004C08CD">
      <w:pPr>
        <w:pStyle w:val="Newparagraph"/>
        <w:rPr>
          <w:rFonts w:asciiTheme="majorBidi" w:hAnsiTheme="majorBidi" w:cstheme="majorBidi"/>
        </w:rPr>
      </w:pPr>
      <w:r w:rsidRPr="00173F61">
        <w:rPr>
          <w:rFonts w:asciiTheme="majorBidi" w:hAnsiTheme="majorBidi" w:cstheme="majorBidi"/>
        </w:rPr>
        <w:t xml:space="preserve">The results </w:t>
      </w:r>
      <w:r w:rsidR="00DF1722" w:rsidRPr="00173F61">
        <w:rPr>
          <w:rFonts w:asciiTheme="majorBidi" w:hAnsiTheme="majorBidi" w:cstheme="majorBidi"/>
        </w:rPr>
        <w:t xml:space="preserve">also </w:t>
      </w:r>
      <w:r w:rsidRPr="00173F61">
        <w:rPr>
          <w:rFonts w:asciiTheme="majorBidi" w:hAnsiTheme="majorBidi" w:cstheme="majorBidi"/>
        </w:rPr>
        <w:t xml:space="preserve">indicate that both status attainment and blocked opportunities models have a role in forming </w:t>
      </w:r>
      <w:r w:rsidR="00DF1722" w:rsidRPr="00173F61">
        <w:rPr>
          <w:rFonts w:asciiTheme="majorBidi" w:hAnsiTheme="majorBidi" w:cstheme="majorBidi"/>
        </w:rPr>
        <w:t xml:space="preserve">the </w:t>
      </w:r>
      <w:r w:rsidRPr="00173F61">
        <w:rPr>
          <w:rFonts w:asciiTheme="majorBidi" w:hAnsiTheme="majorBidi" w:cstheme="majorBidi"/>
        </w:rPr>
        <w:t xml:space="preserve">educational aspirations of </w:t>
      </w:r>
      <w:r w:rsidR="00336588" w:rsidRPr="00173F61">
        <w:rPr>
          <w:rFonts w:asciiTheme="majorBidi" w:hAnsiTheme="majorBidi" w:cstheme="majorBidi"/>
        </w:rPr>
        <w:t>elementary</w:t>
      </w:r>
      <w:r w:rsidRPr="00173F61">
        <w:rPr>
          <w:rFonts w:asciiTheme="majorBidi" w:hAnsiTheme="majorBidi" w:cstheme="majorBidi"/>
        </w:rPr>
        <w:t xml:space="preserve"> school pupils. </w:t>
      </w:r>
      <w:r w:rsidR="00E6038D" w:rsidRPr="00173F61">
        <w:rPr>
          <w:rFonts w:asciiTheme="majorBidi" w:hAnsiTheme="majorBidi" w:cstheme="majorBidi"/>
        </w:rPr>
        <w:t xml:space="preserve">Specifically, </w:t>
      </w:r>
      <w:r w:rsidR="00311285" w:rsidRPr="00173F61">
        <w:rPr>
          <w:rFonts w:asciiTheme="majorBidi" w:hAnsiTheme="majorBidi" w:cstheme="majorBidi"/>
        </w:rPr>
        <w:t>t</w:t>
      </w:r>
      <w:r w:rsidR="00DF1722" w:rsidRPr="00173F61">
        <w:rPr>
          <w:rFonts w:asciiTheme="majorBidi" w:hAnsiTheme="majorBidi" w:cstheme="majorBidi"/>
        </w:rPr>
        <w:t xml:space="preserve">he findings of the present study </w:t>
      </w:r>
      <w:r w:rsidRPr="00173F61">
        <w:rPr>
          <w:rFonts w:asciiTheme="majorBidi" w:hAnsiTheme="majorBidi" w:cstheme="majorBidi"/>
        </w:rPr>
        <w:t xml:space="preserve">demonstrate the </w:t>
      </w:r>
      <w:r w:rsidR="00DF1722" w:rsidRPr="00173F61">
        <w:rPr>
          <w:rFonts w:asciiTheme="majorBidi" w:hAnsiTheme="majorBidi" w:cstheme="majorBidi"/>
        </w:rPr>
        <w:t xml:space="preserve">applicability </w:t>
      </w:r>
      <w:r w:rsidRPr="00173F61">
        <w:rPr>
          <w:rFonts w:asciiTheme="majorBidi" w:hAnsiTheme="majorBidi" w:cstheme="majorBidi"/>
        </w:rPr>
        <w:t xml:space="preserve">of these models in </w:t>
      </w:r>
      <w:r w:rsidR="00E6038D" w:rsidRPr="00173F61">
        <w:rPr>
          <w:rFonts w:asciiTheme="majorBidi" w:hAnsiTheme="majorBidi" w:cstheme="majorBidi"/>
        </w:rPr>
        <w:t xml:space="preserve">a </w:t>
      </w:r>
      <w:r w:rsidRPr="00173F61">
        <w:rPr>
          <w:rFonts w:asciiTheme="majorBidi" w:hAnsiTheme="majorBidi" w:cstheme="majorBidi"/>
        </w:rPr>
        <w:t xml:space="preserve">general population of </w:t>
      </w:r>
      <w:r w:rsidR="00311285" w:rsidRPr="00173F61">
        <w:rPr>
          <w:rFonts w:asciiTheme="majorBidi" w:hAnsiTheme="majorBidi" w:cstheme="majorBidi"/>
        </w:rPr>
        <w:t>final-</w:t>
      </w:r>
      <w:r w:rsidR="00E6038D" w:rsidRPr="00173F61">
        <w:rPr>
          <w:rFonts w:asciiTheme="majorBidi" w:hAnsiTheme="majorBidi" w:cstheme="majorBidi"/>
        </w:rPr>
        <w:t xml:space="preserve">year </w:t>
      </w:r>
      <w:r w:rsidR="00336588" w:rsidRPr="00173F61">
        <w:rPr>
          <w:rFonts w:asciiTheme="majorBidi" w:hAnsiTheme="majorBidi" w:cstheme="majorBidi"/>
        </w:rPr>
        <w:t>elementary</w:t>
      </w:r>
      <w:r w:rsidRPr="00173F61">
        <w:rPr>
          <w:rFonts w:asciiTheme="majorBidi" w:hAnsiTheme="majorBidi" w:cstheme="majorBidi"/>
        </w:rPr>
        <w:t xml:space="preserve"> </w:t>
      </w:r>
      <w:r w:rsidR="00311285" w:rsidRPr="00173F61">
        <w:rPr>
          <w:rFonts w:asciiTheme="majorBidi" w:hAnsiTheme="majorBidi" w:cstheme="majorBidi"/>
        </w:rPr>
        <w:t>education</w:t>
      </w:r>
      <w:r w:rsidRPr="00173F61">
        <w:rPr>
          <w:rFonts w:asciiTheme="majorBidi" w:hAnsiTheme="majorBidi" w:cstheme="majorBidi"/>
        </w:rPr>
        <w:t xml:space="preserve"> </w:t>
      </w:r>
      <w:r w:rsidR="00DF1722" w:rsidRPr="00173F61">
        <w:rPr>
          <w:rFonts w:asciiTheme="majorBidi" w:hAnsiTheme="majorBidi" w:cstheme="majorBidi"/>
        </w:rPr>
        <w:t xml:space="preserve">pupils in </w:t>
      </w:r>
      <w:r w:rsidRPr="00173F61">
        <w:rPr>
          <w:rFonts w:asciiTheme="majorBidi" w:hAnsiTheme="majorBidi" w:cstheme="majorBidi"/>
        </w:rPr>
        <w:t>Zagreb</w:t>
      </w:r>
      <w:r w:rsidR="00DF1722" w:rsidRPr="00173F61">
        <w:rPr>
          <w:rFonts w:asciiTheme="majorBidi" w:hAnsiTheme="majorBidi" w:cstheme="majorBidi"/>
        </w:rPr>
        <w:t>, Croatia</w:t>
      </w:r>
      <w:r w:rsidRPr="00173F61">
        <w:rPr>
          <w:rFonts w:asciiTheme="majorBidi" w:hAnsiTheme="majorBidi" w:cstheme="majorBidi"/>
        </w:rPr>
        <w:t xml:space="preserve">. </w:t>
      </w:r>
      <w:r w:rsidR="00B36F05" w:rsidRPr="00173F61">
        <w:rPr>
          <w:rFonts w:asciiTheme="majorBidi" w:hAnsiTheme="majorBidi" w:cstheme="majorBidi"/>
        </w:rPr>
        <w:t xml:space="preserve">This is </w:t>
      </w:r>
      <w:r w:rsidR="00680E0F" w:rsidRPr="00173F61">
        <w:rPr>
          <w:rFonts w:asciiTheme="majorBidi" w:hAnsiTheme="majorBidi" w:cstheme="majorBidi"/>
        </w:rPr>
        <w:t xml:space="preserve">of particular importance in light of the fact that </w:t>
      </w:r>
      <w:r w:rsidR="00B36F05" w:rsidRPr="00173F61">
        <w:rPr>
          <w:rFonts w:asciiTheme="majorBidi" w:hAnsiTheme="majorBidi" w:cstheme="majorBidi"/>
        </w:rPr>
        <w:t xml:space="preserve">there are only </w:t>
      </w:r>
      <w:r w:rsidR="00680E0F" w:rsidRPr="00173F61">
        <w:rPr>
          <w:rFonts w:asciiTheme="majorBidi" w:hAnsiTheme="majorBidi" w:cstheme="majorBidi"/>
        </w:rPr>
        <w:t xml:space="preserve">a </w:t>
      </w:r>
      <w:r w:rsidR="00B36F05" w:rsidRPr="00173F61">
        <w:rPr>
          <w:rFonts w:asciiTheme="majorBidi" w:hAnsiTheme="majorBidi" w:cstheme="majorBidi"/>
        </w:rPr>
        <w:t>few studies exploring</w:t>
      </w:r>
      <w:r w:rsidRPr="00173F61">
        <w:rPr>
          <w:rFonts w:asciiTheme="majorBidi" w:hAnsiTheme="majorBidi" w:cstheme="majorBidi"/>
        </w:rPr>
        <w:t xml:space="preserve"> educational aspirations </w:t>
      </w:r>
      <w:r w:rsidR="00B36F05" w:rsidRPr="00173F61">
        <w:rPr>
          <w:rFonts w:asciiTheme="majorBidi" w:hAnsiTheme="majorBidi" w:cstheme="majorBidi"/>
        </w:rPr>
        <w:t xml:space="preserve">for higher education </w:t>
      </w:r>
      <w:r w:rsidRPr="00173F61">
        <w:rPr>
          <w:rFonts w:asciiTheme="majorBidi" w:hAnsiTheme="majorBidi" w:cstheme="majorBidi"/>
        </w:rPr>
        <w:t xml:space="preserve">in the general </w:t>
      </w:r>
      <w:r w:rsidR="00DF1722" w:rsidRPr="00173F61">
        <w:rPr>
          <w:rFonts w:asciiTheme="majorBidi" w:hAnsiTheme="majorBidi" w:cstheme="majorBidi"/>
        </w:rPr>
        <w:t xml:space="preserve">elementary school </w:t>
      </w:r>
      <w:r w:rsidR="00B36F05" w:rsidRPr="00173F61">
        <w:rPr>
          <w:rFonts w:asciiTheme="majorBidi" w:hAnsiTheme="majorBidi" w:cstheme="majorBidi"/>
        </w:rPr>
        <w:t xml:space="preserve">population. </w:t>
      </w:r>
      <w:proofErr w:type="gramStart"/>
      <w:r w:rsidR="00680E0F" w:rsidRPr="00173F61">
        <w:rPr>
          <w:rFonts w:asciiTheme="majorBidi" w:hAnsiTheme="majorBidi" w:cstheme="majorBidi"/>
        </w:rPr>
        <w:t>This</w:t>
      </w:r>
      <w:r w:rsidR="00B36F05" w:rsidRPr="00173F61">
        <w:rPr>
          <w:rFonts w:asciiTheme="majorBidi" w:hAnsiTheme="majorBidi" w:cstheme="majorBidi"/>
        </w:rPr>
        <w:t xml:space="preserve"> focus on</w:t>
      </w:r>
      <w:r w:rsidR="00680E0F" w:rsidRPr="00173F61">
        <w:rPr>
          <w:rFonts w:asciiTheme="majorBidi" w:hAnsiTheme="majorBidi" w:cstheme="majorBidi"/>
        </w:rPr>
        <w:t xml:space="preserve"> the</w:t>
      </w:r>
      <w:r w:rsidR="00B36F05" w:rsidRPr="00173F61">
        <w:rPr>
          <w:rFonts w:asciiTheme="majorBidi" w:hAnsiTheme="majorBidi" w:cstheme="majorBidi"/>
        </w:rPr>
        <w:t xml:space="preserve"> general </w:t>
      </w:r>
      <w:r w:rsidR="00680E0F" w:rsidRPr="00173F61">
        <w:rPr>
          <w:rFonts w:asciiTheme="majorBidi" w:hAnsiTheme="majorBidi" w:cstheme="majorBidi"/>
        </w:rPr>
        <w:t xml:space="preserve">pupil </w:t>
      </w:r>
      <w:r w:rsidR="00B36F05" w:rsidRPr="00173F61">
        <w:rPr>
          <w:rFonts w:asciiTheme="majorBidi" w:hAnsiTheme="majorBidi" w:cstheme="majorBidi"/>
        </w:rPr>
        <w:t xml:space="preserve">population is especially important </w:t>
      </w:r>
      <w:r w:rsidR="00680E0F" w:rsidRPr="00173F61">
        <w:rPr>
          <w:rFonts w:asciiTheme="majorBidi" w:hAnsiTheme="majorBidi" w:cstheme="majorBidi"/>
        </w:rPr>
        <w:t>in light of steadily growing</w:t>
      </w:r>
      <w:r w:rsidR="00B36F05" w:rsidRPr="00173F61">
        <w:rPr>
          <w:rFonts w:asciiTheme="majorBidi" w:hAnsiTheme="majorBidi" w:cstheme="majorBidi"/>
        </w:rPr>
        <w:t xml:space="preserve"> </w:t>
      </w:r>
      <w:r w:rsidR="00680E0F" w:rsidRPr="00173F61">
        <w:rPr>
          <w:rFonts w:asciiTheme="majorBidi" w:hAnsiTheme="majorBidi" w:cstheme="majorBidi"/>
        </w:rPr>
        <w:t xml:space="preserve">opportunities </w:t>
      </w:r>
      <w:r w:rsidR="00680E0F" w:rsidRPr="00173F61">
        <w:rPr>
          <w:rFonts w:asciiTheme="majorBidi" w:hAnsiTheme="majorBidi" w:cstheme="majorBidi"/>
        </w:rPr>
        <w:lastRenderedPageBreak/>
        <w:t>for</w:t>
      </w:r>
      <w:r w:rsidR="00B36F05" w:rsidRPr="00173F61">
        <w:rPr>
          <w:rFonts w:asciiTheme="majorBidi" w:hAnsiTheme="majorBidi" w:cstheme="majorBidi"/>
        </w:rPr>
        <w:t xml:space="preserve"> attending higher education for a substantial proportion of </w:t>
      </w:r>
      <w:r w:rsidR="00680E0F" w:rsidRPr="00173F61">
        <w:rPr>
          <w:rFonts w:asciiTheme="majorBidi" w:hAnsiTheme="majorBidi" w:cstheme="majorBidi"/>
        </w:rPr>
        <w:t xml:space="preserve">a given cohort that, </w:t>
      </w:r>
      <w:r w:rsidR="00B36F05" w:rsidRPr="00173F61">
        <w:rPr>
          <w:rFonts w:asciiTheme="majorBidi" w:hAnsiTheme="majorBidi" w:cstheme="majorBidi"/>
        </w:rPr>
        <w:t xml:space="preserve">in </w:t>
      </w:r>
      <w:r w:rsidRPr="00173F61">
        <w:rPr>
          <w:rFonts w:asciiTheme="majorBidi" w:hAnsiTheme="majorBidi" w:cstheme="majorBidi"/>
        </w:rPr>
        <w:t>some countries</w:t>
      </w:r>
      <w:r w:rsidR="009135CD" w:rsidRPr="00173F61">
        <w:rPr>
          <w:rFonts w:asciiTheme="majorBidi" w:hAnsiTheme="majorBidi" w:cstheme="majorBidi"/>
        </w:rPr>
        <w:t>,</w:t>
      </w:r>
      <w:r w:rsidRPr="00173F61">
        <w:rPr>
          <w:rFonts w:asciiTheme="majorBidi" w:hAnsiTheme="majorBidi" w:cstheme="majorBidi"/>
        </w:rPr>
        <w:t xml:space="preserve"> </w:t>
      </w:r>
      <w:r w:rsidR="00680E0F" w:rsidRPr="00173F61">
        <w:rPr>
          <w:rFonts w:asciiTheme="majorBidi" w:hAnsiTheme="majorBidi" w:cstheme="majorBidi"/>
        </w:rPr>
        <w:t xml:space="preserve">arises as a result of the fact that the number of </w:t>
      </w:r>
      <w:r w:rsidRPr="00173F61">
        <w:rPr>
          <w:rFonts w:asciiTheme="majorBidi" w:hAnsiTheme="majorBidi" w:cstheme="majorBidi"/>
        </w:rPr>
        <w:t xml:space="preserve">enrolment places </w:t>
      </w:r>
      <w:r w:rsidR="00B36F05" w:rsidRPr="00173F61">
        <w:rPr>
          <w:rFonts w:asciiTheme="majorBidi" w:hAnsiTheme="majorBidi" w:cstheme="majorBidi"/>
        </w:rPr>
        <w:t xml:space="preserve">in higher education institutions </w:t>
      </w:r>
      <w:r w:rsidR="00680E0F" w:rsidRPr="00173F61">
        <w:rPr>
          <w:rFonts w:asciiTheme="majorBidi" w:hAnsiTheme="majorBidi" w:cstheme="majorBidi"/>
        </w:rPr>
        <w:t xml:space="preserve">is greater than the </w:t>
      </w:r>
      <w:r w:rsidR="009135CD" w:rsidRPr="00173F61">
        <w:rPr>
          <w:rFonts w:asciiTheme="majorBidi" w:hAnsiTheme="majorBidi" w:cstheme="majorBidi"/>
        </w:rPr>
        <w:t>number of</w:t>
      </w:r>
      <w:r w:rsidRPr="00173F61">
        <w:rPr>
          <w:rFonts w:asciiTheme="majorBidi" w:hAnsiTheme="majorBidi" w:cstheme="majorBidi"/>
        </w:rPr>
        <w:t xml:space="preserve"> potential candidates</w:t>
      </w:r>
      <w:r w:rsidR="00852B5E">
        <w:rPr>
          <w:rFonts w:asciiTheme="majorBidi" w:hAnsiTheme="majorBidi" w:cstheme="majorBidi"/>
        </w:rPr>
        <w:t xml:space="preserve"> (e.g. </w:t>
      </w:r>
      <w:proofErr w:type="spellStart"/>
      <w:r w:rsidR="00852B5E">
        <w:rPr>
          <w:rFonts w:asciiTheme="majorBidi" w:hAnsiTheme="majorBidi" w:cstheme="majorBidi"/>
        </w:rPr>
        <w:t>Cunska</w:t>
      </w:r>
      <w:proofErr w:type="spellEnd"/>
      <w:r w:rsidR="00D4236E">
        <w:rPr>
          <w:rFonts w:asciiTheme="majorBidi" w:hAnsiTheme="majorBidi" w:cstheme="majorBidi"/>
        </w:rPr>
        <w:t xml:space="preserve"> 2010; </w:t>
      </w:r>
      <w:proofErr w:type="spellStart"/>
      <w:r w:rsidR="00D4236E">
        <w:rPr>
          <w:rFonts w:asciiTheme="majorBidi" w:hAnsiTheme="majorBidi" w:cstheme="majorBidi"/>
        </w:rPr>
        <w:t>Jokić</w:t>
      </w:r>
      <w:proofErr w:type="spellEnd"/>
      <w:r w:rsidR="00D4236E">
        <w:rPr>
          <w:rFonts w:asciiTheme="majorBidi" w:hAnsiTheme="majorBidi" w:cstheme="majorBidi"/>
        </w:rPr>
        <w:t xml:space="preserve"> and</w:t>
      </w:r>
      <w:r w:rsidR="00680E0F" w:rsidRPr="00173F61">
        <w:rPr>
          <w:rFonts w:asciiTheme="majorBidi" w:hAnsiTheme="majorBidi" w:cstheme="majorBidi"/>
        </w:rPr>
        <w:t xml:space="preserve"> </w:t>
      </w:r>
      <w:proofErr w:type="spellStart"/>
      <w:r w:rsidR="00852B5E">
        <w:rPr>
          <w:rFonts w:asciiTheme="majorBidi" w:hAnsiTheme="majorBidi" w:cstheme="majorBidi"/>
        </w:rPr>
        <w:t>Ristić</w:t>
      </w:r>
      <w:proofErr w:type="spellEnd"/>
      <w:r w:rsidR="00852B5E">
        <w:rPr>
          <w:rFonts w:asciiTheme="majorBidi" w:hAnsiTheme="majorBidi" w:cstheme="majorBidi"/>
        </w:rPr>
        <w:t xml:space="preserve"> </w:t>
      </w:r>
      <w:proofErr w:type="spellStart"/>
      <w:r w:rsidR="00852B5E">
        <w:rPr>
          <w:rFonts w:asciiTheme="majorBidi" w:hAnsiTheme="majorBidi" w:cstheme="majorBidi"/>
        </w:rPr>
        <w:t>Dedić</w:t>
      </w:r>
      <w:proofErr w:type="spellEnd"/>
      <w:r w:rsidR="00476891" w:rsidRPr="00173F61">
        <w:rPr>
          <w:rFonts w:asciiTheme="majorBidi" w:hAnsiTheme="majorBidi" w:cstheme="majorBidi"/>
        </w:rPr>
        <w:t xml:space="preserve"> 2014; </w:t>
      </w:r>
      <w:r w:rsidR="00852B5E">
        <w:rPr>
          <w:rFonts w:asciiTheme="majorBidi" w:hAnsiTheme="majorBidi" w:cstheme="majorBidi"/>
        </w:rPr>
        <w:t>Santa</w:t>
      </w:r>
      <w:r w:rsidR="00476891" w:rsidRPr="00173F61">
        <w:rPr>
          <w:rFonts w:asciiTheme="majorBidi" w:hAnsiTheme="majorBidi" w:cstheme="majorBidi"/>
        </w:rPr>
        <w:t xml:space="preserve"> 2018)</w:t>
      </w:r>
      <w:r w:rsidR="00B36F05" w:rsidRPr="00173F61">
        <w:rPr>
          <w:rFonts w:asciiTheme="majorBidi" w:hAnsiTheme="majorBidi" w:cstheme="majorBidi"/>
        </w:rPr>
        <w:t>.</w:t>
      </w:r>
      <w:proofErr w:type="gramEnd"/>
    </w:p>
    <w:p w14:paraId="78CE5F72" w14:textId="0F32DC9D" w:rsidR="00910A3E" w:rsidRPr="00173F61" w:rsidRDefault="00910A3E" w:rsidP="004C08CD">
      <w:pPr>
        <w:pStyle w:val="Newparagraph"/>
        <w:rPr>
          <w:rFonts w:asciiTheme="majorBidi" w:hAnsiTheme="majorBidi" w:cstheme="majorBidi"/>
        </w:rPr>
      </w:pPr>
      <w:r w:rsidRPr="00173F61">
        <w:rPr>
          <w:rFonts w:asciiTheme="majorBidi" w:hAnsiTheme="majorBidi" w:cstheme="majorBidi"/>
        </w:rPr>
        <w:t xml:space="preserve">From </w:t>
      </w:r>
      <w:r w:rsidR="009135CD" w:rsidRPr="00173F61">
        <w:rPr>
          <w:rFonts w:asciiTheme="majorBidi" w:hAnsiTheme="majorBidi" w:cstheme="majorBidi"/>
        </w:rPr>
        <w:t xml:space="preserve">a </w:t>
      </w:r>
      <w:r w:rsidRPr="00173F61">
        <w:rPr>
          <w:rFonts w:asciiTheme="majorBidi" w:hAnsiTheme="majorBidi" w:cstheme="majorBidi"/>
        </w:rPr>
        <w:t xml:space="preserve">status attainment perspective, </w:t>
      </w:r>
      <w:r w:rsidR="009135CD" w:rsidRPr="00173F61">
        <w:rPr>
          <w:rFonts w:asciiTheme="majorBidi" w:hAnsiTheme="majorBidi" w:cstheme="majorBidi"/>
        </w:rPr>
        <w:t xml:space="preserve">an </w:t>
      </w:r>
      <w:r w:rsidRPr="00173F61">
        <w:rPr>
          <w:rFonts w:asciiTheme="majorBidi" w:hAnsiTheme="majorBidi" w:cstheme="majorBidi"/>
        </w:rPr>
        <w:t>important finding</w:t>
      </w:r>
      <w:r w:rsidR="009135CD" w:rsidRPr="00173F61">
        <w:rPr>
          <w:rFonts w:asciiTheme="majorBidi" w:hAnsiTheme="majorBidi" w:cstheme="majorBidi"/>
        </w:rPr>
        <w:t xml:space="preserve"> arising from the present study</w:t>
      </w:r>
      <w:r w:rsidRPr="00173F61">
        <w:rPr>
          <w:rFonts w:asciiTheme="majorBidi" w:hAnsiTheme="majorBidi" w:cstheme="majorBidi"/>
        </w:rPr>
        <w:t xml:space="preserve"> is that parents can influence their child’s aspirations by expressing their expectations regarding the child’s educational path and by providing the basic conditions for </w:t>
      </w:r>
      <w:r w:rsidR="009135CD" w:rsidRPr="00173F61">
        <w:rPr>
          <w:rFonts w:asciiTheme="majorBidi" w:hAnsiTheme="majorBidi" w:cstheme="majorBidi"/>
        </w:rPr>
        <w:t>completing</w:t>
      </w:r>
      <w:r w:rsidRPr="00173F61">
        <w:rPr>
          <w:rFonts w:asciiTheme="majorBidi" w:hAnsiTheme="majorBidi" w:cstheme="majorBidi"/>
        </w:rPr>
        <w:t xml:space="preserve"> homework and learning (i.e. a desk to work on). The finding that maternal academic support predicts pupil’s aspirations is </w:t>
      </w:r>
      <w:r w:rsidR="009135CD" w:rsidRPr="00173F61">
        <w:rPr>
          <w:rFonts w:asciiTheme="majorBidi" w:hAnsiTheme="majorBidi" w:cstheme="majorBidi"/>
        </w:rPr>
        <w:t>consistent</w:t>
      </w:r>
      <w:r w:rsidRPr="00173F61">
        <w:rPr>
          <w:rFonts w:asciiTheme="majorBidi" w:hAnsiTheme="majorBidi" w:cstheme="majorBidi"/>
        </w:rPr>
        <w:t xml:space="preserve"> with </w:t>
      </w:r>
      <w:proofErr w:type="spellStart"/>
      <w:r w:rsidRPr="00173F61">
        <w:rPr>
          <w:rFonts w:asciiTheme="majorBidi" w:hAnsiTheme="majorBidi" w:cstheme="majorBidi"/>
        </w:rPr>
        <w:t>Brasier’s</w:t>
      </w:r>
      <w:proofErr w:type="spellEnd"/>
      <w:r w:rsidRPr="00173F61">
        <w:rPr>
          <w:rFonts w:asciiTheme="majorBidi" w:hAnsiTheme="majorBidi" w:cstheme="majorBidi"/>
        </w:rPr>
        <w:t xml:space="preserve"> (2008) finding </w:t>
      </w:r>
      <w:r w:rsidR="009135CD" w:rsidRPr="00173F61">
        <w:rPr>
          <w:rFonts w:asciiTheme="majorBidi" w:hAnsiTheme="majorBidi" w:cstheme="majorBidi"/>
        </w:rPr>
        <w:t xml:space="preserve">with </w:t>
      </w:r>
      <w:r w:rsidRPr="00173F61">
        <w:rPr>
          <w:rFonts w:asciiTheme="majorBidi" w:hAnsiTheme="majorBidi" w:cstheme="majorBidi"/>
        </w:rPr>
        <w:t>a similar sample of pupils</w:t>
      </w:r>
      <w:r w:rsidR="009135CD" w:rsidRPr="00173F61">
        <w:rPr>
          <w:rFonts w:asciiTheme="majorBidi" w:hAnsiTheme="majorBidi" w:cstheme="majorBidi"/>
        </w:rPr>
        <w:t xml:space="preserve"> in the U.S., which demonstrated</w:t>
      </w:r>
      <w:r w:rsidRPr="00173F61">
        <w:rPr>
          <w:rFonts w:asciiTheme="majorBidi" w:hAnsiTheme="majorBidi" w:cstheme="majorBidi"/>
        </w:rPr>
        <w:t xml:space="preserve"> that parental involvement </w:t>
      </w:r>
      <w:r w:rsidR="009135CD" w:rsidRPr="00173F61">
        <w:rPr>
          <w:rFonts w:asciiTheme="majorBidi" w:hAnsiTheme="majorBidi" w:cstheme="majorBidi"/>
        </w:rPr>
        <w:t xml:space="preserve">had </w:t>
      </w:r>
      <w:r w:rsidRPr="00173F61">
        <w:rPr>
          <w:rFonts w:asciiTheme="majorBidi" w:hAnsiTheme="majorBidi" w:cstheme="majorBidi"/>
        </w:rPr>
        <w:t xml:space="preserve">a significant positive effect on pupils’ desire to finish college </w:t>
      </w:r>
      <w:r w:rsidR="009135CD" w:rsidRPr="00173F61">
        <w:rPr>
          <w:rFonts w:asciiTheme="majorBidi" w:hAnsiTheme="majorBidi" w:cstheme="majorBidi"/>
        </w:rPr>
        <w:t xml:space="preserve">in </w:t>
      </w:r>
      <w:r w:rsidRPr="00173F61">
        <w:rPr>
          <w:rFonts w:asciiTheme="majorBidi" w:hAnsiTheme="majorBidi" w:cstheme="majorBidi"/>
        </w:rPr>
        <w:t>both the 8</w:t>
      </w:r>
      <w:r w:rsidRPr="001133D0">
        <w:rPr>
          <w:rFonts w:asciiTheme="majorBidi" w:hAnsiTheme="majorBidi"/>
          <w:vertAlign w:val="superscript"/>
        </w:rPr>
        <w:t>th</w:t>
      </w:r>
      <w:r w:rsidRPr="00173F61">
        <w:rPr>
          <w:rFonts w:asciiTheme="majorBidi" w:hAnsiTheme="majorBidi" w:cstheme="majorBidi"/>
        </w:rPr>
        <w:t xml:space="preserve"> and 10</w:t>
      </w:r>
      <w:r w:rsidRPr="001133D0">
        <w:rPr>
          <w:rFonts w:asciiTheme="majorBidi" w:hAnsiTheme="majorBidi"/>
          <w:vertAlign w:val="superscript"/>
        </w:rPr>
        <w:t>th</w:t>
      </w:r>
      <w:r w:rsidRPr="004C08CD">
        <w:rPr>
          <w:rFonts w:asciiTheme="majorBidi" w:hAnsiTheme="majorBidi" w:cstheme="majorBidi"/>
        </w:rPr>
        <w:t xml:space="preserve"> </w:t>
      </w:r>
      <w:r w:rsidRPr="00173F61">
        <w:rPr>
          <w:rFonts w:asciiTheme="majorBidi" w:hAnsiTheme="majorBidi" w:cstheme="majorBidi"/>
        </w:rPr>
        <w:t>grade (13 and 15 years, respectively).</w:t>
      </w:r>
    </w:p>
    <w:p w14:paraId="2030837D" w14:textId="2C002E86" w:rsidR="00910A3E" w:rsidRPr="00173F61" w:rsidRDefault="00910A3E" w:rsidP="004C08CD">
      <w:pPr>
        <w:pStyle w:val="Newparagraph"/>
        <w:rPr>
          <w:rFonts w:asciiTheme="majorBidi" w:hAnsiTheme="majorBidi" w:cstheme="majorBidi"/>
        </w:rPr>
      </w:pPr>
      <w:r w:rsidRPr="00173F61">
        <w:rPr>
          <w:rFonts w:asciiTheme="majorBidi" w:hAnsiTheme="majorBidi" w:cstheme="majorBidi"/>
        </w:rPr>
        <w:t xml:space="preserve">From an equal opportunity standpoint, it is encouraging that parental employment and educational status </w:t>
      </w:r>
      <w:r w:rsidR="009135CD" w:rsidRPr="00173F61">
        <w:rPr>
          <w:rFonts w:asciiTheme="majorBidi" w:hAnsiTheme="majorBidi" w:cstheme="majorBidi"/>
        </w:rPr>
        <w:t xml:space="preserve">did </w:t>
      </w:r>
      <w:r w:rsidRPr="00173F61">
        <w:rPr>
          <w:rFonts w:asciiTheme="majorBidi" w:hAnsiTheme="majorBidi" w:cstheme="majorBidi"/>
        </w:rPr>
        <w:t xml:space="preserve">not predict pupils’ aspirations. However, </w:t>
      </w:r>
      <w:r w:rsidR="009135CD" w:rsidRPr="00173F61">
        <w:rPr>
          <w:rFonts w:asciiTheme="majorBidi" w:hAnsiTheme="majorBidi" w:cstheme="majorBidi"/>
        </w:rPr>
        <w:t>it is important to note</w:t>
      </w:r>
      <w:r w:rsidRPr="00173F61">
        <w:rPr>
          <w:rFonts w:asciiTheme="majorBidi" w:hAnsiTheme="majorBidi" w:cstheme="majorBidi"/>
        </w:rPr>
        <w:t xml:space="preserve"> that the </w:t>
      </w:r>
      <w:r w:rsidR="009135CD" w:rsidRPr="00173F61">
        <w:rPr>
          <w:rFonts w:asciiTheme="majorBidi" w:hAnsiTheme="majorBidi" w:cstheme="majorBidi"/>
        </w:rPr>
        <w:t xml:space="preserve">vast </w:t>
      </w:r>
      <w:r w:rsidRPr="00173F61">
        <w:rPr>
          <w:rFonts w:asciiTheme="majorBidi" w:hAnsiTheme="majorBidi" w:cstheme="majorBidi"/>
        </w:rPr>
        <w:t xml:space="preserve">majority of parents in our sample </w:t>
      </w:r>
      <w:proofErr w:type="gramStart"/>
      <w:r w:rsidRPr="00173F61">
        <w:rPr>
          <w:rFonts w:asciiTheme="majorBidi" w:hAnsiTheme="majorBidi" w:cstheme="majorBidi"/>
        </w:rPr>
        <w:t>are employed</w:t>
      </w:r>
      <w:proofErr w:type="gramEnd"/>
      <w:r w:rsidRPr="00173F61">
        <w:rPr>
          <w:rFonts w:asciiTheme="majorBidi" w:hAnsiTheme="majorBidi" w:cstheme="majorBidi"/>
        </w:rPr>
        <w:t xml:space="preserve">. </w:t>
      </w:r>
      <w:r w:rsidR="00E6038D" w:rsidRPr="00173F61">
        <w:rPr>
          <w:rFonts w:asciiTheme="majorBidi" w:hAnsiTheme="majorBidi" w:cstheme="majorBidi"/>
        </w:rPr>
        <w:t xml:space="preserve">Similarly, because Zagreb represents the dominant and primary university centre in Croatia, higher education is less expensive for families that live in Zagreb in comparison to those that live outside university centres. </w:t>
      </w:r>
      <w:r w:rsidRPr="00173F61">
        <w:rPr>
          <w:rFonts w:asciiTheme="majorBidi" w:hAnsiTheme="majorBidi" w:cstheme="majorBidi"/>
        </w:rPr>
        <w:t>In</w:t>
      </w:r>
      <w:r w:rsidR="009135CD" w:rsidRPr="00173F61">
        <w:rPr>
          <w:rFonts w:asciiTheme="majorBidi" w:hAnsiTheme="majorBidi" w:cstheme="majorBidi"/>
        </w:rPr>
        <w:t>deed, the results might have been different in</w:t>
      </w:r>
      <w:r w:rsidRPr="00173F61">
        <w:rPr>
          <w:rFonts w:asciiTheme="majorBidi" w:hAnsiTheme="majorBidi" w:cstheme="majorBidi"/>
        </w:rPr>
        <w:t xml:space="preserve"> a more diverse sample</w:t>
      </w:r>
      <w:r w:rsidR="009135CD" w:rsidRPr="00173F61">
        <w:rPr>
          <w:rFonts w:asciiTheme="majorBidi" w:hAnsiTheme="majorBidi" w:cstheme="majorBidi"/>
        </w:rPr>
        <w:t>.</w:t>
      </w:r>
      <w:r w:rsidRPr="00173F61">
        <w:rPr>
          <w:rFonts w:asciiTheme="majorBidi" w:hAnsiTheme="majorBidi" w:cstheme="majorBidi"/>
        </w:rPr>
        <w:t xml:space="preserve"> </w:t>
      </w:r>
    </w:p>
    <w:p w14:paraId="00311B9F" w14:textId="28A428AD" w:rsidR="00910A3E" w:rsidRPr="00173F61" w:rsidRDefault="009135CD" w:rsidP="004C08CD">
      <w:pPr>
        <w:pStyle w:val="Newparagraph"/>
        <w:rPr>
          <w:rFonts w:asciiTheme="majorBidi" w:hAnsiTheme="majorBidi" w:cstheme="majorBidi"/>
        </w:rPr>
      </w:pPr>
      <w:r w:rsidRPr="00173F61">
        <w:rPr>
          <w:rFonts w:asciiTheme="majorBidi" w:hAnsiTheme="majorBidi" w:cstheme="majorBidi"/>
        </w:rPr>
        <w:t>In the present study, g</w:t>
      </w:r>
      <w:r w:rsidR="00910A3E" w:rsidRPr="00173F61">
        <w:rPr>
          <w:rFonts w:asciiTheme="majorBidi" w:hAnsiTheme="majorBidi" w:cstheme="majorBidi"/>
        </w:rPr>
        <w:t>rade point average is the strongest predictor of aspirations. This is not a surprise</w:t>
      </w:r>
      <w:r w:rsidRPr="00173F61">
        <w:rPr>
          <w:rFonts w:asciiTheme="majorBidi" w:hAnsiTheme="majorBidi" w:cstheme="majorBidi"/>
        </w:rPr>
        <w:t xml:space="preserve"> if one considers the fact that </w:t>
      </w:r>
      <w:r w:rsidR="00910A3E" w:rsidRPr="00173F61">
        <w:rPr>
          <w:rFonts w:asciiTheme="majorBidi" w:hAnsiTheme="majorBidi" w:cstheme="majorBidi"/>
        </w:rPr>
        <w:t xml:space="preserve">school grades are the most important criterion for </w:t>
      </w:r>
      <w:r w:rsidR="00E6038D" w:rsidRPr="00173F61">
        <w:rPr>
          <w:rFonts w:asciiTheme="majorBidi" w:hAnsiTheme="majorBidi" w:cstheme="majorBidi"/>
        </w:rPr>
        <w:t xml:space="preserve">the ranking of </w:t>
      </w:r>
      <w:r w:rsidR="00910A3E" w:rsidRPr="00173F61">
        <w:rPr>
          <w:rFonts w:asciiTheme="majorBidi" w:hAnsiTheme="majorBidi" w:cstheme="majorBidi"/>
        </w:rPr>
        <w:t>pupil</w:t>
      </w:r>
      <w:r w:rsidR="00E6038D" w:rsidRPr="00173F61">
        <w:rPr>
          <w:rFonts w:asciiTheme="majorBidi" w:hAnsiTheme="majorBidi" w:cstheme="majorBidi"/>
        </w:rPr>
        <w:t>s</w:t>
      </w:r>
      <w:r w:rsidR="00910A3E" w:rsidRPr="00173F61">
        <w:rPr>
          <w:rFonts w:asciiTheme="majorBidi" w:hAnsiTheme="majorBidi" w:cstheme="majorBidi"/>
        </w:rPr>
        <w:t xml:space="preserve"> in the Croatian </w:t>
      </w:r>
      <w:r w:rsidR="0017397C" w:rsidRPr="00173F61">
        <w:rPr>
          <w:rFonts w:asciiTheme="majorBidi" w:hAnsiTheme="majorBidi" w:cstheme="majorBidi"/>
        </w:rPr>
        <w:t>secondary</w:t>
      </w:r>
      <w:r w:rsidR="00910A3E" w:rsidRPr="00173F61">
        <w:rPr>
          <w:rFonts w:asciiTheme="majorBidi" w:hAnsiTheme="majorBidi" w:cstheme="majorBidi"/>
        </w:rPr>
        <w:t xml:space="preserve"> school enrolment system. In most cases, Croatian </w:t>
      </w:r>
      <w:r w:rsidR="00B36F05" w:rsidRPr="00173F61">
        <w:rPr>
          <w:rFonts w:asciiTheme="majorBidi" w:hAnsiTheme="majorBidi" w:cstheme="majorBidi"/>
        </w:rPr>
        <w:t>Gymnasium</w:t>
      </w:r>
      <w:r w:rsidR="00A64BEB" w:rsidRPr="00173F61">
        <w:rPr>
          <w:rFonts w:asciiTheme="majorBidi" w:hAnsiTheme="majorBidi" w:cstheme="majorBidi"/>
        </w:rPr>
        <w:t xml:space="preserve"> programmes</w:t>
      </w:r>
      <w:r w:rsidR="00910A3E" w:rsidRPr="00173F61">
        <w:rPr>
          <w:rFonts w:asciiTheme="majorBidi" w:hAnsiTheme="majorBidi" w:cstheme="majorBidi"/>
        </w:rPr>
        <w:t xml:space="preserve"> have the highest cut off points in the enrolment process, followed by </w:t>
      </w:r>
      <w:r w:rsidR="0046069C" w:rsidRPr="00173F61">
        <w:rPr>
          <w:rFonts w:asciiTheme="majorBidi" w:hAnsiTheme="majorBidi" w:cstheme="majorBidi"/>
        </w:rPr>
        <w:t>four</w:t>
      </w:r>
      <w:r w:rsidR="00910A3E" w:rsidRPr="00173F61">
        <w:rPr>
          <w:rFonts w:asciiTheme="majorBidi" w:hAnsiTheme="majorBidi" w:cstheme="majorBidi"/>
        </w:rPr>
        <w:t xml:space="preserve">-year </w:t>
      </w:r>
      <w:r w:rsidR="005C6A42" w:rsidRPr="00173F61">
        <w:rPr>
          <w:rFonts w:asciiTheme="majorBidi" w:hAnsiTheme="majorBidi" w:cstheme="majorBidi"/>
        </w:rPr>
        <w:t xml:space="preserve">and </w:t>
      </w:r>
      <w:r w:rsidR="0046069C" w:rsidRPr="00173F61">
        <w:rPr>
          <w:rFonts w:asciiTheme="majorBidi" w:hAnsiTheme="majorBidi" w:cstheme="majorBidi"/>
        </w:rPr>
        <w:t>three</w:t>
      </w:r>
      <w:r w:rsidR="00A64BEB" w:rsidRPr="00173F61">
        <w:rPr>
          <w:rFonts w:asciiTheme="majorBidi" w:hAnsiTheme="majorBidi" w:cstheme="majorBidi"/>
        </w:rPr>
        <w:t xml:space="preserve">-year </w:t>
      </w:r>
      <w:r w:rsidR="00160364" w:rsidRPr="00173F61">
        <w:rPr>
          <w:rFonts w:asciiTheme="majorBidi" w:hAnsiTheme="majorBidi" w:cstheme="majorBidi"/>
        </w:rPr>
        <w:t>VET</w:t>
      </w:r>
      <w:r w:rsidR="00A64BEB" w:rsidRPr="00173F61">
        <w:rPr>
          <w:rFonts w:asciiTheme="majorBidi" w:hAnsiTheme="majorBidi" w:cstheme="majorBidi"/>
        </w:rPr>
        <w:t xml:space="preserve"> programmes</w:t>
      </w:r>
      <w:r w:rsidR="00910A3E" w:rsidRPr="00173F61">
        <w:rPr>
          <w:rFonts w:asciiTheme="majorBidi" w:hAnsiTheme="majorBidi" w:cstheme="majorBidi"/>
        </w:rPr>
        <w:t>. As was already ment</w:t>
      </w:r>
      <w:r w:rsidR="0046069C" w:rsidRPr="00173F61">
        <w:rPr>
          <w:rFonts w:asciiTheme="majorBidi" w:hAnsiTheme="majorBidi" w:cstheme="majorBidi"/>
        </w:rPr>
        <w:t xml:space="preserve">ioned, </w:t>
      </w:r>
      <w:r w:rsidRPr="00173F61">
        <w:rPr>
          <w:rFonts w:asciiTheme="majorBidi" w:hAnsiTheme="majorBidi" w:cstheme="majorBidi"/>
        </w:rPr>
        <w:t>pupils must attain a</w:t>
      </w:r>
      <w:r w:rsidR="0046069C" w:rsidRPr="00173F61">
        <w:rPr>
          <w:rFonts w:asciiTheme="majorBidi" w:hAnsiTheme="majorBidi" w:cstheme="majorBidi"/>
        </w:rPr>
        <w:t xml:space="preserve"> four-</w:t>
      </w:r>
      <w:r w:rsidR="00910A3E" w:rsidRPr="00173F61">
        <w:rPr>
          <w:rFonts w:asciiTheme="majorBidi" w:hAnsiTheme="majorBidi" w:cstheme="majorBidi"/>
        </w:rPr>
        <w:t xml:space="preserve">year </w:t>
      </w:r>
      <w:r w:rsidR="008F54D6" w:rsidRPr="00173F61">
        <w:rPr>
          <w:rFonts w:asciiTheme="majorBidi" w:hAnsiTheme="majorBidi" w:cstheme="majorBidi"/>
        </w:rPr>
        <w:t xml:space="preserve">upper </w:t>
      </w:r>
      <w:r w:rsidR="00F4564C" w:rsidRPr="00173F61">
        <w:rPr>
          <w:rFonts w:asciiTheme="majorBidi" w:hAnsiTheme="majorBidi" w:cstheme="majorBidi"/>
        </w:rPr>
        <w:t>secondary</w:t>
      </w:r>
      <w:r w:rsidR="00910A3E" w:rsidRPr="00173F61">
        <w:rPr>
          <w:rFonts w:asciiTheme="majorBidi" w:hAnsiTheme="majorBidi" w:cstheme="majorBidi"/>
        </w:rPr>
        <w:t xml:space="preserve"> school diploma in order to pursue </w:t>
      </w:r>
      <w:r w:rsidRPr="00173F61">
        <w:rPr>
          <w:rFonts w:asciiTheme="majorBidi" w:hAnsiTheme="majorBidi" w:cstheme="majorBidi"/>
        </w:rPr>
        <w:t>higher</w:t>
      </w:r>
      <w:r w:rsidR="00910A3E" w:rsidRPr="00173F61">
        <w:rPr>
          <w:rFonts w:asciiTheme="majorBidi" w:hAnsiTheme="majorBidi" w:cstheme="majorBidi"/>
        </w:rPr>
        <w:t xml:space="preserve"> education </w:t>
      </w:r>
      <w:r w:rsidR="00E6038D" w:rsidRPr="00173F61">
        <w:rPr>
          <w:rFonts w:asciiTheme="majorBidi" w:hAnsiTheme="majorBidi" w:cstheme="majorBidi"/>
        </w:rPr>
        <w:t xml:space="preserve">at </w:t>
      </w:r>
      <w:r w:rsidR="00910A3E" w:rsidRPr="00173F61">
        <w:rPr>
          <w:rFonts w:asciiTheme="majorBidi" w:hAnsiTheme="majorBidi" w:cstheme="majorBidi"/>
        </w:rPr>
        <w:t xml:space="preserve">Croatian universities or polytechnics. </w:t>
      </w:r>
      <w:r w:rsidRPr="00173F61">
        <w:rPr>
          <w:rFonts w:asciiTheme="majorBidi" w:hAnsiTheme="majorBidi" w:cstheme="majorBidi"/>
        </w:rPr>
        <w:t>As such</w:t>
      </w:r>
      <w:r w:rsidR="00910A3E" w:rsidRPr="00173F61">
        <w:rPr>
          <w:rFonts w:asciiTheme="majorBidi" w:hAnsiTheme="majorBidi" w:cstheme="majorBidi"/>
        </w:rPr>
        <w:t xml:space="preserve">, pupils </w:t>
      </w:r>
      <w:r w:rsidR="00E6038D" w:rsidRPr="00173F61">
        <w:rPr>
          <w:rFonts w:asciiTheme="majorBidi" w:hAnsiTheme="majorBidi" w:cstheme="majorBidi"/>
        </w:rPr>
        <w:t xml:space="preserve">approaching the end of elementary </w:t>
      </w:r>
      <w:r w:rsidR="00B36F05" w:rsidRPr="00173F61">
        <w:rPr>
          <w:rFonts w:asciiTheme="majorBidi" w:hAnsiTheme="majorBidi" w:cstheme="majorBidi"/>
        </w:rPr>
        <w:lastRenderedPageBreak/>
        <w:t>education</w:t>
      </w:r>
      <w:r w:rsidR="00E6038D" w:rsidRPr="00173F61">
        <w:rPr>
          <w:rFonts w:asciiTheme="majorBidi" w:hAnsiTheme="majorBidi" w:cstheme="majorBidi"/>
        </w:rPr>
        <w:t xml:space="preserve"> </w:t>
      </w:r>
      <w:r w:rsidRPr="00173F61">
        <w:rPr>
          <w:rFonts w:asciiTheme="majorBidi" w:hAnsiTheme="majorBidi" w:cstheme="majorBidi"/>
        </w:rPr>
        <w:t xml:space="preserve">likely </w:t>
      </w:r>
      <w:r w:rsidR="00910A3E" w:rsidRPr="00173F61">
        <w:rPr>
          <w:rFonts w:asciiTheme="majorBidi" w:hAnsiTheme="majorBidi" w:cstheme="majorBidi"/>
        </w:rPr>
        <w:t xml:space="preserve">adjust their aspirations according to current </w:t>
      </w:r>
      <w:r w:rsidRPr="00173F61">
        <w:rPr>
          <w:rFonts w:asciiTheme="majorBidi" w:hAnsiTheme="majorBidi" w:cstheme="majorBidi"/>
        </w:rPr>
        <w:t xml:space="preserve">level of </w:t>
      </w:r>
      <w:r w:rsidR="00910A3E" w:rsidRPr="00173F61">
        <w:rPr>
          <w:rFonts w:asciiTheme="majorBidi" w:hAnsiTheme="majorBidi" w:cstheme="majorBidi"/>
        </w:rPr>
        <w:t xml:space="preserve">school achievement. This finding is relevant for all </w:t>
      </w:r>
      <w:r w:rsidRPr="00173F61">
        <w:rPr>
          <w:rFonts w:asciiTheme="majorBidi" w:hAnsiTheme="majorBidi" w:cstheme="majorBidi"/>
        </w:rPr>
        <w:t>educational</w:t>
      </w:r>
      <w:r w:rsidR="00910A3E" w:rsidRPr="00173F61">
        <w:rPr>
          <w:rFonts w:asciiTheme="majorBidi" w:hAnsiTheme="majorBidi" w:cstheme="majorBidi"/>
        </w:rPr>
        <w:t xml:space="preserve"> systems in which the transition from </w:t>
      </w:r>
      <w:r w:rsidR="007204A3" w:rsidRPr="00173F61">
        <w:rPr>
          <w:rFonts w:asciiTheme="majorBidi" w:hAnsiTheme="majorBidi" w:cstheme="majorBidi"/>
        </w:rPr>
        <w:t>lower secondary</w:t>
      </w:r>
      <w:r w:rsidR="00910A3E" w:rsidRPr="00173F61">
        <w:rPr>
          <w:rFonts w:asciiTheme="majorBidi" w:hAnsiTheme="majorBidi" w:cstheme="majorBidi"/>
        </w:rPr>
        <w:t xml:space="preserve"> </w:t>
      </w:r>
      <w:r w:rsidR="00396439" w:rsidRPr="00173F61">
        <w:rPr>
          <w:rFonts w:asciiTheme="majorBidi" w:hAnsiTheme="majorBidi" w:cstheme="majorBidi"/>
        </w:rPr>
        <w:t>education</w:t>
      </w:r>
      <w:r w:rsidR="00910A3E" w:rsidRPr="00173F61">
        <w:rPr>
          <w:rFonts w:asciiTheme="majorBidi" w:hAnsiTheme="majorBidi" w:cstheme="majorBidi"/>
        </w:rPr>
        <w:t xml:space="preserve"> to </w:t>
      </w:r>
      <w:r w:rsidR="00396439" w:rsidRPr="00173F61">
        <w:rPr>
          <w:rFonts w:asciiTheme="majorBidi" w:hAnsiTheme="majorBidi" w:cstheme="majorBidi"/>
        </w:rPr>
        <w:t xml:space="preserve">upper </w:t>
      </w:r>
      <w:r w:rsidR="00F53DC4" w:rsidRPr="00173F61">
        <w:rPr>
          <w:rFonts w:asciiTheme="majorBidi" w:hAnsiTheme="majorBidi" w:cstheme="majorBidi"/>
        </w:rPr>
        <w:t>secondary</w:t>
      </w:r>
      <w:r w:rsidR="00910A3E" w:rsidRPr="00173F61">
        <w:rPr>
          <w:rFonts w:asciiTheme="majorBidi" w:hAnsiTheme="majorBidi" w:cstheme="majorBidi"/>
        </w:rPr>
        <w:t xml:space="preserve"> </w:t>
      </w:r>
      <w:r w:rsidR="00396439" w:rsidRPr="00173F61">
        <w:rPr>
          <w:rFonts w:asciiTheme="majorBidi" w:hAnsiTheme="majorBidi" w:cstheme="majorBidi"/>
        </w:rPr>
        <w:t>education</w:t>
      </w:r>
      <w:r w:rsidR="00910A3E" w:rsidRPr="00173F61">
        <w:rPr>
          <w:rFonts w:asciiTheme="majorBidi" w:hAnsiTheme="majorBidi" w:cstheme="majorBidi"/>
        </w:rPr>
        <w:t xml:space="preserve"> depends </w:t>
      </w:r>
      <w:r w:rsidRPr="00173F61">
        <w:rPr>
          <w:rFonts w:asciiTheme="majorBidi" w:hAnsiTheme="majorBidi" w:cstheme="majorBidi"/>
        </w:rPr>
        <w:t xml:space="preserve">predominantly </w:t>
      </w:r>
      <w:r w:rsidR="00910A3E" w:rsidRPr="00173F61">
        <w:rPr>
          <w:rFonts w:asciiTheme="majorBidi" w:hAnsiTheme="majorBidi" w:cstheme="majorBidi"/>
        </w:rPr>
        <w:t>on school grades.</w:t>
      </w:r>
    </w:p>
    <w:p w14:paraId="2957C6C7" w14:textId="5C121A00" w:rsidR="00B36F05" w:rsidRPr="00173F61" w:rsidRDefault="002C3EBC" w:rsidP="004C08CD">
      <w:pPr>
        <w:pStyle w:val="Newparagraph"/>
        <w:rPr>
          <w:rFonts w:asciiTheme="majorBidi" w:hAnsiTheme="majorBidi" w:cstheme="majorBidi"/>
        </w:rPr>
      </w:pPr>
      <w:r w:rsidRPr="00173F61">
        <w:rPr>
          <w:rFonts w:asciiTheme="majorBidi" w:hAnsiTheme="majorBidi" w:cstheme="majorBidi"/>
        </w:rPr>
        <w:t xml:space="preserve">The importance of </w:t>
      </w:r>
      <w:r w:rsidR="009135CD" w:rsidRPr="00173F61">
        <w:rPr>
          <w:rFonts w:asciiTheme="majorBidi" w:hAnsiTheme="majorBidi" w:cstheme="majorBidi"/>
        </w:rPr>
        <w:t xml:space="preserve">a </w:t>
      </w:r>
      <w:r w:rsidRPr="00173F61">
        <w:rPr>
          <w:rFonts w:asciiTheme="majorBidi" w:hAnsiTheme="majorBidi" w:cstheme="majorBidi"/>
        </w:rPr>
        <w:t xml:space="preserve">positive </w:t>
      </w:r>
      <w:r w:rsidR="009135CD" w:rsidRPr="00173F61">
        <w:rPr>
          <w:rFonts w:asciiTheme="majorBidi" w:hAnsiTheme="majorBidi" w:cstheme="majorBidi"/>
        </w:rPr>
        <w:t xml:space="preserve">school </w:t>
      </w:r>
      <w:r w:rsidRPr="00173F61">
        <w:rPr>
          <w:rFonts w:asciiTheme="majorBidi" w:hAnsiTheme="majorBidi" w:cstheme="majorBidi"/>
        </w:rPr>
        <w:t xml:space="preserve">experience </w:t>
      </w:r>
      <w:proofErr w:type="gramStart"/>
      <w:r w:rsidRPr="00173F61">
        <w:rPr>
          <w:rFonts w:asciiTheme="majorBidi" w:hAnsiTheme="majorBidi" w:cstheme="majorBidi"/>
        </w:rPr>
        <w:t xml:space="preserve">is </w:t>
      </w:r>
      <w:r w:rsidR="009135CD" w:rsidRPr="00173F61">
        <w:rPr>
          <w:rFonts w:asciiTheme="majorBidi" w:hAnsiTheme="majorBidi" w:cstheme="majorBidi"/>
        </w:rPr>
        <w:t>indicated</w:t>
      </w:r>
      <w:proofErr w:type="gramEnd"/>
      <w:r w:rsidR="009135CD" w:rsidRPr="00173F61">
        <w:rPr>
          <w:rFonts w:asciiTheme="majorBidi" w:hAnsiTheme="majorBidi" w:cstheme="majorBidi"/>
        </w:rPr>
        <w:t xml:space="preserve"> in the observed </w:t>
      </w:r>
      <w:r w:rsidR="0003267A" w:rsidRPr="00173F61">
        <w:rPr>
          <w:rFonts w:asciiTheme="majorBidi" w:hAnsiTheme="majorBidi" w:cstheme="majorBidi"/>
        </w:rPr>
        <w:t xml:space="preserve">relationship </w:t>
      </w:r>
      <w:r w:rsidR="004A3B8B" w:rsidRPr="00173F61">
        <w:rPr>
          <w:rFonts w:asciiTheme="majorBidi" w:hAnsiTheme="majorBidi" w:cstheme="majorBidi"/>
        </w:rPr>
        <w:t xml:space="preserve">between </w:t>
      </w:r>
      <w:r w:rsidR="00377AAE" w:rsidRPr="00173F61">
        <w:rPr>
          <w:rFonts w:asciiTheme="majorBidi" w:hAnsiTheme="majorBidi" w:cstheme="majorBidi"/>
        </w:rPr>
        <w:t xml:space="preserve">school satisfaction and </w:t>
      </w:r>
      <w:r w:rsidR="00F9330A" w:rsidRPr="00173F61">
        <w:rPr>
          <w:rFonts w:asciiTheme="majorBidi" w:hAnsiTheme="majorBidi" w:cstheme="majorBidi"/>
        </w:rPr>
        <w:t>aspirations for higher education</w:t>
      </w:r>
      <w:r w:rsidR="009135CD" w:rsidRPr="00173F61">
        <w:rPr>
          <w:rFonts w:asciiTheme="majorBidi" w:hAnsiTheme="majorBidi" w:cstheme="majorBidi"/>
        </w:rPr>
        <w:t xml:space="preserve">, a finding that is consistent with those </w:t>
      </w:r>
      <w:r w:rsidR="00A16018" w:rsidRPr="00173F61">
        <w:rPr>
          <w:rFonts w:asciiTheme="majorBidi" w:hAnsiTheme="majorBidi" w:cstheme="majorBidi"/>
        </w:rPr>
        <w:t>reported</w:t>
      </w:r>
      <w:r w:rsidR="00572EE5" w:rsidRPr="00173F61">
        <w:rPr>
          <w:rFonts w:asciiTheme="majorBidi" w:hAnsiTheme="majorBidi" w:cstheme="majorBidi"/>
        </w:rPr>
        <w:t xml:space="preserve"> in previous </w:t>
      </w:r>
      <w:r w:rsidR="00A92862" w:rsidRPr="00173F61">
        <w:rPr>
          <w:rFonts w:asciiTheme="majorBidi" w:hAnsiTheme="majorBidi" w:cstheme="majorBidi"/>
        </w:rPr>
        <w:t>studies</w:t>
      </w:r>
      <w:r w:rsidR="00771D51" w:rsidRPr="00173F61">
        <w:rPr>
          <w:rFonts w:asciiTheme="majorBidi" w:hAnsiTheme="majorBidi" w:cstheme="majorBidi"/>
        </w:rPr>
        <w:t xml:space="preserve"> </w:t>
      </w:r>
      <w:r w:rsidR="00852B5E">
        <w:rPr>
          <w:rFonts w:asciiTheme="majorBidi" w:hAnsiTheme="majorBidi" w:cstheme="majorBidi"/>
        </w:rPr>
        <w:t>(</w:t>
      </w:r>
      <w:proofErr w:type="spellStart"/>
      <w:r w:rsidR="00852B5E">
        <w:rPr>
          <w:rFonts w:asciiTheme="majorBidi" w:hAnsiTheme="majorBidi" w:cstheme="majorBidi"/>
        </w:rPr>
        <w:t>Berzin</w:t>
      </w:r>
      <w:proofErr w:type="spellEnd"/>
      <w:r w:rsidR="003C3F6E" w:rsidRPr="00173F61">
        <w:rPr>
          <w:rFonts w:asciiTheme="majorBidi" w:hAnsiTheme="majorBidi" w:cstheme="majorBidi"/>
        </w:rPr>
        <w:t xml:space="preserve"> 2010</w:t>
      </w:r>
      <w:r w:rsidR="00852B5E">
        <w:rPr>
          <w:rFonts w:asciiTheme="majorBidi" w:hAnsiTheme="majorBidi" w:cstheme="majorBidi"/>
        </w:rPr>
        <w:t>; Kirk et al.</w:t>
      </w:r>
      <w:r w:rsidR="00A16018" w:rsidRPr="00173F61">
        <w:rPr>
          <w:rFonts w:asciiTheme="majorBidi" w:hAnsiTheme="majorBidi" w:cstheme="majorBidi"/>
        </w:rPr>
        <w:t xml:space="preserve"> 2012</w:t>
      </w:r>
      <w:r w:rsidR="003C3F6E" w:rsidRPr="00173F61">
        <w:rPr>
          <w:rFonts w:asciiTheme="majorBidi" w:hAnsiTheme="majorBidi" w:cstheme="majorBidi"/>
        </w:rPr>
        <w:t>)</w:t>
      </w:r>
      <w:r w:rsidR="002D7073" w:rsidRPr="00173F61">
        <w:rPr>
          <w:rFonts w:asciiTheme="majorBidi" w:hAnsiTheme="majorBidi" w:cstheme="majorBidi"/>
        </w:rPr>
        <w:t>.</w:t>
      </w:r>
      <w:r w:rsidR="003530B8" w:rsidRPr="00173F61">
        <w:rPr>
          <w:rFonts w:asciiTheme="majorBidi" w:hAnsiTheme="majorBidi" w:cstheme="majorBidi"/>
        </w:rPr>
        <w:t xml:space="preserve"> </w:t>
      </w:r>
      <w:r w:rsidR="00910A3E" w:rsidRPr="00173F61">
        <w:rPr>
          <w:rFonts w:asciiTheme="majorBidi" w:hAnsiTheme="majorBidi" w:cstheme="majorBidi"/>
        </w:rPr>
        <w:t xml:space="preserve">Finally, gender differences in aspirations for higher education are </w:t>
      </w:r>
      <w:r w:rsidR="009135CD" w:rsidRPr="00173F61">
        <w:rPr>
          <w:rFonts w:asciiTheme="majorBidi" w:hAnsiTheme="majorBidi" w:cstheme="majorBidi"/>
        </w:rPr>
        <w:t>consistent</w:t>
      </w:r>
      <w:r w:rsidR="00910A3E" w:rsidRPr="00173F61">
        <w:rPr>
          <w:rFonts w:asciiTheme="majorBidi" w:hAnsiTheme="majorBidi" w:cstheme="majorBidi"/>
        </w:rPr>
        <w:t xml:space="preserve"> with studies </w:t>
      </w:r>
      <w:r w:rsidR="0082203C" w:rsidRPr="00173F61">
        <w:rPr>
          <w:rFonts w:asciiTheme="majorBidi" w:hAnsiTheme="majorBidi" w:cstheme="majorBidi"/>
        </w:rPr>
        <w:t>demonstrating</w:t>
      </w:r>
      <w:r w:rsidR="00910A3E" w:rsidRPr="00173F61">
        <w:rPr>
          <w:rFonts w:asciiTheme="majorBidi" w:hAnsiTheme="majorBidi" w:cstheme="majorBidi"/>
        </w:rPr>
        <w:t xml:space="preserve"> the overrepresentation of females in higher education (e.g. </w:t>
      </w:r>
      <w:proofErr w:type="spellStart"/>
      <w:r w:rsidR="00413867" w:rsidRPr="004C08CD">
        <w:rPr>
          <w:rFonts w:asciiTheme="majorBidi" w:hAnsiTheme="majorBidi" w:cstheme="majorBidi"/>
        </w:rPr>
        <w:t>Blackhurst</w:t>
      </w:r>
      <w:proofErr w:type="spellEnd"/>
      <w:r w:rsidR="00413867" w:rsidRPr="004C08CD">
        <w:rPr>
          <w:rFonts w:asciiTheme="majorBidi" w:hAnsiTheme="majorBidi" w:cstheme="majorBidi"/>
        </w:rPr>
        <w:t xml:space="preserve"> and</w:t>
      </w:r>
      <w:r w:rsidR="00852B5E" w:rsidRPr="004C08CD">
        <w:rPr>
          <w:rFonts w:asciiTheme="majorBidi" w:hAnsiTheme="majorBidi" w:cstheme="majorBidi"/>
        </w:rPr>
        <w:t xml:space="preserve"> Auger</w:t>
      </w:r>
      <w:r w:rsidR="00910A3E" w:rsidRPr="004C08CD">
        <w:rPr>
          <w:rFonts w:asciiTheme="majorBidi" w:hAnsiTheme="majorBidi" w:cstheme="majorBidi"/>
        </w:rPr>
        <w:t xml:space="preserve"> 2008; </w:t>
      </w:r>
      <w:proofErr w:type="spellStart"/>
      <w:r w:rsidR="00910A3E" w:rsidRPr="004C08CD">
        <w:rPr>
          <w:rFonts w:asciiTheme="majorBidi" w:hAnsiTheme="majorBidi" w:cstheme="majorBidi"/>
        </w:rPr>
        <w:t>Jokić</w:t>
      </w:r>
      <w:proofErr w:type="spellEnd"/>
      <w:r w:rsidR="00910A3E" w:rsidRPr="004C08CD">
        <w:rPr>
          <w:rFonts w:asciiTheme="majorBidi" w:hAnsiTheme="majorBidi" w:cstheme="majorBidi"/>
        </w:rPr>
        <w:t xml:space="preserve"> </w:t>
      </w:r>
      <w:r w:rsidR="00413867" w:rsidRPr="004C08CD">
        <w:rPr>
          <w:rFonts w:asciiTheme="majorBidi" w:hAnsiTheme="majorBidi" w:cstheme="majorBidi"/>
        </w:rPr>
        <w:t>and</w:t>
      </w:r>
      <w:r w:rsidR="00852B5E" w:rsidRPr="004C08CD">
        <w:rPr>
          <w:rFonts w:asciiTheme="majorBidi" w:hAnsiTheme="majorBidi" w:cstheme="majorBidi"/>
        </w:rPr>
        <w:t xml:space="preserve"> </w:t>
      </w:r>
      <w:proofErr w:type="spellStart"/>
      <w:r w:rsidR="00852B5E" w:rsidRPr="004C08CD">
        <w:rPr>
          <w:rFonts w:asciiTheme="majorBidi" w:hAnsiTheme="majorBidi" w:cstheme="majorBidi"/>
        </w:rPr>
        <w:t>Ristić</w:t>
      </w:r>
      <w:proofErr w:type="spellEnd"/>
      <w:r w:rsidR="00852B5E" w:rsidRPr="004C08CD">
        <w:rPr>
          <w:rFonts w:asciiTheme="majorBidi" w:hAnsiTheme="majorBidi" w:cstheme="majorBidi"/>
        </w:rPr>
        <w:t xml:space="preserve"> </w:t>
      </w:r>
      <w:proofErr w:type="spellStart"/>
      <w:r w:rsidR="00852B5E" w:rsidRPr="004C08CD">
        <w:rPr>
          <w:rFonts w:asciiTheme="majorBidi" w:hAnsiTheme="majorBidi" w:cstheme="majorBidi"/>
        </w:rPr>
        <w:t>Dedić</w:t>
      </w:r>
      <w:proofErr w:type="spellEnd"/>
      <w:r w:rsidR="00910A3E" w:rsidRPr="004C08CD">
        <w:rPr>
          <w:rFonts w:asciiTheme="majorBidi" w:hAnsiTheme="majorBidi" w:cstheme="majorBidi"/>
        </w:rPr>
        <w:t xml:space="preserve"> 2014</w:t>
      </w:r>
      <w:r w:rsidR="00B36F05" w:rsidRPr="00173F61">
        <w:rPr>
          <w:rFonts w:asciiTheme="majorBidi" w:hAnsiTheme="majorBidi" w:cstheme="majorBidi"/>
        </w:rPr>
        <w:t>).</w:t>
      </w:r>
    </w:p>
    <w:p w14:paraId="626E2649" w14:textId="1B0C8692" w:rsidR="00BF6500" w:rsidRPr="00173F61" w:rsidRDefault="00774B20" w:rsidP="004C08CD">
      <w:pPr>
        <w:pStyle w:val="Newparagraph"/>
        <w:rPr>
          <w:rFonts w:asciiTheme="majorBidi" w:hAnsiTheme="majorBidi" w:cstheme="majorBidi"/>
        </w:rPr>
      </w:pPr>
      <w:r w:rsidRPr="00173F61">
        <w:rPr>
          <w:rFonts w:asciiTheme="majorBidi" w:hAnsiTheme="majorBidi" w:cstheme="majorBidi"/>
        </w:rPr>
        <w:t xml:space="preserve">In conclusion, </w:t>
      </w:r>
      <w:r w:rsidR="00810E28" w:rsidRPr="00173F61">
        <w:rPr>
          <w:rFonts w:asciiTheme="majorBidi" w:hAnsiTheme="majorBidi" w:cstheme="majorBidi"/>
        </w:rPr>
        <w:t xml:space="preserve">gender, parental educational aspirations for their child, maternal academic support, </w:t>
      </w:r>
      <w:proofErr w:type="gramStart"/>
      <w:r w:rsidR="00810E28" w:rsidRPr="00173F61">
        <w:rPr>
          <w:rFonts w:asciiTheme="majorBidi" w:hAnsiTheme="majorBidi" w:cstheme="majorBidi"/>
        </w:rPr>
        <w:t>the</w:t>
      </w:r>
      <w:proofErr w:type="gramEnd"/>
      <w:r w:rsidR="00810E28" w:rsidRPr="00173F61">
        <w:rPr>
          <w:rFonts w:asciiTheme="majorBidi" w:hAnsiTheme="majorBidi" w:cstheme="majorBidi"/>
        </w:rPr>
        <w:t xml:space="preserve"> pupil’s possession of a work desk, </w:t>
      </w:r>
      <w:r w:rsidR="00C919CE" w:rsidRPr="00173F61">
        <w:rPr>
          <w:rFonts w:asciiTheme="majorBidi" w:hAnsiTheme="majorBidi" w:cstheme="majorBidi"/>
        </w:rPr>
        <w:t xml:space="preserve">the </w:t>
      </w:r>
      <w:r w:rsidR="00810E28" w:rsidRPr="00173F61">
        <w:rPr>
          <w:rFonts w:asciiTheme="majorBidi" w:hAnsiTheme="majorBidi" w:cstheme="majorBidi"/>
        </w:rPr>
        <w:t>pupil</w:t>
      </w:r>
      <w:r w:rsidR="00C919CE" w:rsidRPr="00173F61">
        <w:rPr>
          <w:rFonts w:asciiTheme="majorBidi" w:hAnsiTheme="majorBidi" w:cstheme="majorBidi"/>
        </w:rPr>
        <w:t>’s</w:t>
      </w:r>
      <w:r w:rsidR="00810E28" w:rsidRPr="00173F61">
        <w:rPr>
          <w:rFonts w:asciiTheme="majorBidi" w:hAnsiTheme="majorBidi" w:cstheme="majorBidi"/>
        </w:rPr>
        <w:t xml:space="preserve"> grades and school satisfaction </w:t>
      </w:r>
      <w:r w:rsidR="00443CEF">
        <w:rPr>
          <w:rFonts w:asciiTheme="majorBidi" w:hAnsiTheme="majorBidi" w:cstheme="majorBidi"/>
        </w:rPr>
        <w:t>predict</w:t>
      </w:r>
      <w:r w:rsidR="00C919CE" w:rsidRPr="00173F61">
        <w:rPr>
          <w:rFonts w:asciiTheme="majorBidi" w:hAnsiTheme="majorBidi" w:cstheme="majorBidi"/>
        </w:rPr>
        <w:t xml:space="preserve"> </w:t>
      </w:r>
      <w:r w:rsidR="00173F81" w:rsidRPr="00173F61">
        <w:rPr>
          <w:rFonts w:asciiTheme="majorBidi" w:hAnsiTheme="majorBidi" w:cstheme="majorBidi"/>
        </w:rPr>
        <w:t xml:space="preserve">pupils’ </w:t>
      </w:r>
      <w:r w:rsidR="00810E28" w:rsidRPr="00173F61">
        <w:rPr>
          <w:rFonts w:asciiTheme="majorBidi" w:hAnsiTheme="majorBidi" w:cstheme="majorBidi"/>
        </w:rPr>
        <w:t>aspirations</w:t>
      </w:r>
      <w:r w:rsidR="0052570D" w:rsidRPr="00173F61">
        <w:rPr>
          <w:rFonts w:asciiTheme="majorBidi" w:hAnsiTheme="majorBidi" w:cstheme="majorBidi"/>
        </w:rPr>
        <w:t xml:space="preserve"> for higher education</w:t>
      </w:r>
      <w:r w:rsidR="00C919CE" w:rsidRPr="00173F61">
        <w:rPr>
          <w:rFonts w:asciiTheme="majorBidi" w:hAnsiTheme="majorBidi" w:cstheme="majorBidi"/>
        </w:rPr>
        <w:t>,</w:t>
      </w:r>
      <w:r w:rsidR="00915D46" w:rsidRPr="00173F61">
        <w:rPr>
          <w:rFonts w:asciiTheme="majorBidi" w:hAnsiTheme="majorBidi" w:cstheme="majorBidi"/>
        </w:rPr>
        <w:t xml:space="preserve"> while the school context does not contribute to the explanation of aspirations.</w:t>
      </w:r>
      <w:r w:rsidR="00CD7941">
        <w:rPr>
          <w:rFonts w:asciiTheme="majorBidi" w:hAnsiTheme="majorBidi" w:cstheme="majorBidi"/>
        </w:rPr>
        <w:t xml:space="preserve"> </w:t>
      </w:r>
      <w:r w:rsidR="00964248">
        <w:rPr>
          <w:rFonts w:asciiTheme="majorBidi" w:hAnsiTheme="majorBidi" w:cstheme="majorBidi"/>
        </w:rPr>
        <w:t xml:space="preserve">As </w:t>
      </w:r>
      <w:r w:rsidR="00563FA6">
        <w:rPr>
          <w:rFonts w:asciiTheme="majorBidi" w:hAnsiTheme="majorBidi" w:cstheme="majorBidi"/>
        </w:rPr>
        <w:t>indicated by</w:t>
      </w:r>
      <w:r w:rsidR="00964248">
        <w:rPr>
          <w:rFonts w:asciiTheme="majorBidi" w:hAnsiTheme="majorBidi" w:cstheme="majorBidi"/>
        </w:rPr>
        <w:t xml:space="preserve"> the model’s low accuracy, </w:t>
      </w:r>
      <w:r w:rsidR="00512648">
        <w:rPr>
          <w:rFonts w:asciiTheme="majorBidi" w:hAnsiTheme="majorBidi" w:cstheme="majorBidi"/>
        </w:rPr>
        <w:t>the joint</w:t>
      </w:r>
      <w:r w:rsidR="00CD7941">
        <w:rPr>
          <w:rFonts w:asciiTheme="majorBidi" w:hAnsiTheme="majorBidi" w:cstheme="majorBidi"/>
        </w:rPr>
        <w:t xml:space="preserve"> contribution of predictors is not </w:t>
      </w:r>
      <w:r w:rsidR="00C11170">
        <w:rPr>
          <w:rFonts w:asciiTheme="majorBidi" w:hAnsiTheme="majorBidi" w:cstheme="majorBidi"/>
        </w:rPr>
        <w:t>large</w:t>
      </w:r>
      <w:r w:rsidR="00CD7941">
        <w:rPr>
          <w:rFonts w:asciiTheme="majorBidi" w:hAnsiTheme="majorBidi" w:cstheme="majorBidi"/>
        </w:rPr>
        <w:t>.</w:t>
      </w:r>
      <w:r w:rsidR="00BB50C3" w:rsidRPr="00173F61">
        <w:rPr>
          <w:rFonts w:asciiTheme="majorBidi" w:hAnsiTheme="majorBidi" w:cstheme="majorBidi"/>
        </w:rPr>
        <w:t xml:space="preserve"> T</w:t>
      </w:r>
      <w:r w:rsidR="00BF6500" w:rsidRPr="00173F61">
        <w:rPr>
          <w:rFonts w:asciiTheme="majorBidi" w:hAnsiTheme="majorBidi" w:cstheme="majorBidi"/>
        </w:rPr>
        <w:t xml:space="preserve">he </w:t>
      </w:r>
      <w:r w:rsidR="0097714D" w:rsidRPr="00173F61">
        <w:rPr>
          <w:rFonts w:asciiTheme="majorBidi" w:hAnsiTheme="majorBidi" w:cstheme="majorBidi"/>
        </w:rPr>
        <w:t xml:space="preserve">role of the </w:t>
      </w:r>
      <w:r w:rsidR="00E8742C" w:rsidRPr="00173F61">
        <w:rPr>
          <w:rFonts w:asciiTheme="majorBidi" w:hAnsiTheme="majorBidi" w:cstheme="majorBidi"/>
        </w:rPr>
        <w:t xml:space="preserve">school </w:t>
      </w:r>
      <w:r w:rsidR="00BF6500" w:rsidRPr="00173F61">
        <w:rPr>
          <w:rFonts w:asciiTheme="majorBidi" w:hAnsiTheme="majorBidi" w:cstheme="majorBidi"/>
        </w:rPr>
        <w:t>enrolment polic</w:t>
      </w:r>
      <w:r w:rsidR="00EE21DF" w:rsidRPr="00173F61">
        <w:rPr>
          <w:rFonts w:asciiTheme="majorBidi" w:hAnsiTheme="majorBidi" w:cstheme="majorBidi"/>
        </w:rPr>
        <w:t>ies</w:t>
      </w:r>
      <w:r w:rsidR="00BF6500" w:rsidRPr="00173F61">
        <w:rPr>
          <w:rFonts w:asciiTheme="majorBidi" w:hAnsiTheme="majorBidi" w:cstheme="majorBidi"/>
        </w:rPr>
        <w:t xml:space="preserve"> (enrolment by catchment area vs. </w:t>
      </w:r>
      <w:r w:rsidR="00E8742C" w:rsidRPr="00173F61">
        <w:rPr>
          <w:rFonts w:asciiTheme="majorBidi" w:hAnsiTheme="majorBidi" w:cstheme="majorBidi"/>
        </w:rPr>
        <w:t>enrolment</w:t>
      </w:r>
      <w:r w:rsidR="00BF6500" w:rsidRPr="00173F61">
        <w:rPr>
          <w:rFonts w:asciiTheme="majorBidi" w:hAnsiTheme="majorBidi" w:cstheme="majorBidi"/>
        </w:rPr>
        <w:t xml:space="preserve"> by choice) </w:t>
      </w:r>
      <w:proofErr w:type="gramStart"/>
      <w:r w:rsidR="00BF6500" w:rsidRPr="00173F61">
        <w:rPr>
          <w:rFonts w:asciiTheme="majorBidi" w:hAnsiTheme="majorBidi" w:cstheme="majorBidi"/>
        </w:rPr>
        <w:t>should be addressed</w:t>
      </w:r>
      <w:proofErr w:type="gramEnd"/>
      <w:r w:rsidR="00BB50C3" w:rsidRPr="00173F61">
        <w:rPr>
          <w:rFonts w:asciiTheme="majorBidi" w:hAnsiTheme="majorBidi" w:cstheme="majorBidi"/>
        </w:rPr>
        <w:t xml:space="preserve"> in future studies of the relationships between school context and different academic outcomes</w:t>
      </w:r>
      <w:r w:rsidR="00BF6500" w:rsidRPr="00173F61">
        <w:rPr>
          <w:rFonts w:asciiTheme="majorBidi" w:hAnsiTheme="majorBidi" w:cstheme="majorBidi"/>
        </w:rPr>
        <w:t>.</w:t>
      </w:r>
    </w:p>
    <w:p w14:paraId="5E479A4C" w14:textId="477D7BE8" w:rsidR="00910A3E" w:rsidRPr="00173F61" w:rsidRDefault="00910A3E" w:rsidP="00D94D0A">
      <w:pPr>
        <w:tabs>
          <w:tab w:val="left" w:pos="6521"/>
        </w:tabs>
        <w:spacing w:before="240" w:after="0" w:line="480" w:lineRule="auto"/>
        <w:jc w:val="both"/>
        <w:rPr>
          <w:rFonts w:asciiTheme="majorBidi" w:hAnsiTheme="majorBidi" w:cstheme="majorBidi"/>
          <w:b/>
          <w:bCs/>
          <w:sz w:val="24"/>
          <w:szCs w:val="24"/>
          <w:lang w:val="en-GB"/>
        </w:rPr>
      </w:pPr>
      <w:r w:rsidRPr="00173F61">
        <w:rPr>
          <w:rFonts w:asciiTheme="majorBidi" w:hAnsiTheme="majorBidi" w:cstheme="majorBidi"/>
          <w:b/>
          <w:bCs/>
          <w:sz w:val="24"/>
          <w:szCs w:val="24"/>
          <w:lang w:val="en-GB"/>
        </w:rPr>
        <w:t xml:space="preserve">Limitations of the </w:t>
      </w:r>
      <w:r w:rsidR="00726154" w:rsidRPr="00173F61">
        <w:rPr>
          <w:rFonts w:asciiTheme="majorBidi" w:hAnsiTheme="majorBidi" w:cstheme="majorBidi"/>
          <w:b/>
          <w:bCs/>
          <w:sz w:val="24"/>
          <w:szCs w:val="24"/>
          <w:lang w:val="en-GB"/>
        </w:rPr>
        <w:t>S</w:t>
      </w:r>
      <w:r w:rsidRPr="00173F61">
        <w:rPr>
          <w:rFonts w:asciiTheme="majorBidi" w:hAnsiTheme="majorBidi" w:cstheme="majorBidi"/>
          <w:b/>
          <w:bCs/>
          <w:sz w:val="24"/>
          <w:szCs w:val="24"/>
          <w:lang w:val="en-GB"/>
        </w:rPr>
        <w:t xml:space="preserve">tudy </w:t>
      </w:r>
    </w:p>
    <w:p w14:paraId="7BF73224" w14:textId="34C78582" w:rsidR="00910A3E" w:rsidRDefault="0082203C" w:rsidP="00C03772">
      <w:pPr>
        <w:pStyle w:val="Paragraph"/>
        <w:rPr>
          <w:rFonts w:asciiTheme="majorBidi" w:hAnsiTheme="majorBidi" w:cstheme="majorBidi"/>
        </w:rPr>
      </w:pPr>
      <w:r w:rsidRPr="00173F61">
        <w:rPr>
          <w:rFonts w:asciiTheme="majorBidi" w:hAnsiTheme="majorBidi" w:cstheme="majorBidi"/>
        </w:rPr>
        <w:t xml:space="preserve">The findings presented in this paper pertain to a sample </w:t>
      </w:r>
      <w:r w:rsidR="00E6038D" w:rsidRPr="00173F61">
        <w:rPr>
          <w:rFonts w:asciiTheme="majorBidi" w:hAnsiTheme="majorBidi" w:cstheme="majorBidi"/>
        </w:rPr>
        <w:t>representing</w:t>
      </w:r>
      <w:r w:rsidRPr="00173F61">
        <w:rPr>
          <w:rFonts w:asciiTheme="majorBidi" w:hAnsiTheme="majorBidi" w:cstheme="majorBidi"/>
        </w:rPr>
        <w:t xml:space="preserve"> 8</w:t>
      </w:r>
      <w:r w:rsidRPr="00173F61">
        <w:rPr>
          <w:rFonts w:asciiTheme="majorBidi" w:hAnsiTheme="majorBidi" w:cstheme="majorBidi"/>
          <w:vertAlign w:val="superscript"/>
        </w:rPr>
        <w:t>th</w:t>
      </w:r>
      <w:r w:rsidRPr="00173F61">
        <w:rPr>
          <w:rFonts w:asciiTheme="majorBidi" w:hAnsiTheme="majorBidi" w:cstheme="majorBidi"/>
        </w:rPr>
        <w:t xml:space="preserve">-grade students living </w:t>
      </w:r>
      <w:r w:rsidR="00E6038D" w:rsidRPr="00173F61">
        <w:rPr>
          <w:rFonts w:asciiTheme="majorBidi" w:hAnsiTheme="majorBidi" w:cstheme="majorBidi"/>
        </w:rPr>
        <w:t xml:space="preserve">in </w:t>
      </w:r>
      <w:r w:rsidR="00910A3E" w:rsidRPr="00173F61">
        <w:rPr>
          <w:rFonts w:asciiTheme="majorBidi" w:hAnsiTheme="majorBidi" w:cstheme="majorBidi"/>
        </w:rPr>
        <w:t xml:space="preserve">Zagreb, </w:t>
      </w:r>
      <w:r w:rsidRPr="00173F61">
        <w:rPr>
          <w:rFonts w:asciiTheme="majorBidi" w:hAnsiTheme="majorBidi" w:cstheme="majorBidi"/>
        </w:rPr>
        <w:t xml:space="preserve">the </w:t>
      </w:r>
      <w:r w:rsidR="00910A3E" w:rsidRPr="00173F61">
        <w:rPr>
          <w:rFonts w:asciiTheme="majorBidi" w:hAnsiTheme="majorBidi" w:cstheme="majorBidi"/>
        </w:rPr>
        <w:t xml:space="preserve">capital and major university centre of Croatia. It </w:t>
      </w:r>
      <w:proofErr w:type="gramStart"/>
      <w:r w:rsidR="00910A3E" w:rsidRPr="00173F61">
        <w:rPr>
          <w:rFonts w:asciiTheme="majorBidi" w:hAnsiTheme="majorBidi" w:cstheme="majorBidi"/>
        </w:rPr>
        <w:t>should be stressed</w:t>
      </w:r>
      <w:proofErr w:type="gramEnd"/>
      <w:r w:rsidR="00910A3E" w:rsidRPr="00173F61">
        <w:rPr>
          <w:rFonts w:asciiTheme="majorBidi" w:hAnsiTheme="majorBidi" w:cstheme="majorBidi"/>
        </w:rPr>
        <w:t xml:space="preserve"> that it is possible that different predictors </w:t>
      </w:r>
      <w:r w:rsidRPr="00173F61">
        <w:rPr>
          <w:rFonts w:asciiTheme="majorBidi" w:hAnsiTheme="majorBidi" w:cstheme="majorBidi"/>
        </w:rPr>
        <w:t xml:space="preserve">would </w:t>
      </w:r>
      <w:r w:rsidR="00910A3E" w:rsidRPr="00173F61">
        <w:rPr>
          <w:rFonts w:asciiTheme="majorBidi" w:hAnsiTheme="majorBidi" w:cstheme="majorBidi"/>
        </w:rPr>
        <w:t xml:space="preserve">behave differently for pupils </w:t>
      </w:r>
      <w:r w:rsidRPr="00173F61">
        <w:rPr>
          <w:rFonts w:asciiTheme="majorBidi" w:hAnsiTheme="majorBidi" w:cstheme="majorBidi"/>
        </w:rPr>
        <w:t xml:space="preserve">living in rural areas </w:t>
      </w:r>
      <w:r w:rsidR="00910A3E" w:rsidRPr="00173F61">
        <w:rPr>
          <w:rFonts w:asciiTheme="majorBidi" w:hAnsiTheme="majorBidi" w:cstheme="majorBidi"/>
        </w:rPr>
        <w:t>and smaller cities without higher education institutions, where low</w:t>
      </w:r>
      <w:r w:rsidRPr="00173F61">
        <w:rPr>
          <w:rFonts w:asciiTheme="majorBidi" w:hAnsiTheme="majorBidi" w:cstheme="majorBidi"/>
        </w:rPr>
        <w:t>er</w:t>
      </w:r>
      <w:r w:rsidR="00910A3E" w:rsidRPr="00173F61">
        <w:rPr>
          <w:rFonts w:asciiTheme="majorBidi" w:hAnsiTheme="majorBidi" w:cstheme="majorBidi"/>
        </w:rPr>
        <w:t xml:space="preserve"> socioeconomic status represents a greater obstacle for </w:t>
      </w:r>
      <w:r w:rsidRPr="00173F61">
        <w:rPr>
          <w:rFonts w:asciiTheme="majorBidi" w:hAnsiTheme="majorBidi" w:cstheme="majorBidi"/>
        </w:rPr>
        <w:t xml:space="preserve">pursuing </w:t>
      </w:r>
      <w:r w:rsidR="00910A3E" w:rsidRPr="00173F61">
        <w:rPr>
          <w:rFonts w:asciiTheme="majorBidi" w:hAnsiTheme="majorBidi" w:cstheme="majorBidi"/>
        </w:rPr>
        <w:t xml:space="preserve">educational </w:t>
      </w:r>
      <w:r w:rsidRPr="00173F61">
        <w:rPr>
          <w:rFonts w:asciiTheme="majorBidi" w:hAnsiTheme="majorBidi" w:cstheme="majorBidi"/>
        </w:rPr>
        <w:t>goals</w:t>
      </w:r>
      <w:r w:rsidR="00910A3E" w:rsidRPr="00173F61">
        <w:rPr>
          <w:rFonts w:asciiTheme="majorBidi" w:hAnsiTheme="majorBidi" w:cstheme="majorBidi"/>
        </w:rPr>
        <w:t>.</w:t>
      </w:r>
    </w:p>
    <w:p w14:paraId="2852977B" w14:textId="77777777" w:rsidR="009F0833" w:rsidRPr="004C08CD" w:rsidRDefault="009F0833" w:rsidP="004C08CD">
      <w:pPr>
        <w:pStyle w:val="Heading1"/>
      </w:pPr>
      <w:r w:rsidRPr="004C08CD">
        <w:t>Acknowledgments</w:t>
      </w:r>
    </w:p>
    <w:p w14:paraId="038A131E" w14:textId="77777777" w:rsidR="009F0833" w:rsidRPr="00173F61" w:rsidRDefault="009F0833" w:rsidP="00C03772">
      <w:pPr>
        <w:pStyle w:val="Paragraph"/>
        <w:rPr>
          <w:rFonts w:asciiTheme="majorBidi" w:hAnsiTheme="majorBidi" w:cstheme="majorBidi"/>
        </w:rPr>
      </w:pPr>
      <w:r w:rsidRPr="00173F61">
        <w:rPr>
          <w:rFonts w:asciiTheme="majorBidi" w:hAnsiTheme="majorBidi" w:cstheme="majorBidi"/>
        </w:rPr>
        <w:t xml:space="preserve">We thank students, parents and schools who provided their time and effort to make this </w:t>
      </w:r>
      <w:r w:rsidRPr="00173F61">
        <w:rPr>
          <w:rFonts w:asciiTheme="majorBidi" w:hAnsiTheme="majorBidi" w:cstheme="majorBidi"/>
        </w:rPr>
        <w:lastRenderedPageBreak/>
        <w:t>project possible.</w:t>
      </w:r>
    </w:p>
    <w:p w14:paraId="7FA3BC42" w14:textId="58C69BBD" w:rsidR="00374F64" w:rsidRPr="004C08CD" w:rsidRDefault="00A02844" w:rsidP="004C08CD">
      <w:pPr>
        <w:pStyle w:val="Heading1"/>
      </w:pPr>
      <w:r w:rsidRPr="004C08CD">
        <w:t>Funding details</w:t>
      </w:r>
    </w:p>
    <w:p w14:paraId="59B3824F" w14:textId="384E631C" w:rsidR="001C1205" w:rsidRDefault="00374F64" w:rsidP="00C03772">
      <w:pPr>
        <w:pStyle w:val="Paragraph"/>
        <w:rPr>
          <w:rFonts w:asciiTheme="majorBidi" w:hAnsiTheme="majorBidi" w:cstheme="majorBidi"/>
        </w:rPr>
      </w:pPr>
      <w:proofErr w:type="gramStart"/>
      <w:r w:rsidRPr="00173F61">
        <w:rPr>
          <w:rFonts w:asciiTheme="majorBidi" w:hAnsiTheme="majorBidi" w:cstheme="majorBidi"/>
        </w:rPr>
        <w:t xml:space="preserve">This </w:t>
      </w:r>
      <w:r w:rsidR="00A02844">
        <w:rPr>
          <w:rFonts w:asciiTheme="majorBidi" w:hAnsiTheme="majorBidi" w:cstheme="majorBidi"/>
        </w:rPr>
        <w:t>work</w:t>
      </w:r>
      <w:r w:rsidRPr="00173F61">
        <w:rPr>
          <w:rFonts w:asciiTheme="majorBidi" w:hAnsiTheme="majorBidi" w:cstheme="majorBidi"/>
        </w:rPr>
        <w:t xml:space="preserve"> was supported by the Croatian Science Foundation </w:t>
      </w:r>
      <w:r w:rsidR="00A02844">
        <w:rPr>
          <w:rFonts w:asciiTheme="majorBidi" w:hAnsiTheme="majorBidi" w:cstheme="majorBidi"/>
        </w:rPr>
        <w:t>under Grant</w:t>
      </w:r>
      <w:r w:rsidRPr="00173F61">
        <w:rPr>
          <w:rFonts w:asciiTheme="majorBidi" w:hAnsiTheme="majorBidi" w:cstheme="majorBidi"/>
        </w:rPr>
        <w:t xml:space="preserve"> UIP-2014-09-6757</w:t>
      </w:r>
      <w:proofErr w:type="gramEnd"/>
      <w:r w:rsidR="001C1205">
        <w:rPr>
          <w:rFonts w:asciiTheme="majorBidi" w:hAnsiTheme="majorBidi" w:cstheme="majorBidi"/>
        </w:rPr>
        <w:t>.</w:t>
      </w:r>
    </w:p>
    <w:p w14:paraId="59F75030" w14:textId="081CE3C0" w:rsidR="00C008F2" w:rsidRPr="004C08CD" w:rsidRDefault="00C008F2" w:rsidP="004C08CD">
      <w:pPr>
        <w:pStyle w:val="Heading1"/>
      </w:pPr>
      <w:r w:rsidRPr="004C08CD">
        <w:t>Disclosure Statement</w:t>
      </w:r>
    </w:p>
    <w:p w14:paraId="0FF26283" w14:textId="1ED3CEEA" w:rsidR="00374F64" w:rsidRDefault="00C008F2" w:rsidP="00C03772">
      <w:pPr>
        <w:pStyle w:val="Paragraph"/>
        <w:rPr>
          <w:rFonts w:asciiTheme="majorBidi" w:hAnsiTheme="majorBidi" w:cstheme="majorBidi"/>
        </w:rPr>
      </w:pPr>
      <w:proofErr w:type="gramStart"/>
      <w:r w:rsidRPr="00C008F2">
        <w:rPr>
          <w:rFonts w:asciiTheme="majorBidi" w:hAnsiTheme="majorBidi" w:cstheme="majorBidi"/>
        </w:rPr>
        <w:t>No potential conflict of interest was reported by the authors</w:t>
      </w:r>
      <w:proofErr w:type="gramEnd"/>
      <w:r w:rsidRPr="00C008F2">
        <w:rPr>
          <w:rFonts w:asciiTheme="majorBidi" w:hAnsiTheme="majorBidi" w:cstheme="majorBidi"/>
        </w:rPr>
        <w:t>.</w:t>
      </w:r>
    </w:p>
    <w:p w14:paraId="1693F9D9" w14:textId="68C87958" w:rsidR="00577B7F" w:rsidRPr="004C08CD" w:rsidRDefault="00577B7F" w:rsidP="004C08CD">
      <w:pPr>
        <w:pStyle w:val="Heading1"/>
      </w:pPr>
      <w:r w:rsidRPr="004C08CD">
        <w:t>Data availability statement</w:t>
      </w:r>
    </w:p>
    <w:p w14:paraId="143C5108" w14:textId="79DDBA4E" w:rsidR="00577B7F" w:rsidRDefault="00577B7F" w:rsidP="00C03772">
      <w:pPr>
        <w:pStyle w:val="Paragraph"/>
        <w:rPr>
          <w:rFonts w:asciiTheme="majorBidi" w:hAnsiTheme="majorBidi" w:cstheme="majorBidi"/>
        </w:rPr>
      </w:pPr>
      <w:r w:rsidRPr="00577B7F">
        <w:rPr>
          <w:rFonts w:asciiTheme="majorBidi" w:hAnsiTheme="majorBidi" w:cstheme="majorBidi"/>
        </w:rPr>
        <w:t xml:space="preserve">The data that support the findings of this study are available from the corresponding author, </w:t>
      </w:r>
      <w:r w:rsidR="009C76E4">
        <w:rPr>
          <w:rFonts w:asciiTheme="majorBidi" w:hAnsiTheme="majorBidi" w:cstheme="majorBidi"/>
        </w:rPr>
        <w:t>JŠ</w:t>
      </w:r>
      <w:r w:rsidRPr="00577B7F">
        <w:rPr>
          <w:rFonts w:asciiTheme="majorBidi" w:hAnsiTheme="majorBidi" w:cstheme="majorBidi"/>
        </w:rPr>
        <w:t>, upon reasonable request.</w:t>
      </w:r>
    </w:p>
    <w:p w14:paraId="227F2F64" w14:textId="77777777" w:rsidR="00F8163D" w:rsidRPr="004C08CD" w:rsidRDefault="00F8163D" w:rsidP="004C08CD">
      <w:pPr>
        <w:pStyle w:val="Heading1"/>
      </w:pPr>
      <w:r w:rsidRPr="004C08CD">
        <w:t>References</w:t>
      </w:r>
    </w:p>
    <w:p w14:paraId="428C23A0" w14:textId="62C79244" w:rsidR="00096D07" w:rsidRPr="005B0252" w:rsidRDefault="00096D07" w:rsidP="00C03772">
      <w:pPr>
        <w:spacing w:after="0" w:line="480" w:lineRule="auto"/>
        <w:ind w:left="720" w:hanging="720"/>
        <w:rPr>
          <w:rFonts w:asciiTheme="majorBidi" w:hAnsiTheme="majorBidi" w:cstheme="majorBidi"/>
          <w:sz w:val="24"/>
          <w:szCs w:val="24"/>
          <w:shd w:val="clear" w:color="auto" w:fill="FFFFFF"/>
          <w:lang w:val="en-GB"/>
        </w:rPr>
      </w:pPr>
      <w:proofErr w:type="spellStart"/>
      <w:r w:rsidRPr="005B0252">
        <w:rPr>
          <w:rFonts w:asciiTheme="majorBidi" w:hAnsiTheme="majorBidi" w:cstheme="majorBidi"/>
          <w:sz w:val="24"/>
          <w:szCs w:val="24"/>
          <w:shd w:val="clear" w:color="auto" w:fill="FFFFFF"/>
          <w:lang w:val="en-GB"/>
        </w:rPr>
        <w:t>Alwin</w:t>
      </w:r>
      <w:proofErr w:type="spellEnd"/>
      <w:r w:rsidRPr="005B0252">
        <w:rPr>
          <w:rFonts w:asciiTheme="majorBidi" w:hAnsiTheme="majorBidi" w:cstheme="majorBidi"/>
          <w:sz w:val="24"/>
          <w:szCs w:val="24"/>
          <w:shd w:val="clear" w:color="auto" w:fill="FFFFFF"/>
          <w:lang w:val="en-GB"/>
        </w:rPr>
        <w:t xml:space="preserve">, D. F., </w:t>
      </w:r>
      <w:r w:rsidR="00A95CA6" w:rsidRPr="005B0252">
        <w:rPr>
          <w:rFonts w:asciiTheme="majorBidi" w:hAnsiTheme="majorBidi" w:cstheme="majorBidi"/>
          <w:sz w:val="24"/>
          <w:szCs w:val="24"/>
          <w:shd w:val="clear" w:color="auto" w:fill="FFFFFF"/>
          <w:lang w:val="en-GB"/>
        </w:rPr>
        <w:t>and</w:t>
      </w:r>
      <w:r w:rsidRPr="005B0252">
        <w:rPr>
          <w:rFonts w:asciiTheme="majorBidi" w:hAnsiTheme="majorBidi" w:cstheme="majorBidi"/>
          <w:sz w:val="24"/>
          <w:szCs w:val="24"/>
          <w:shd w:val="clear" w:color="auto" w:fill="FFFFFF"/>
          <w:lang w:val="en-GB"/>
        </w:rPr>
        <w:t xml:space="preserve"> </w:t>
      </w:r>
      <w:r w:rsidR="00A95CA6" w:rsidRPr="005B0252">
        <w:rPr>
          <w:rFonts w:asciiTheme="majorBidi" w:hAnsiTheme="majorBidi" w:cstheme="majorBidi"/>
          <w:sz w:val="24"/>
          <w:szCs w:val="24"/>
          <w:shd w:val="clear" w:color="auto" w:fill="FFFFFF"/>
          <w:lang w:val="en-GB"/>
        </w:rPr>
        <w:t xml:space="preserve">L. B. </w:t>
      </w:r>
      <w:r w:rsidRPr="005B0252">
        <w:rPr>
          <w:rFonts w:asciiTheme="majorBidi" w:hAnsiTheme="majorBidi" w:cstheme="majorBidi"/>
          <w:sz w:val="24"/>
          <w:szCs w:val="24"/>
          <w:shd w:val="clear" w:color="auto" w:fill="FFFFFF"/>
          <w:lang w:val="en-GB"/>
        </w:rPr>
        <w:t>Otto</w:t>
      </w:r>
      <w:r w:rsidR="00A95CA6" w:rsidRPr="005B0252">
        <w:rPr>
          <w:rFonts w:asciiTheme="majorBidi" w:hAnsiTheme="majorBidi" w:cstheme="majorBidi"/>
          <w:sz w:val="24"/>
          <w:szCs w:val="24"/>
          <w:shd w:val="clear" w:color="auto" w:fill="FFFFFF"/>
          <w:lang w:val="en-GB"/>
        </w:rPr>
        <w:t>. 1977</w:t>
      </w:r>
      <w:r w:rsidRPr="005B0252">
        <w:rPr>
          <w:rFonts w:asciiTheme="majorBidi" w:hAnsiTheme="majorBidi" w:cstheme="majorBidi"/>
          <w:sz w:val="24"/>
          <w:szCs w:val="24"/>
          <w:shd w:val="clear" w:color="auto" w:fill="FFFFFF"/>
          <w:lang w:val="en-GB"/>
        </w:rPr>
        <w:t xml:space="preserve">. </w:t>
      </w:r>
      <w:r w:rsidR="003D55D6" w:rsidRPr="005B0252">
        <w:rPr>
          <w:rFonts w:asciiTheme="majorBidi" w:hAnsiTheme="majorBidi" w:cstheme="majorBidi"/>
          <w:sz w:val="24"/>
          <w:szCs w:val="24"/>
          <w:shd w:val="clear" w:color="auto" w:fill="FFFFFF"/>
          <w:lang w:val="en-GB"/>
        </w:rPr>
        <w:t>“</w:t>
      </w:r>
      <w:r w:rsidR="00050027" w:rsidRPr="00050027">
        <w:rPr>
          <w:rFonts w:asciiTheme="majorBidi" w:hAnsiTheme="majorBidi" w:cstheme="majorBidi"/>
          <w:sz w:val="24"/>
          <w:szCs w:val="24"/>
          <w:shd w:val="clear" w:color="auto" w:fill="FFFFFF"/>
          <w:lang w:val="en-GB"/>
        </w:rPr>
        <w:t>High School Context Effects on Aspirations</w:t>
      </w:r>
      <w:r w:rsidRPr="005B0252">
        <w:rPr>
          <w:rFonts w:asciiTheme="majorBidi" w:hAnsiTheme="majorBidi" w:cstheme="majorBidi"/>
          <w:sz w:val="24"/>
          <w:szCs w:val="24"/>
          <w:shd w:val="clear" w:color="auto" w:fill="FFFFFF"/>
          <w:lang w:val="en-GB"/>
        </w:rPr>
        <w:t>.</w:t>
      </w:r>
      <w:r w:rsidR="003D55D6" w:rsidRPr="005B0252">
        <w:rPr>
          <w:rFonts w:asciiTheme="majorBidi" w:hAnsiTheme="majorBidi" w:cstheme="majorBidi"/>
          <w:sz w:val="24"/>
          <w:szCs w:val="24"/>
          <w:shd w:val="clear" w:color="auto" w:fill="FFFFFF"/>
          <w:lang w:val="en-GB"/>
        </w:rPr>
        <w:t>”</w:t>
      </w:r>
      <w:r w:rsidRPr="005B0252">
        <w:rPr>
          <w:rFonts w:asciiTheme="majorBidi" w:hAnsiTheme="majorBidi" w:cstheme="majorBidi"/>
          <w:sz w:val="24"/>
          <w:szCs w:val="24"/>
          <w:shd w:val="clear" w:color="auto" w:fill="FFFFFF"/>
          <w:lang w:val="en-GB"/>
        </w:rPr>
        <w:t> </w:t>
      </w:r>
      <w:r w:rsidRPr="005B0252">
        <w:rPr>
          <w:rFonts w:asciiTheme="majorBidi" w:hAnsiTheme="majorBidi" w:cstheme="majorBidi"/>
          <w:i/>
          <w:iCs/>
          <w:sz w:val="24"/>
          <w:szCs w:val="24"/>
          <w:shd w:val="clear" w:color="auto" w:fill="FFFFFF"/>
          <w:lang w:val="en-GB"/>
        </w:rPr>
        <w:t>Sociology of Education</w:t>
      </w:r>
      <w:r w:rsidRPr="005B0252">
        <w:rPr>
          <w:rFonts w:asciiTheme="majorBidi" w:hAnsiTheme="majorBidi" w:cstheme="majorBidi"/>
          <w:sz w:val="24"/>
          <w:szCs w:val="24"/>
          <w:shd w:val="clear" w:color="auto" w:fill="FFFFFF"/>
          <w:lang w:val="en-GB"/>
        </w:rPr>
        <w:t xml:space="preserve"> </w:t>
      </w:r>
      <w:r w:rsidR="00BB5A38" w:rsidRPr="005B0252">
        <w:rPr>
          <w:rFonts w:asciiTheme="majorBidi" w:hAnsiTheme="majorBidi" w:cstheme="majorBidi"/>
          <w:iCs/>
          <w:sz w:val="24"/>
          <w:szCs w:val="24"/>
          <w:shd w:val="clear" w:color="auto" w:fill="FFFFFF"/>
          <w:lang w:val="en-GB"/>
        </w:rPr>
        <w:t>50</w:t>
      </w:r>
      <w:r w:rsidR="007B2E4F" w:rsidRPr="005B0252">
        <w:rPr>
          <w:rFonts w:asciiTheme="majorBidi" w:hAnsiTheme="majorBidi" w:cstheme="majorBidi"/>
          <w:sz w:val="24"/>
          <w:szCs w:val="24"/>
          <w:shd w:val="clear" w:color="auto" w:fill="FFFFFF"/>
          <w:lang w:val="en-GB"/>
        </w:rPr>
        <w:t xml:space="preserve"> </w:t>
      </w:r>
      <w:r w:rsidR="007B5AAA" w:rsidRPr="005B0252">
        <w:rPr>
          <w:rFonts w:asciiTheme="majorBidi" w:hAnsiTheme="majorBidi" w:cstheme="majorBidi"/>
          <w:sz w:val="24"/>
          <w:szCs w:val="24"/>
          <w:shd w:val="clear" w:color="auto" w:fill="FFFFFF"/>
          <w:lang w:val="en-GB"/>
        </w:rPr>
        <w:t>(4):</w:t>
      </w:r>
      <w:r w:rsidR="00BB5A38" w:rsidRPr="005B0252">
        <w:rPr>
          <w:rFonts w:asciiTheme="majorBidi" w:hAnsiTheme="majorBidi" w:cstheme="majorBidi"/>
          <w:sz w:val="24"/>
          <w:szCs w:val="24"/>
          <w:shd w:val="clear" w:color="auto" w:fill="FFFFFF"/>
          <w:lang w:val="en-GB"/>
        </w:rPr>
        <w:t xml:space="preserve"> </w:t>
      </w:r>
      <w:r w:rsidRPr="005B0252">
        <w:rPr>
          <w:rFonts w:asciiTheme="majorBidi" w:hAnsiTheme="majorBidi" w:cstheme="majorBidi"/>
          <w:sz w:val="24"/>
          <w:szCs w:val="24"/>
          <w:shd w:val="clear" w:color="auto" w:fill="FFFFFF"/>
          <w:lang w:val="en-GB"/>
        </w:rPr>
        <w:t>259-273.</w:t>
      </w:r>
      <w:r w:rsidR="005C678F" w:rsidRPr="005B0252">
        <w:rPr>
          <w:rFonts w:asciiTheme="majorBidi" w:hAnsiTheme="majorBidi" w:cstheme="majorBidi"/>
          <w:sz w:val="24"/>
          <w:szCs w:val="24"/>
          <w:shd w:val="clear" w:color="auto" w:fill="FFFFFF"/>
          <w:lang w:val="en-GB"/>
        </w:rPr>
        <w:t xml:space="preserve"> </w:t>
      </w:r>
      <w:proofErr w:type="gramStart"/>
      <w:r w:rsidR="005B0252" w:rsidRPr="005B0252">
        <w:rPr>
          <w:rFonts w:asciiTheme="majorBidi" w:hAnsiTheme="majorBidi" w:cstheme="majorBidi"/>
          <w:sz w:val="24"/>
          <w:szCs w:val="24"/>
          <w:shd w:val="clear" w:color="auto" w:fill="FFFFFF"/>
          <w:lang w:val="en-GB"/>
        </w:rPr>
        <w:t>doi:</w:t>
      </w:r>
      <w:proofErr w:type="gramEnd"/>
      <w:r w:rsidR="005C678F" w:rsidRPr="005B0252">
        <w:rPr>
          <w:rFonts w:asciiTheme="majorBidi" w:hAnsiTheme="majorBidi" w:cstheme="majorBidi"/>
          <w:sz w:val="24"/>
          <w:szCs w:val="24"/>
          <w:shd w:val="clear" w:color="auto" w:fill="FFFFFF"/>
          <w:lang w:val="en-GB"/>
        </w:rPr>
        <w:t>10.2307/2112499</w:t>
      </w:r>
      <w:r w:rsidR="005B0252" w:rsidRPr="005B0252">
        <w:rPr>
          <w:rFonts w:asciiTheme="majorBidi" w:hAnsiTheme="majorBidi" w:cstheme="majorBidi"/>
          <w:sz w:val="24"/>
          <w:szCs w:val="24"/>
          <w:shd w:val="clear" w:color="auto" w:fill="FFFFFF"/>
          <w:lang w:val="en-GB"/>
        </w:rPr>
        <w:t>.</w:t>
      </w:r>
    </w:p>
    <w:p w14:paraId="1D4A446F" w14:textId="2E10489F" w:rsidR="00F8163D" w:rsidRPr="007E2381" w:rsidRDefault="0003098C" w:rsidP="00C03772">
      <w:pPr>
        <w:spacing w:after="0" w:line="480" w:lineRule="auto"/>
        <w:ind w:left="720" w:hanging="720"/>
        <w:rPr>
          <w:rFonts w:asciiTheme="majorBidi" w:hAnsiTheme="majorBidi" w:cstheme="majorBidi"/>
          <w:sz w:val="24"/>
          <w:szCs w:val="24"/>
          <w:shd w:val="clear" w:color="auto" w:fill="FFFFFF"/>
          <w:lang w:val="en-GB"/>
        </w:rPr>
      </w:pPr>
      <w:r w:rsidRPr="007E2381">
        <w:rPr>
          <w:rFonts w:asciiTheme="majorBidi" w:hAnsiTheme="majorBidi" w:cstheme="majorBidi"/>
          <w:sz w:val="24"/>
          <w:szCs w:val="24"/>
          <w:shd w:val="clear" w:color="auto" w:fill="FFFFFF"/>
          <w:lang w:val="en-GB"/>
        </w:rPr>
        <w:t>Ashby, J. S., and</w:t>
      </w:r>
      <w:r w:rsidR="00F8163D" w:rsidRPr="007E2381">
        <w:rPr>
          <w:rFonts w:asciiTheme="majorBidi" w:hAnsiTheme="majorBidi" w:cstheme="majorBidi"/>
          <w:sz w:val="24"/>
          <w:szCs w:val="24"/>
          <w:shd w:val="clear" w:color="auto" w:fill="FFFFFF"/>
          <w:lang w:val="en-GB"/>
        </w:rPr>
        <w:t xml:space="preserve"> </w:t>
      </w:r>
      <w:r w:rsidRPr="007E2381">
        <w:rPr>
          <w:rFonts w:asciiTheme="majorBidi" w:hAnsiTheme="majorBidi" w:cstheme="majorBidi"/>
          <w:sz w:val="24"/>
          <w:szCs w:val="24"/>
          <w:shd w:val="clear" w:color="auto" w:fill="FFFFFF"/>
          <w:lang w:val="en-GB"/>
        </w:rPr>
        <w:t xml:space="preserve">I. </w:t>
      </w:r>
      <w:proofErr w:type="spellStart"/>
      <w:r w:rsidR="00F8163D" w:rsidRPr="007E2381">
        <w:rPr>
          <w:rFonts w:asciiTheme="majorBidi" w:hAnsiTheme="majorBidi" w:cstheme="majorBidi"/>
          <w:sz w:val="24"/>
          <w:szCs w:val="24"/>
          <w:shd w:val="clear" w:color="auto" w:fill="FFFFFF"/>
          <w:lang w:val="en-GB"/>
        </w:rPr>
        <w:t>Schoon</w:t>
      </w:r>
      <w:proofErr w:type="spellEnd"/>
      <w:r w:rsidRPr="007E2381">
        <w:rPr>
          <w:rFonts w:asciiTheme="majorBidi" w:hAnsiTheme="majorBidi" w:cstheme="majorBidi"/>
          <w:sz w:val="24"/>
          <w:szCs w:val="24"/>
          <w:shd w:val="clear" w:color="auto" w:fill="FFFFFF"/>
          <w:lang w:val="en-GB"/>
        </w:rPr>
        <w:t>. 2010</w:t>
      </w:r>
      <w:r w:rsidR="00F8163D" w:rsidRPr="007E2381">
        <w:rPr>
          <w:rFonts w:asciiTheme="majorBidi" w:hAnsiTheme="majorBidi" w:cstheme="majorBidi"/>
          <w:sz w:val="24"/>
          <w:szCs w:val="24"/>
          <w:shd w:val="clear" w:color="auto" w:fill="FFFFFF"/>
          <w:lang w:val="en-GB"/>
        </w:rPr>
        <w:t xml:space="preserve">. </w:t>
      </w:r>
      <w:r w:rsidRPr="007E2381">
        <w:rPr>
          <w:rFonts w:asciiTheme="majorBidi" w:hAnsiTheme="majorBidi" w:cstheme="majorBidi"/>
          <w:sz w:val="24"/>
          <w:szCs w:val="24"/>
          <w:shd w:val="clear" w:color="auto" w:fill="FFFFFF"/>
          <w:lang w:val="en-GB"/>
        </w:rPr>
        <w:t>“</w:t>
      </w:r>
      <w:r w:rsidR="008E603B" w:rsidRPr="008E603B">
        <w:rPr>
          <w:rFonts w:asciiTheme="majorBidi" w:hAnsiTheme="majorBidi" w:cstheme="majorBidi"/>
          <w:sz w:val="24"/>
          <w:szCs w:val="24"/>
          <w:shd w:val="clear" w:color="auto" w:fill="FFFFFF"/>
          <w:lang w:val="en-GB"/>
        </w:rPr>
        <w:t>Career Success: The Role of Teenage Career Aspirations, Ambition Value and Gender in Predicting Adult Social Status and Earnings</w:t>
      </w:r>
      <w:r w:rsidR="00F8163D" w:rsidRPr="007E2381">
        <w:rPr>
          <w:rFonts w:asciiTheme="majorBidi" w:hAnsiTheme="majorBidi" w:cstheme="majorBidi"/>
          <w:sz w:val="24"/>
          <w:szCs w:val="24"/>
          <w:shd w:val="clear" w:color="auto" w:fill="FFFFFF"/>
          <w:lang w:val="en-GB"/>
        </w:rPr>
        <w:t>.</w:t>
      </w:r>
      <w:r w:rsidRPr="007E2381">
        <w:rPr>
          <w:rFonts w:asciiTheme="majorBidi" w:hAnsiTheme="majorBidi" w:cstheme="majorBidi"/>
          <w:sz w:val="24"/>
          <w:szCs w:val="24"/>
          <w:shd w:val="clear" w:color="auto" w:fill="FFFFFF"/>
          <w:lang w:val="en-GB"/>
        </w:rPr>
        <w:t>”</w:t>
      </w:r>
      <w:r w:rsidR="00F8163D" w:rsidRPr="007E2381">
        <w:rPr>
          <w:rFonts w:asciiTheme="majorBidi" w:hAnsiTheme="majorBidi" w:cstheme="majorBidi"/>
          <w:sz w:val="24"/>
          <w:szCs w:val="24"/>
          <w:shd w:val="clear" w:color="auto" w:fill="FFFFFF"/>
          <w:lang w:val="en-GB"/>
        </w:rPr>
        <w:t> </w:t>
      </w:r>
      <w:r w:rsidR="00F8163D" w:rsidRPr="007E2381">
        <w:rPr>
          <w:rFonts w:asciiTheme="majorBidi" w:hAnsiTheme="majorBidi" w:cstheme="majorBidi"/>
          <w:i/>
          <w:iCs/>
          <w:sz w:val="24"/>
          <w:szCs w:val="24"/>
          <w:shd w:val="clear" w:color="auto" w:fill="FFFFFF"/>
          <w:lang w:val="en-GB"/>
        </w:rPr>
        <w:t xml:space="preserve">Journal of Vocational </w:t>
      </w:r>
      <w:proofErr w:type="spellStart"/>
      <w:r w:rsidR="00F8163D" w:rsidRPr="007E2381">
        <w:rPr>
          <w:rFonts w:asciiTheme="majorBidi" w:hAnsiTheme="majorBidi" w:cstheme="majorBidi"/>
          <w:i/>
          <w:iCs/>
          <w:sz w:val="24"/>
          <w:szCs w:val="24"/>
          <w:shd w:val="clear" w:color="auto" w:fill="FFFFFF"/>
          <w:lang w:val="en-GB"/>
        </w:rPr>
        <w:t>Behavior</w:t>
      </w:r>
      <w:proofErr w:type="spellEnd"/>
      <w:r w:rsidR="00F8163D" w:rsidRPr="007E2381">
        <w:rPr>
          <w:rFonts w:asciiTheme="majorBidi" w:hAnsiTheme="majorBidi" w:cstheme="majorBidi"/>
          <w:sz w:val="24"/>
          <w:szCs w:val="24"/>
          <w:shd w:val="clear" w:color="auto" w:fill="FFFFFF"/>
          <w:lang w:val="en-GB"/>
        </w:rPr>
        <w:t> </w:t>
      </w:r>
      <w:r w:rsidR="00F8163D" w:rsidRPr="007E2381">
        <w:rPr>
          <w:rFonts w:asciiTheme="majorBidi" w:hAnsiTheme="majorBidi" w:cstheme="majorBidi"/>
          <w:iCs/>
          <w:sz w:val="24"/>
          <w:szCs w:val="24"/>
          <w:shd w:val="clear" w:color="auto" w:fill="FFFFFF"/>
          <w:lang w:val="en-GB"/>
        </w:rPr>
        <w:t>77</w:t>
      </w:r>
      <w:r w:rsidRPr="007E2381">
        <w:rPr>
          <w:rFonts w:asciiTheme="majorBidi" w:hAnsiTheme="majorBidi" w:cstheme="majorBidi"/>
          <w:sz w:val="24"/>
          <w:szCs w:val="24"/>
          <w:shd w:val="clear" w:color="auto" w:fill="FFFFFF"/>
          <w:lang w:val="en-GB"/>
        </w:rPr>
        <w:t xml:space="preserve"> </w:t>
      </w:r>
      <w:r w:rsidR="00F8163D" w:rsidRPr="007E2381">
        <w:rPr>
          <w:rFonts w:asciiTheme="majorBidi" w:hAnsiTheme="majorBidi" w:cstheme="majorBidi"/>
          <w:sz w:val="24"/>
          <w:szCs w:val="24"/>
          <w:shd w:val="clear" w:color="auto" w:fill="FFFFFF"/>
          <w:lang w:val="en-GB"/>
        </w:rPr>
        <w:t>(3)</w:t>
      </w:r>
      <w:r w:rsidRPr="007E2381">
        <w:rPr>
          <w:rFonts w:asciiTheme="majorBidi" w:hAnsiTheme="majorBidi" w:cstheme="majorBidi"/>
          <w:sz w:val="24"/>
          <w:szCs w:val="24"/>
          <w:shd w:val="clear" w:color="auto" w:fill="FFFFFF"/>
          <w:lang w:val="en-GB"/>
        </w:rPr>
        <w:t>:</w:t>
      </w:r>
      <w:r w:rsidR="00F8163D" w:rsidRPr="007E2381">
        <w:rPr>
          <w:rFonts w:asciiTheme="majorBidi" w:hAnsiTheme="majorBidi" w:cstheme="majorBidi"/>
          <w:sz w:val="24"/>
          <w:szCs w:val="24"/>
          <w:shd w:val="clear" w:color="auto" w:fill="FFFFFF"/>
          <w:lang w:val="en-GB"/>
        </w:rPr>
        <w:t xml:space="preserve"> 350-360. </w:t>
      </w:r>
      <w:r w:rsidRPr="007E2381">
        <w:rPr>
          <w:rFonts w:asciiTheme="majorBidi" w:hAnsiTheme="majorBidi" w:cstheme="majorBidi"/>
          <w:sz w:val="24"/>
          <w:szCs w:val="24"/>
          <w:shd w:val="clear" w:color="auto" w:fill="FFFFFF"/>
          <w:lang w:val="en-GB"/>
        </w:rPr>
        <w:t>doi:</w:t>
      </w:r>
      <w:r w:rsidR="00F8163D" w:rsidRPr="007E2381">
        <w:rPr>
          <w:rFonts w:asciiTheme="majorBidi" w:hAnsiTheme="majorBidi" w:cstheme="majorBidi"/>
          <w:sz w:val="24"/>
          <w:szCs w:val="24"/>
          <w:shd w:val="clear" w:color="auto" w:fill="FFFFFF"/>
          <w:lang w:val="en-GB"/>
        </w:rPr>
        <w:t>10.1016/j.jvb.2010.06.006</w:t>
      </w:r>
      <w:r w:rsidR="007E2381" w:rsidRPr="007E2381">
        <w:rPr>
          <w:rFonts w:asciiTheme="majorBidi" w:hAnsiTheme="majorBidi" w:cstheme="majorBidi"/>
          <w:sz w:val="24"/>
          <w:szCs w:val="24"/>
          <w:shd w:val="clear" w:color="auto" w:fill="FFFFFF"/>
          <w:lang w:val="en-GB"/>
        </w:rPr>
        <w:t>.</w:t>
      </w:r>
    </w:p>
    <w:p w14:paraId="4530077A" w14:textId="51D51C5A" w:rsidR="00F8163D" w:rsidRPr="0042128E" w:rsidRDefault="00071DD6" w:rsidP="00C03772">
      <w:pPr>
        <w:spacing w:after="0" w:line="480" w:lineRule="auto"/>
        <w:ind w:left="720" w:hanging="720"/>
        <w:rPr>
          <w:rFonts w:asciiTheme="majorBidi" w:hAnsiTheme="majorBidi" w:cstheme="majorBidi"/>
          <w:sz w:val="24"/>
          <w:szCs w:val="24"/>
          <w:shd w:val="clear" w:color="auto" w:fill="FFFFFF"/>
          <w:lang w:val="en-GB"/>
        </w:rPr>
      </w:pPr>
      <w:r w:rsidRPr="0042128E">
        <w:rPr>
          <w:rFonts w:asciiTheme="majorBidi" w:hAnsiTheme="majorBidi" w:cstheme="majorBidi"/>
          <w:sz w:val="24"/>
          <w:szCs w:val="24"/>
          <w:shd w:val="clear" w:color="auto" w:fill="FFFFFF"/>
          <w:lang w:val="en-GB"/>
        </w:rPr>
        <w:t xml:space="preserve">Beal, S. </w:t>
      </w:r>
      <w:proofErr w:type="gramStart"/>
      <w:r w:rsidRPr="0042128E">
        <w:rPr>
          <w:rFonts w:asciiTheme="majorBidi" w:hAnsiTheme="majorBidi" w:cstheme="majorBidi"/>
          <w:sz w:val="24"/>
          <w:szCs w:val="24"/>
          <w:shd w:val="clear" w:color="auto" w:fill="FFFFFF"/>
          <w:lang w:val="en-GB"/>
        </w:rPr>
        <w:t>J.,</w:t>
      </w:r>
      <w:proofErr w:type="gramEnd"/>
      <w:r w:rsidRPr="0042128E">
        <w:rPr>
          <w:rFonts w:asciiTheme="majorBidi" w:hAnsiTheme="majorBidi" w:cstheme="majorBidi"/>
          <w:sz w:val="24"/>
          <w:szCs w:val="24"/>
          <w:shd w:val="clear" w:color="auto" w:fill="FFFFFF"/>
          <w:lang w:val="en-GB"/>
        </w:rPr>
        <w:t xml:space="preserve"> and</w:t>
      </w:r>
      <w:r w:rsidR="00F8163D" w:rsidRPr="0042128E">
        <w:rPr>
          <w:rFonts w:asciiTheme="majorBidi" w:hAnsiTheme="majorBidi" w:cstheme="majorBidi"/>
          <w:sz w:val="24"/>
          <w:szCs w:val="24"/>
          <w:shd w:val="clear" w:color="auto" w:fill="FFFFFF"/>
          <w:lang w:val="en-GB"/>
        </w:rPr>
        <w:t xml:space="preserve"> </w:t>
      </w:r>
      <w:r w:rsidRPr="0042128E">
        <w:rPr>
          <w:rFonts w:asciiTheme="majorBidi" w:hAnsiTheme="majorBidi" w:cstheme="majorBidi"/>
          <w:sz w:val="24"/>
          <w:szCs w:val="24"/>
          <w:shd w:val="clear" w:color="auto" w:fill="FFFFFF"/>
          <w:lang w:val="en-GB"/>
        </w:rPr>
        <w:t xml:space="preserve">L. J. </w:t>
      </w:r>
      <w:r w:rsidR="00F8163D" w:rsidRPr="0042128E">
        <w:rPr>
          <w:rFonts w:asciiTheme="majorBidi" w:hAnsiTheme="majorBidi" w:cstheme="majorBidi"/>
          <w:sz w:val="24"/>
          <w:szCs w:val="24"/>
          <w:shd w:val="clear" w:color="auto" w:fill="FFFFFF"/>
          <w:lang w:val="en-GB"/>
        </w:rPr>
        <w:t>Crockett</w:t>
      </w:r>
      <w:r w:rsidRPr="0042128E">
        <w:rPr>
          <w:rFonts w:asciiTheme="majorBidi" w:hAnsiTheme="majorBidi" w:cstheme="majorBidi"/>
          <w:sz w:val="24"/>
          <w:szCs w:val="24"/>
          <w:shd w:val="clear" w:color="auto" w:fill="FFFFFF"/>
          <w:lang w:val="en-GB"/>
        </w:rPr>
        <w:t>. 2010</w:t>
      </w:r>
      <w:r w:rsidR="00F8163D" w:rsidRPr="0042128E">
        <w:rPr>
          <w:rFonts w:asciiTheme="majorBidi" w:hAnsiTheme="majorBidi" w:cstheme="majorBidi"/>
          <w:sz w:val="24"/>
          <w:szCs w:val="24"/>
          <w:shd w:val="clear" w:color="auto" w:fill="FFFFFF"/>
          <w:lang w:val="en-GB"/>
        </w:rPr>
        <w:t xml:space="preserve">. </w:t>
      </w:r>
      <w:r w:rsidR="00900C05" w:rsidRPr="0042128E">
        <w:rPr>
          <w:rFonts w:asciiTheme="majorBidi" w:hAnsiTheme="majorBidi" w:cstheme="majorBidi"/>
          <w:sz w:val="24"/>
          <w:szCs w:val="24"/>
          <w:shd w:val="clear" w:color="auto" w:fill="FFFFFF"/>
          <w:lang w:val="en-GB"/>
        </w:rPr>
        <w:t>“</w:t>
      </w:r>
      <w:r w:rsidR="007F0E1B" w:rsidRPr="007F0E1B">
        <w:rPr>
          <w:rFonts w:asciiTheme="majorBidi" w:hAnsiTheme="majorBidi" w:cstheme="majorBidi"/>
          <w:sz w:val="24"/>
          <w:szCs w:val="24"/>
          <w:shd w:val="clear" w:color="auto" w:fill="FFFFFF"/>
          <w:lang w:val="en-GB"/>
        </w:rPr>
        <w:t>Adolescents' Occupational and Educational Aspirations and Expectations: Links to High School Activities and Adult Educational Attainment</w:t>
      </w:r>
      <w:r w:rsidR="00F8163D" w:rsidRPr="0042128E">
        <w:rPr>
          <w:rFonts w:asciiTheme="majorBidi" w:hAnsiTheme="majorBidi" w:cstheme="majorBidi"/>
          <w:sz w:val="24"/>
          <w:szCs w:val="24"/>
          <w:shd w:val="clear" w:color="auto" w:fill="FFFFFF"/>
          <w:lang w:val="en-GB"/>
        </w:rPr>
        <w:t>.</w:t>
      </w:r>
      <w:r w:rsidR="00900C05" w:rsidRPr="0042128E">
        <w:rPr>
          <w:rFonts w:asciiTheme="majorBidi" w:hAnsiTheme="majorBidi" w:cstheme="majorBidi"/>
          <w:sz w:val="24"/>
          <w:szCs w:val="24"/>
          <w:shd w:val="clear" w:color="auto" w:fill="FFFFFF"/>
          <w:lang w:val="en-GB"/>
        </w:rPr>
        <w:t>”</w:t>
      </w:r>
      <w:r w:rsidR="00F8163D" w:rsidRPr="0042128E">
        <w:rPr>
          <w:rFonts w:asciiTheme="majorBidi" w:hAnsiTheme="majorBidi" w:cstheme="majorBidi"/>
          <w:sz w:val="24"/>
          <w:szCs w:val="24"/>
          <w:shd w:val="clear" w:color="auto" w:fill="FFFFFF"/>
          <w:lang w:val="en-GB"/>
        </w:rPr>
        <w:t> </w:t>
      </w:r>
      <w:r w:rsidR="00900C05" w:rsidRPr="0042128E">
        <w:rPr>
          <w:rFonts w:asciiTheme="majorBidi" w:hAnsiTheme="majorBidi" w:cstheme="majorBidi"/>
          <w:i/>
          <w:iCs/>
          <w:sz w:val="24"/>
          <w:szCs w:val="24"/>
          <w:shd w:val="clear" w:color="auto" w:fill="FFFFFF"/>
          <w:lang w:val="en-GB"/>
        </w:rPr>
        <w:t xml:space="preserve">Developmental </w:t>
      </w:r>
      <w:r w:rsidR="004D0B3E">
        <w:rPr>
          <w:rFonts w:asciiTheme="majorBidi" w:hAnsiTheme="majorBidi" w:cstheme="majorBidi"/>
          <w:i/>
          <w:iCs/>
          <w:sz w:val="24"/>
          <w:szCs w:val="24"/>
          <w:shd w:val="clear" w:color="auto" w:fill="FFFFFF"/>
          <w:lang w:val="en-GB"/>
        </w:rPr>
        <w:t>P</w:t>
      </w:r>
      <w:r w:rsidR="00F8163D" w:rsidRPr="0042128E">
        <w:rPr>
          <w:rFonts w:asciiTheme="majorBidi" w:hAnsiTheme="majorBidi" w:cstheme="majorBidi"/>
          <w:i/>
          <w:iCs/>
          <w:sz w:val="24"/>
          <w:szCs w:val="24"/>
          <w:shd w:val="clear" w:color="auto" w:fill="FFFFFF"/>
          <w:lang w:val="en-GB"/>
        </w:rPr>
        <w:t>sychology</w:t>
      </w:r>
      <w:r w:rsidR="00F8163D" w:rsidRPr="0042128E">
        <w:rPr>
          <w:rFonts w:asciiTheme="majorBidi" w:hAnsiTheme="majorBidi" w:cstheme="majorBidi"/>
          <w:sz w:val="24"/>
          <w:szCs w:val="24"/>
          <w:shd w:val="clear" w:color="auto" w:fill="FFFFFF"/>
          <w:lang w:val="en-GB"/>
        </w:rPr>
        <w:t> </w:t>
      </w:r>
      <w:r w:rsidR="00F8163D" w:rsidRPr="0042128E">
        <w:rPr>
          <w:rFonts w:asciiTheme="majorBidi" w:hAnsiTheme="majorBidi" w:cstheme="majorBidi"/>
          <w:iCs/>
          <w:sz w:val="24"/>
          <w:szCs w:val="24"/>
          <w:shd w:val="clear" w:color="auto" w:fill="FFFFFF"/>
          <w:lang w:val="en-GB"/>
        </w:rPr>
        <w:t>46</w:t>
      </w:r>
      <w:r w:rsidR="00900C05" w:rsidRPr="0042128E">
        <w:rPr>
          <w:rFonts w:asciiTheme="majorBidi" w:hAnsiTheme="majorBidi" w:cstheme="majorBidi"/>
          <w:iCs/>
          <w:sz w:val="24"/>
          <w:szCs w:val="24"/>
          <w:shd w:val="clear" w:color="auto" w:fill="FFFFFF"/>
          <w:lang w:val="en-GB"/>
        </w:rPr>
        <w:t xml:space="preserve"> </w:t>
      </w:r>
      <w:r w:rsidR="00F8163D" w:rsidRPr="0042128E">
        <w:rPr>
          <w:rFonts w:asciiTheme="majorBidi" w:hAnsiTheme="majorBidi" w:cstheme="majorBidi"/>
          <w:sz w:val="24"/>
          <w:szCs w:val="24"/>
          <w:shd w:val="clear" w:color="auto" w:fill="FFFFFF"/>
          <w:lang w:val="en-GB"/>
        </w:rPr>
        <w:t>(1)</w:t>
      </w:r>
      <w:r w:rsidR="00900C05" w:rsidRPr="0042128E">
        <w:rPr>
          <w:rFonts w:asciiTheme="majorBidi" w:hAnsiTheme="majorBidi" w:cstheme="majorBidi"/>
          <w:sz w:val="24"/>
          <w:szCs w:val="24"/>
          <w:shd w:val="clear" w:color="auto" w:fill="FFFFFF"/>
          <w:lang w:val="en-GB"/>
        </w:rPr>
        <w:t>:</w:t>
      </w:r>
      <w:r w:rsidR="00F8163D" w:rsidRPr="0042128E">
        <w:rPr>
          <w:rFonts w:asciiTheme="majorBidi" w:hAnsiTheme="majorBidi" w:cstheme="majorBidi"/>
          <w:sz w:val="24"/>
          <w:szCs w:val="24"/>
          <w:shd w:val="clear" w:color="auto" w:fill="FFFFFF"/>
          <w:lang w:val="en-GB"/>
        </w:rPr>
        <w:t xml:space="preserve"> 258-265. </w:t>
      </w:r>
      <w:proofErr w:type="gramStart"/>
      <w:r w:rsidR="00900C05" w:rsidRPr="0042128E">
        <w:rPr>
          <w:rFonts w:asciiTheme="majorBidi" w:hAnsiTheme="majorBidi" w:cstheme="majorBidi"/>
          <w:sz w:val="24"/>
          <w:szCs w:val="24"/>
          <w:shd w:val="clear" w:color="auto" w:fill="FFFFFF"/>
          <w:lang w:val="en-GB"/>
        </w:rPr>
        <w:t>doi:</w:t>
      </w:r>
      <w:proofErr w:type="gramEnd"/>
      <w:r w:rsidR="00F8163D" w:rsidRPr="0042128E">
        <w:rPr>
          <w:rFonts w:asciiTheme="majorBidi" w:hAnsiTheme="majorBidi" w:cstheme="majorBidi"/>
          <w:sz w:val="24"/>
          <w:szCs w:val="24"/>
          <w:shd w:val="clear" w:color="auto" w:fill="FFFFFF"/>
          <w:lang w:val="en-GB"/>
        </w:rPr>
        <w:t>10.1037/a0017416</w:t>
      </w:r>
      <w:r w:rsidR="0042128E">
        <w:rPr>
          <w:rFonts w:asciiTheme="majorBidi" w:hAnsiTheme="majorBidi" w:cstheme="majorBidi"/>
          <w:sz w:val="24"/>
          <w:szCs w:val="24"/>
          <w:shd w:val="clear" w:color="auto" w:fill="FFFFFF"/>
          <w:lang w:val="en-GB"/>
        </w:rPr>
        <w:t>.</w:t>
      </w:r>
    </w:p>
    <w:p w14:paraId="5E9BB327" w14:textId="66EB524E" w:rsidR="00F8163D" w:rsidRPr="004F266B" w:rsidRDefault="00F8163D" w:rsidP="00C03772">
      <w:pPr>
        <w:spacing w:after="0" w:line="480" w:lineRule="auto"/>
        <w:ind w:left="720" w:hanging="720"/>
        <w:rPr>
          <w:rFonts w:asciiTheme="majorBidi" w:hAnsiTheme="majorBidi" w:cstheme="majorBidi"/>
          <w:sz w:val="24"/>
          <w:szCs w:val="24"/>
          <w:shd w:val="clear" w:color="auto" w:fill="FFFFFF"/>
          <w:lang w:val="en-GB"/>
        </w:rPr>
      </w:pPr>
      <w:proofErr w:type="spellStart"/>
      <w:r w:rsidRPr="004F266B">
        <w:rPr>
          <w:rFonts w:asciiTheme="majorBidi" w:hAnsiTheme="majorBidi" w:cstheme="majorBidi"/>
          <w:sz w:val="24"/>
          <w:szCs w:val="24"/>
          <w:shd w:val="clear" w:color="auto" w:fill="FFFFFF"/>
          <w:lang w:val="en-GB"/>
        </w:rPr>
        <w:t>Berrington</w:t>
      </w:r>
      <w:proofErr w:type="spellEnd"/>
      <w:r w:rsidRPr="004F266B">
        <w:rPr>
          <w:rFonts w:asciiTheme="majorBidi" w:hAnsiTheme="majorBidi" w:cstheme="majorBidi"/>
          <w:sz w:val="24"/>
          <w:szCs w:val="24"/>
          <w:shd w:val="clear" w:color="auto" w:fill="FFFFFF"/>
          <w:lang w:val="en-GB"/>
        </w:rPr>
        <w:t xml:space="preserve">, A., </w:t>
      </w:r>
      <w:r w:rsidR="006F2550" w:rsidRPr="004F266B">
        <w:rPr>
          <w:rFonts w:asciiTheme="majorBidi" w:hAnsiTheme="majorBidi" w:cstheme="majorBidi"/>
          <w:sz w:val="24"/>
          <w:szCs w:val="24"/>
          <w:shd w:val="clear" w:color="auto" w:fill="FFFFFF"/>
          <w:lang w:val="en-GB"/>
        </w:rPr>
        <w:t xml:space="preserve">S. </w:t>
      </w:r>
      <w:r w:rsidRPr="004F266B">
        <w:rPr>
          <w:rFonts w:asciiTheme="majorBidi" w:hAnsiTheme="majorBidi" w:cstheme="majorBidi"/>
          <w:sz w:val="24"/>
          <w:szCs w:val="24"/>
          <w:shd w:val="clear" w:color="auto" w:fill="FFFFFF"/>
          <w:lang w:val="en-GB"/>
        </w:rPr>
        <w:t xml:space="preserve">Roberts, </w:t>
      </w:r>
      <w:r w:rsidR="006F2550" w:rsidRPr="004F266B">
        <w:rPr>
          <w:rFonts w:asciiTheme="majorBidi" w:hAnsiTheme="majorBidi" w:cstheme="majorBidi"/>
          <w:sz w:val="24"/>
          <w:szCs w:val="24"/>
          <w:shd w:val="clear" w:color="auto" w:fill="FFFFFF"/>
          <w:lang w:val="en-GB"/>
        </w:rPr>
        <w:t>and</w:t>
      </w:r>
      <w:r w:rsidRPr="004F266B">
        <w:rPr>
          <w:rFonts w:asciiTheme="majorBidi" w:hAnsiTheme="majorBidi" w:cstheme="majorBidi"/>
          <w:sz w:val="24"/>
          <w:szCs w:val="24"/>
          <w:shd w:val="clear" w:color="auto" w:fill="FFFFFF"/>
          <w:lang w:val="en-GB"/>
        </w:rPr>
        <w:t xml:space="preserve"> </w:t>
      </w:r>
      <w:r w:rsidR="006F2550" w:rsidRPr="004F266B">
        <w:rPr>
          <w:rFonts w:asciiTheme="majorBidi" w:hAnsiTheme="majorBidi" w:cstheme="majorBidi"/>
          <w:sz w:val="24"/>
          <w:szCs w:val="24"/>
          <w:shd w:val="clear" w:color="auto" w:fill="FFFFFF"/>
          <w:lang w:val="en-GB"/>
        </w:rPr>
        <w:t xml:space="preserve">P. </w:t>
      </w:r>
      <w:proofErr w:type="spellStart"/>
      <w:r w:rsidRPr="004F266B">
        <w:rPr>
          <w:rFonts w:asciiTheme="majorBidi" w:hAnsiTheme="majorBidi" w:cstheme="majorBidi"/>
          <w:sz w:val="24"/>
          <w:szCs w:val="24"/>
          <w:shd w:val="clear" w:color="auto" w:fill="FFFFFF"/>
          <w:lang w:val="en-GB"/>
        </w:rPr>
        <w:t>Tammes</w:t>
      </w:r>
      <w:proofErr w:type="spellEnd"/>
      <w:r w:rsidR="0068437C" w:rsidRPr="004F266B">
        <w:rPr>
          <w:rFonts w:asciiTheme="majorBidi" w:hAnsiTheme="majorBidi" w:cstheme="majorBidi"/>
          <w:sz w:val="24"/>
          <w:szCs w:val="24"/>
          <w:shd w:val="clear" w:color="auto" w:fill="FFFFFF"/>
          <w:lang w:val="en-GB"/>
        </w:rPr>
        <w:t>. 2016</w:t>
      </w:r>
      <w:r w:rsidRPr="004F266B">
        <w:rPr>
          <w:rFonts w:asciiTheme="majorBidi" w:hAnsiTheme="majorBidi" w:cstheme="majorBidi"/>
          <w:sz w:val="24"/>
          <w:szCs w:val="24"/>
          <w:shd w:val="clear" w:color="auto" w:fill="FFFFFF"/>
          <w:lang w:val="en-GB"/>
        </w:rPr>
        <w:t xml:space="preserve">. </w:t>
      </w:r>
      <w:r w:rsidR="0068437C" w:rsidRPr="004F266B">
        <w:rPr>
          <w:rFonts w:asciiTheme="majorBidi" w:hAnsiTheme="majorBidi" w:cstheme="majorBidi"/>
          <w:sz w:val="24"/>
          <w:szCs w:val="24"/>
          <w:shd w:val="clear" w:color="auto" w:fill="FFFFFF"/>
          <w:lang w:val="en-GB"/>
        </w:rPr>
        <w:t>“</w:t>
      </w:r>
      <w:r w:rsidR="004D0B3E" w:rsidRPr="004D0B3E">
        <w:rPr>
          <w:rFonts w:asciiTheme="majorBidi" w:hAnsiTheme="majorBidi" w:cstheme="majorBidi"/>
          <w:sz w:val="24"/>
          <w:szCs w:val="24"/>
          <w:shd w:val="clear" w:color="auto" w:fill="FFFFFF"/>
          <w:lang w:val="en-GB"/>
        </w:rPr>
        <w:t xml:space="preserve">Educational Aspirations </w:t>
      </w:r>
      <w:proofErr w:type="gramStart"/>
      <w:r w:rsidR="004D0B3E" w:rsidRPr="004D0B3E">
        <w:rPr>
          <w:rFonts w:asciiTheme="majorBidi" w:hAnsiTheme="majorBidi" w:cstheme="majorBidi"/>
          <w:sz w:val="24"/>
          <w:szCs w:val="24"/>
          <w:shd w:val="clear" w:color="auto" w:fill="FFFFFF"/>
          <w:lang w:val="en-GB"/>
        </w:rPr>
        <w:t>Among</w:t>
      </w:r>
      <w:proofErr w:type="gramEnd"/>
      <w:r w:rsidR="004D0B3E" w:rsidRPr="004D0B3E">
        <w:rPr>
          <w:rFonts w:asciiTheme="majorBidi" w:hAnsiTheme="majorBidi" w:cstheme="majorBidi"/>
          <w:sz w:val="24"/>
          <w:szCs w:val="24"/>
          <w:shd w:val="clear" w:color="auto" w:fill="FFFFFF"/>
          <w:lang w:val="en-GB"/>
        </w:rPr>
        <w:t xml:space="preserve"> UK Young Teenagers: Exploring the Role of Gender, Class and Ethnicity</w:t>
      </w:r>
      <w:r w:rsidRPr="004F266B">
        <w:rPr>
          <w:rFonts w:asciiTheme="majorBidi" w:hAnsiTheme="majorBidi" w:cstheme="majorBidi"/>
          <w:sz w:val="24"/>
          <w:szCs w:val="24"/>
          <w:shd w:val="clear" w:color="auto" w:fill="FFFFFF"/>
          <w:lang w:val="en-GB"/>
        </w:rPr>
        <w:t>.</w:t>
      </w:r>
      <w:r w:rsidR="0068437C" w:rsidRPr="004F266B">
        <w:rPr>
          <w:rFonts w:asciiTheme="majorBidi" w:hAnsiTheme="majorBidi" w:cstheme="majorBidi"/>
          <w:sz w:val="24"/>
          <w:szCs w:val="24"/>
          <w:shd w:val="clear" w:color="auto" w:fill="FFFFFF"/>
          <w:lang w:val="en-GB"/>
        </w:rPr>
        <w:t>”</w:t>
      </w:r>
      <w:r w:rsidRPr="004F266B">
        <w:rPr>
          <w:rFonts w:asciiTheme="majorBidi" w:hAnsiTheme="majorBidi" w:cstheme="majorBidi"/>
          <w:sz w:val="24"/>
          <w:szCs w:val="24"/>
          <w:shd w:val="clear" w:color="auto" w:fill="FFFFFF"/>
          <w:lang w:val="en-GB"/>
        </w:rPr>
        <w:t> </w:t>
      </w:r>
      <w:r w:rsidRPr="004F266B">
        <w:rPr>
          <w:rFonts w:asciiTheme="majorBidi" w:hAnsiTheme="majorBidi" w:cstheme="majorBidi"/>
          <w:i/>
          <w:iCs/>
          <w:sz w:val="24"/>
          <w:szCs w:val="24"/>
          <w:shd w:val="clear" w:color="auto" w:fill="FFFFFF"/>
          <w:lang w:val="en-GB"/>
        </w:rPr>
        <w:t>British Educational Research Journal</w:t>
      </w:r>
      <w:r w:rsidRPr="004F266B">
        <w:rPr>
          <w:rFonts w:asciiTheme="majorBidi" w:hAnsiTheme="majorBidi" w:cstheme="majorBidi"/>
          <w:sz w:val="24"/>
          <w:szCs w:val="24"/>
          <w:shd w:val="clear" w:color="auto" w:fill="FFFFFF"/>
          <w:lang w:val="en-GB"/>
        </w:rPr>
        <w:t> </w:t>
      </w:r>
      <w:r w:rsidRPr="004F266B">
        <w:rPr>
          <w:rFonts w:asciiTheme="majorBidi" w:hAnsiTheme="majorBidi" w:cstheme="majorBidi"/>
          <w:iCs/>
          <w:sz w:val="24"/>
          <w:szCs w:val="24"/>
          <w:shd w:val="clear" w:color="auto" w:fill="FFFFFF"/>
          <w:lang w:val="en-GB"/>
        </w:rPr>
        <w:t>42</w:t>
      </w:r>
      <w:r w:rsidR="0068437C" w:rsidRPr="004F266B">
        <w:rPr>
          <w:rFonts w:asciiTheme="majorBidi" w:hAnsiTheme="majorBidi" w:cstheme="majorBidi"/>
          <w:sz w:val="24"/>
          <w:szCs w:val="24"/>
          <w:shd w:val="clear" w:color="auto" w:fill="FFFFFF"/>
          <w:lang w:val="en-GB"/>
        </w:rPr>
        <w:t xml:space="preserve"> </w:t>
      </w:r>
      <w:r w:rsidRPr="004F266B">
        <w:rPr>
          <w:rFonts w:asciiTheme="majorBidi" w:hAnsiTheme="majorBidi" w:cstheme="majorBidi"/>
          <w:sz w:val="24"/>
          <w:szCs w:val="24"/>
          <w:shd w:val="clear" w:color="auto" w:fill="FFFFFF"/>
          <w:lang w:val="en-GB"/>
        </w:rPr>
        <w:t>(5)</w:t>
      </w:r>
      <w:r w:rsidR="0068437C" w:rsidRPr="004F266B">
        <w:rPr>
          <w:rFonts w:asciiTheme="majorBidi" w:hAnsiTheme="majorBidi" w:cstheme="majorBidi"/>
          <w:sz w:val="24"/>
          <w:szCs w:val="24"/>
          <w:shd w:val="clear" w:color="auto" w:fill="FFFFFF"/>
          <w:lang w:val="en-GB"/>
        </w:rPr>
        <w:t>:</w:t>
      </w:r>
      <w:r w:rsidRPr="004F266B">
        <w:rPr>
          <w:rFonts w:asciiTheme="majorBidi" w:hAnsiTheme="majorBidi" w:cstheme="majorBidi"/>
          <w:sz w:val="24"/>
          <w:szCs w:val="24"/>
          <w:shd w:val="clear" w:color="auto" w:fill="FFFFFF"/>
          <w:lang w:val="en-GB"/>
        </w:rPr>
        <w:t xml:space="preserve"> 729-755. </w:t>
      </w:r>
      <w:r w:rsidR="0068437C" w:rsidRPr="004F266B">
        <w:rPr>
          <w:rFonts w:asciiTheme="majorBidi" w:hAnsiTheme="majorBidi" w:cstheme="majorBidi"/>
          <w:sz w:val="24"/>
          <w:szCs w:val="24"/>
          <w:shd w:val="clear" w:color="auto" w:fill="FFFFFF"/>
          <w:lang w:val="en-GB"/>
        </w:rPr>
        <w:t>doi:</w:t>
      </w:r>
      <w:r w:rsidRPr="004F266B">
        <w:rPr>
          <w:rFonts w:asciiTheme="majorBidi" w:hAnsiTheme="majorBidi" w:cstheme="majorBidi"/>
          <w:sz w:val="24"/>
          <w:szCs w:val="24"/>
          <w:shd w:val="clear" w:color="auto" w:fill="FFFFFF"/>
          <w:lang w:val="en-GB"/>
        </w:rPr>
        <w:t>10.1002/berj.3235</w:t>
      </w:r>
      <w:r w:rsidR="004F266B">
        <w:rPr>
          <w:rFonts w:asciiTheme="majorBidi" w:hAnsiTheme="majorBidi" w:cstheme="majorBidi"/>
          <w:sz w:val="24"/>
          <w:szCs w:val="24"/>
          <w:shd w:val="clear" w:color="auto" w:fill="FFFFFF"/>
          <w:lang w:val="en-GB"/>
        </w:rPr>
        <w:t>.</w:t>
      </w:r>
    </w:p>
    <w:p w14:paraId="1634C539" w14:textId="3B7D24FB" w:rsidR="00F8163D" w:rsidRPr="000147E5" w:rsidRDefault="00F01556" w:rsidP="00C03772">
      <w:pPr>
        <w:spacing w:after="0" w:line="480" w:lineRule="auto"/>
        <w:ind w:left="720" w:hanging="720"/>
        <w:rPr>
          <w:rFonts w:asciiTheme="majorBidi" w:hAnsiTheme="majorBidi" w:cstheme="majorBidi"/>
          <w:sz w:val="24"/>
          <w:szCs w:val="24"/>
          <w:shd w:val="clear" w:color="auto" w:fill="FFFFFF"/>
          <w:lang w:val="en-GB"/>
        </w:rPr>
      </w:pPr>
      <w:proofErr w:type="spellStart"/>
      <w:r w:rsidRPr="000147E5">
        <w:rPr>
          <w:rFonts w:asciiTheme="majorBidi" w:hAnsiTheme="majorBidi" w:cstheme="majorBidi"/>
          <w:sz w:val="24"/>
          <w:szCs w:val="24"/>
          <w:shd w:val="clear" w:color="auto" w:fill="FFFFFF"/>
          <w:lang w:val="en-GB"/>
        </w:rPr>
        <w:lastRenderedPageBreak/>
        <w:t>Berzin</w:t>
      </w:r>
      <w:proofErr w:type="spellEnd"/>
      <w:r w:rsidRPr="000147E5">
        <w:rPr>
          <w:rFonts w:asciiTheme="majorBidi" w:hAnsiTheme="majorBidi" w:cstheme="majorBidi"/>
          <w:sz w:val="24"/>
          <w:szCs w:val="24"/>
          <w:shd w:val="clear" w:color="auto" w:fill="FFFFFF"/>
          <w:lang w:val="en-GB"/>
        </w:rPr>
        <w:t>, S. C. 2010</w:t>
      </w:r>
      <w:r w:rsidR="00F8163D" w:rsidRPr="000147E5">
        <w:rPr>
          <w:rFonts w:asciiTheme="majorBidi" w:hAnsiTheme="majorBidi" w:cstheme="majorBidi"/>
          <w:sz w:val="24"/>
          <w:szCs w:val="24"/>
          <w:shd w:val="clear" w:color="auto" w:fill="FFFFFF"/>
          <w:lang w:val="en-GB"/>
        </w:rPr>
        <w:t xml:space="preserve">. </w:t>
      </w:r>
      <w:r w:rsidR="003F0F0B">
        <w:rPr>
          <w:rFonts w:asciiTheme="majorBidi" w:hAnsiTheme="majorBidi" w:cstheme="majorBidi"/>
          <w:sz w:val="24"/>
          <w:szCs w:val="24"/>
          <w:shd w:val="clear" w:color="auto" w:fill="FFFFFF"/>
          <w:lang w:val="en-GB"/>
        </w:rPr>
        <w:t>“</w:t>
      </w:r>
      <w:r w:rsidR="006A6EF7" w:rsidRPr="006A6EF7">
        <w:rPr>
          <w:rFonts w:asciiTheme="majorBidi" w:hAnsiTheme="majorBidi" w:cstheme="majorBidi"/>
          <w:sz w:val="24"/>
          <w:szCs w:val="24"/>
          <w:shd w:val="clear" w:color="auto" w:fill="FFFFFF"/>
          <w:lang w:val="en-GB"/>
        </w:rPr>
        <w:t>Educational Aspirations among Low-Income Youths: Examining Multiple Conceptual Models</w:t>
      </w:r>
      <w:r w:rsidR="00F8163D" w:rsidRPr="000147E5">
        <w:rPr>
          <w:rFonts w:asciiTheme="majorBidi" w:hAnsiTheme="majorBidi" w:cstheme="majorBidi"/>
          <w:sz w:val="24"/>
          <w:szCs w:val="24"/>
          <w:shd w:val="clear" w:color="auto" w:fill="FFFFFF"/>
          <w:lang w:val="en-GB"/>
        </w:rPr>
        <w:t>.</w:t>
      </w:r>
      <w:r w:rsidR="003F0F0B">
        <w:rPr>
          <w:rFonts w:asciiTheme="majorBidi" w:hAnsiTheme="majorBidi" w:cstheme="majorBidi"/>
          <w:sz w:val="24"/>
          <w:szCs w:val="24"/>
          <w:shd w:val="clear" w:color="auto" w:fill="FFFFFF"/>
          <w:lang w:val="en-GB"/>
        </w:rPr>
        <w:t>”</w:t>
      </w:r>
      <w:r w:rsidR="00F8163D" w:rsidRPr="000147E5">
        <w:rPr>
          <w:rFonts w:asciiTheme="majorBidi" w:hAnsiTheme="majorBidi" w:cstheme="majorBidi"/>
          <w:sz w:val="24"/>
          <w:szCs w:val="24"/>
          <w:shd w:val="clear" w:color="auto" w:fill="FFFFFF"/>
          <w:lang w:val="en-GB"/>
        </w:rPr>
        <w:t> </w:t>
      </w:r>
      <w:r w:rsidR="00F8163D" w:rsidRPr="000147E5">
        <w:rPr>
          <w:rFonts w:asciiTheme="majorBidi" w:hAnsiTheme="majorBidi" w:cstheme="majorBidi"/>
          <w:i/>
          <w:iCs/>
          <w:sz w:val="24"/>
          <w:szCs w:val="24"/>
          <w:shd w:val="clear" w:color="auto" w:fill="FFFFFF"/>
          <w:lang w:val="en-GB"/>
        </w:rPr>
        <w:t>Children &amp; Schools</w:t>
      </w:r>
      <w:r w:rsidR="00DC59AE">
        <w:rPr>
          <w:rFonts w:asciiTheme="majorBidi" w:hAnsiTheme="majorBidi" w:cstheme="majorBidi"/>
          <w:sz w:val="24"/>
          <w:szCs w:val="24"/>
          <w:shd w:val="clear" w:color="auto" w:fill="FFFFFF"/>
          <w:lang w:val="en-GB"/>
        </w:rPr>
        <w:t xml:space="preserve"> </w:t>
      </w:r>
      <w:r w:rsidR="00F8163D" w:rsidRPr="000147E5">
        <w:rPr>
          <w:rFonts w:asciiTheme="majorBidi" w:hAnsiTheme="majorBidi" w:cstheme="majorBidi"/>
          <w:iCs/>
          <w:sz w:val="24"/>
          <w:szCs w:val="24"/>
          <w:shd w:val="clear" w:color="auto" w:fill="FFFFFF"/>
          <w:lang w:val="en-GB"/>
        </w:rPr>
        <w:t>32</w:t>
      </w:r>
      <w:r w:rsidRPr="000147E5">
        <w:rPr>
          <w:rFonts w:asciiTheme="majorBidi" w:hAnsiTheme="majorBidi" w:cstheme="majorBidi"/>
          <w:sz w:val="24"/>
          <w:szCs w:val="24"/>
          <w:shd w:val="clear" w:color="auto" w:fill="FFFFFF"/>
          <w:lang w:val="en-GB"/>
        </w:rPr>
        <w:t xml:space="preserve"> </w:t>
      </w:r>
      <w:r w:rsidR="00F8163D" w:rsidRPr="000147E5">
        <w:rPr>
          <w:rFonts w:asciiTheme="majorBidi" w:hAnsiTheme="majorBidi" w:cstheme="majorBidi"/>
          <w:sz w:val="24"/>
          <w:szCs w:val="24"/>
          <w:shd w:val="clear" w:color="auto" w:fill="FFFFFF"/>
          <w:lang w:val="en-GB"/>
        </w:rPr>
        <w:t>(2)</w:t>
      </w:r>
      <w:r w:rsidRPr="000147E5">
        <w:rPr>
          <w:rFonts w:asciiTheme="majorBidi" w:hAnsiTheme="majorBidi" w:cstheme="majorBidi"/>
          <w:sz w:val="24"/>
          <w:szCs w:val="24"/>
          <w:shd w:val="clear" w:color="auto" w:fill="FFFFFF"/>
          <w:lang w:val="en-GB"/>
        </w:rPr>
        <w:t>:</w:t>
      </w:r>
      <w:r w:rsidR="00F8163D" w:rsidRPr="000147E5">
        <w:rPr>
          <w:rFonts w:asciiTheme="majorBidi" w:hAnsiTheme="majorBidi" w:cstheme="majorBidi"/>
          <w:sz w:val="24"/>
          <w:szCs w:val="24"/>
          <w:shd w:val="clear" w:color="auto" w:fill="FFFFFF"/>
          <w:lang w:val="en-GB"/>
        </w:rPr>
        <w:t xml:space="preserve"> 112-124. </w:t>
      </w:r>
      <w:r w:rsidRPr="000147E5">
        <w:rPr>
          <w:rFonts w:asciiTheme="majorBidi" w:hAnsiTheme="majorBidi" w:cstheme="majorBidi"/>
          <w:sz w:val="24"/>
          <w:szCs w:val="24"/>
          <w:shd w:val="clear" w:color="auto" w:fill="FFFFFF"/>
          <w:lang w:val="en-GB"/>
        </w:rPr>
        <w:t>doi:</w:t>
      </w:r>
      <w:r w:rsidR="00F8163D" w:rsidRPr="000147E5">
        <w:rPr>
          <w:rFonts w:asciiTheme="majorBidi" w:hAnsiTheme="majorBidi" w:cstheme="majorBidi"/>
          <w:sz w:val="24"/>
          <w:szCs w:val="24"/>
          <w:shd w:val="clear" w:color="auto" w:fill="FFFFFF"/>
          <w:lang w:val="en-GB"/>
        </w:rPr>
        <w:t>10.1093/</w:t>
      </w:r>
      <w:proofErr w:type="spellStart"/>
      <w:r w:rsidR="00F8163D" w:rsidRPr="000147E5">
        <w:rPr>
          <w:rFonts w:asciiTheme="majorBidi" w:hAnsiTheme="majorBidi" w:cstheme="majorBidi"/>
          <w:sz w:val="24"/>
          <w:szCs w:val="24"/>
          <w:shd w:val="clear" w:color="auto" w:fill="FFFFFF"/>
          <w:lang w:val="en-GB"/>
        </w:rPr>
        <w:t>cs</w:t>
      </w:r>
      <w:proofErr w:type="spellEnd"/>
      <w:r w:rsidR="00F8163D" w:rsidRPr="000147E5">
        <w:rPr>
          <w:rFonts w:asciiTheme="majorBidi" w:hAnsiTheme="majorBidi" w:cstheme="majorBidi"/>
          <w:sz w:val="24"/>
          <w:szCs w:val="24"/>
          <w:shd w:val="clear" w:color="auto" w:fill="FFFFFF"/>
          <w:lang w:val="en-GB"/>
        </w:rPr>
        <w:t>/32.2.112</w:t>
      </w:r>
      <w:r w:rsidR="00B007A8" w:rsidRPr="000147E5">
        <w:rPr>
          <w:rFonts w:asciiTheme="majorBidi" w:hAnsiTheme="majorBidi" w:cstheme="majorBidi"/>
          <w:sz w:val="24"/>
          <w:szCs w:val="24"/>
          <w:shd w:val="clear" w:color="auto" w:fill="FFFFFF"/>
          <w:lang w:val="en-GB"/>
        </w:rPr>
        <w:t>.</w:t>
      </w:r>
    </w:p>
    <w:p w14:paraId="017EDE53" w14:textId="4DAF579B" w:rsidR="00F8163D" w:rsidRPr="0054263B" w:rsidRDefault="00F8163D" w:rsidP="00C03772">
      <w:pPr>
        <w:spacing w:after="0" w:line="480" w:lineRule="auto"/>
        <w:ind w:left="720" w:hanging="720"/>
        <w:rPr>
          <w:rFonts w:ascii="Times New Roman" w:hAnsi="Times New Roman" w:cs="Times New Roman"/>
          <w:sz w:val="24"/>
          <w:szCs w:val="24"/>
          <w:shd w:val="clear" w:color="auto" w:fill="FFFFFF"/>
          <w:lang w:val="en-GB"/>
        </w:rPr>
      </w:pPr>
      <w:proofErr w:type="spellStart"/>
      <w:r w:rsidRPr="0054263B">
        <w:rPr>
          <w:rFonts w:ascii="Times New Roman" w:hAnsi="Times New Roman" w:cs="Times New Roman"/>
          <w:sz w:val="24"/>
          <w:szCs w:val="24"/>
          <w:shd w:val="clear" w:color="auto" w:fill="FFFFFF"/>
          <w:lang w:val="en-GB"/>
        </w:rPr>
        <w:t>Blackhurst</w:t>
      </w:r>
      <w:proofErr w:type="spellEnd"/>
      <w:r w:rsidRPr="0054263B">
        <w:rPr>
          <w:rFonts w:ascii="Times New Roman" w:hAnsi="Times New Roman" w:cs="Times New Roman"/>
          <w:sz w:val="24"/>
          <w:szCs w:val="24"/>
          <w:shd w:val="clear" w:color="auto" w:fill="FFFFFF"/>
          <w:lang w:val="en-GB"/>
        </w:rPr>
        <w:t>, A.</w:t>
      </w:r>
      <w:r w:rsidR="00007EE6" w:rsidRPr="0054263B">
        <w:rPr>
          <w:rFonts w:ascii="Times New Roman" w:hAnsi="Times New Roman" w:cs="Times New Roman"/>
          <w:sz w:val="24"/>
          <w:szCs w:val="24"/>
          <w:shd w:val="clear" w:color="auto" w:fill="FFFFFF"/>
          <w:lang w:val="en-GB"/>
        </w:rPr>
        <w:t xml:space="preserve"> </w:t>
      </w:r>
      <w:r w:rsidRPr="0054263B">
        <w:rPr>
          <w:rFonts w:ascii="Times New Roman" w:hAnsi="Times New Roman" w:cs="Times New Roman"/>
          <w:sz w:val="24"/>
          <w:szCs w:val="24"/>
          <w:shd w:val="clear" w:color="auto" w:fill="FFFFFF"/>
          <w:lang w:val="en-GB"/>
        </w:rPr>
        <w:t xml:space="preserve">E., </w:t>
      </w:r>
      <w:r w:rsidR="00007EE6" w:rsidRPr="0054263B">
        <w:rPr>
          <w:rFonts w:ascii="Times New Roman" w:hAnsi="Times New Roman" w:cs="Times New Roman"/>
          <w:sz w:val="24"/>
          <w:szCs w:val="24"/>
          <w:shd w:val="clear" w:color="auto" w:fill="FFFFFF"/>
          <w:lang w:val="en-GB"/>
        </w:rPr>
        <w:t>and</w:t>
      </w:r>
      <w:r w:rsidRPr="0054263B">
        <w:rPr>
          <w:rFonts w:ascii="Times New Roman" w:hAnsi="Times New Roman" w:cs="Times New Roman"/>
          <w:sz w:val="24"/>
          <w:szCs w:val="24"/>
          <w:shd w:val="clear" w:color="auto" w:fill="FFFFFF"/>
          <w:lang w:val="en-GB"/>
        </w:rPr>
        <w:t xml:space="preserve"> </w:t>
      </w:r>
      <w:r w:rsidR="00007EE6" w:rsidRPr="0054263B">
        <w:rPr>
          <w:rFonts w:ascii="Times New Roman" w:hAnsi="Times New Roman" w:cs="Times New Roman"/>
          <w:sz w:val="24"/>
          <w:szCs w:val="24"/>
          <w:shd w:val="clear" w:color="auto" w:fill="FFFFFF"/>
          <w:lang w:val="en-GB"/>
        </w:rPr>
        <w:t xml:space="preserve">R. W. </w:t>
      </w:r>
      <w:r w:rsidRPr="0054263B">
        <w:rPr>
          <w:rFonts w:ascii="Times New Roman" w:hAnsi="Times New Roman" w:cs="Times New Roman"/>
          <w:sz w:val="24"/>
          <w:szCs w:val="24"/>
          <w:shd w:val="clear" w:color="auto" w:fill="FFFFFF"/>
          <w:lang w:val="en-GB"/>
        </w:rPr>
        <w:t>Auger</w:t>
      </w:r>
      <w:r w:rsidR="00007EE6" w:rsidRPr="0054263B">
        <w:rPr>
          <w:rFonts w:ascii="Times New Roman" w:hAnsi="Times New Roman" w:cs="Times New Roman"/>
          <w:sz w:val="24"/>
          <w:szCs w:val="24"/>
          <w:shd w:val="clear" w:color="auto" w:fill="FFFFFF"/>
          <w:lang w:val="en-GB"/>
        </w:rPr>
        <w:t>. 2008</w:t>
      </w:r>
      <w:r w:rsidRPr="0054263B">
        <w:rPr>
          <w:rFonts w:ascii="Times New Roman" w:hAnsi="Times New Roman" w:cs="Times New Roman"/>
          <w:sz w:val="24"/>
          <w:szCs w:val="24"/>
          <w:shd w:val="clear" w:color="auto" w:fill="FFFFFF"/>
          <w:lang w:val="en-GB"/>
        </w:rPr>
        <w:t xml:space="preserve">. </w:t>
      </w:r>
      <w:r w:rsidR="00007EE6" w:rsidRPr="0054263B">
        <w:rPr>
          <w:rFonts w:ascii="Times New Roman" w:hAnsi="Times New Roman" w:cs="Times New Roman"/>
          <w:sz w:val="24"/>
          <w:szCs w:val="24"/>
          <w:shd w:val="clear" w:color="auto" w:fill="FFFFFF"/>
          <w:lang w:val="en-GB"/>
        </w:rPr>
        <w:t>“</w:t>
      </w:r>
      <w:r w:rsidR="00245013" w:rsidRPr="00245013">
        <w:rPr>
          <w:rFonts w:ascii="Times New Roman" w:hAnsi="Times New Roman" w:cs="Times New Roman"/>
          <w:sz w:val="24"/>
          <w:szCs w:val="24"/>
          <w:shd w:val="clear" w:color="auto" w:fill="FFFFFF"/>
          <w:lang w:val="en-GB"/>
        </w:rPr>
        <w:t xml:space="preserve">Precursors to the Gender Gap in College </w:t>
      </w:r>
      <w:proofErr w:type="spellStart"/>
      <w:r w:rsidR="00245013" w:rsidRPr="00245013">
        <w:rPr>
          <w:rFonts w:ascii="Times New Roman" w:hAnsi="Times New Roman" w:cs="Times New Roman"/>
          <w:sz w:val="24"/>
          <w:szCs w:val="24"/>
          <w:shd w:val="clear" w:color="auto" w:fill="FFFFFF"/>
          <w:lang w:val="en-GB"/>
        </w:rPr>
        <w:t>Enrollment</w:t>
      </w:r>
      <w:proofErr w:type="spellEnd"/>
      <w:r w:rsidR="00245013" w:rsidRPr="00245013">
        <w:rPr>
          <w:rFonts w:ascii="Times New Roman" w:hAnsi="Times New Roman" w:cs="Times New Roman"/>
          <w:sz w:val="24"/>
          <w:szCs w:val="24"/>
          <w:shd w:val="clear" w:color="auto" w:fill="FFFFFF"/>
          <w:lang w:val="en-GB"/>
        </w:rPr>
        <w:t>: Children's Aspirations and Expectations for Their Futures.</w:t>
      </w:r>
      <w:r w:rsidR="00007EE6" w:rsidRPr="0054263B">
        <w:rPr>
          <w:rFonts w:ascii="Times New Roman" w:hAnsi="Times New Roman" w:cs="Times New Roman"/>
          <w:sz w:val="24"/>
          <w:szCs w:val="24"/>
          <w:shd w:val="clear" w:color="auto" w:fill="FFFFFF"/>
          <w:lang w:val="en-GB"/>
        </w:rPr>
        <w:t>”</w:t>
      </w:r>
      <w:r w:rsidRPr="0054263B">
        <w:rPr>
          <w:rFonts w:ascii="Times New Roman" w:hAnsi="Times New Roman" w:cs="Times New Roman"/>
          <w:sz w:val="24"/>
          <w:szCs w:val="24"/>
          <w:shd w:val="clear" w:color="auto" w:fill="FFFFFF"/>
          <w:lang w:val="en-GB"/>
        </w:rPr>
        <w:t xml:space="preserve"> </w:t>
      </w:r>
      <w:r w:rsidRPr="0054263B">
        <w:rPr>
          <w:rFonts w:ascii="Times New Roman" w:hAnsi="Times New Roman" w:cs="Times New Roman"/>
          <w:i/>
          <w:sz w:val="24"/>
          <w:szCs w:val="24"/>
          <w:shd w:val="clear" w:color="auto" w:fill="FFFFFF"/>
          <w:lang w:val="en-GB"/>
        </w:rPr>
        <w:t xml:space="preserve">Professional School </w:t>
      </w:r>
      <w:proofErr w:type="spellStart"/>
      <w:r w:rsidRPr="0054263B">
        <w:rPr>
          <w:rFonts w:ascii="Times New Roman" w:hAnsi="Times New Roman" w:cs="Times New Roman"/>
          <w:i/>
          <w:sz w:val="24"/>
          <w:szCs w:val="24"/>
          <w:shd w:val="clear" w:color="auto" w:fill="FFFFFF"/>
          <w:lang w:val="en-GB"/>
        </w:rPr>
        <w:t>Counseling</w:t>
      </w:r>
      <w:proofErr w:type="spellEnd"/>
      <w:r w:rsidRPr="0054263B">
        <w:rPr>
          <w:rFonts w:ascii="Times New Roman" w:hAnsi="Times New Roman" w:cs="Times New Roman"/>
          <w:sz w:val="24"/>
          <w:szCs w:val="24"/>
          <w:shd w:val="clear" w:color="auto" w:fill="FFFFFF"/>
          <w:lang w:val="en-GB"/>
        </w:rPr>
        <w:t xml:space="preserve"> 11</w:t>
      </w:r>
      <w:r w:rsidR="00007EE6" w:rsidRPr="0054263B">
        <w:rPr>
          <w:rFonts w:ascii="Times New Roman" w:hAnsi="Times New Roman" w:cs="Times New Roman"/>
          <w:sz w:val="24"/>
          <w:szCs w:val="24"/>
          <w:shd w:val="clear" w:color="auto" w:fill="FFFFFF"/>
          <w:lang w:val="en-GB"/>
        </w:rPr>
        <w:t xml:space="preserve"> (3):</w:t>
      </w:r>
      <w:r w:rsidRPr="0054263B">
        <w:rPr>
          <w:rFonts w:ascii="Times New Roman" w:hAnsi="Times New Roman" w:cs="Times New Roman"/>
          <w:sz w:val="24"/>
          <w:szCs w:val="24"/>
          <w:shd w:val="clear" w:color="auto" w:fill="FFFFFF"/>
          <w:lang w:val="en-GB"/>
        </w:rPr>
        <w:t xml:space="preserve"> 149-158. </w:t>
      </w:r>
      <w:r w:rsidR="00007EE6" w:rsidRPr="0054263B">
        <w:rPr>
          <w:rFonts w:asciiTheme="majorBidi" w:hAnsiTheme="majorBidi" w:cstheme="majorBidi"/>
          <w:sz w:val="24"/>
          <w:szCs w:val="24"/>
          <w:shd w:val="clear" w:color="auto" w:fill="FFFFFF"/>
          <w:lang w:val="en-GB"/>
        </w:rPr>
        <w:t>doi:</w:t>
      </w:r>
      <w:r w:rsidRPr="0054263B">
        <w:rPr>
          <w:rFonts w:ascii="Times New Roman" w:hAnsi="Times New Roman" w:cs="Times New Roman"/>
          <w:sz w:val="24"/>
          <w:szCs w:val="24"/>
          <w:shd w:val="clear" w:color="auto" w:fill="FFFFFF"/>
          <w:lang w:val="en-GB"/>
        </w:rPr>
        <w:t>10.5330/PSC.n.2010-11.149</w:t>
      </w:r>
      <w:r w:rsidR="0054263B" w:rsidRPr="0054263B">
        <w:rPr>
          <w:rFonts w:ascii="Times New Roman" w:hAnsi="Times New Roman" w:cs="Times New Roman"/>
          <w:sz w:val="24"/>
          <w:szCs w:val="24"/>
          <w:shd w:val="clear" w:color="auto" w:fill="FFFFFF"/>
          <w:lang w:val="en-GB"/>
        </w:rPr>
        <w:t>.</w:t>
      </w:r>
    </w:p>
    <w:p w14:paraId="7B23B59E" w14:textId="6CC1A934" w:rsidR="00F8163D" w:rsidRPr="00CF1137" w:rsidRDefault="00F8163D" w:rsidP="00C03772">
      <w:pPr>
        <w:spacing w:after="0" w:line="480" w:lineRule="auto"/>
        <w:ind w:left="720" w:hanging="720"/>
        <w:rPr>
          <w:rFonts w:asciiTheme="majorBidi" w:hAnsiTheme="majorBidi" w:cstheme="majorBidi"/>
          <w:sz w:val="24"/>
          <w:szCs w:val="24"/>
          <w:shd w:val="clear" w:color="auto" w:fill="FFFFFF"/>
          <w:lang w:val="en-GB"/>
        </w:rPr>
      </w:pPr>
      <w:proofErr w:type="spellStart"/>
      <w:r w:rsidRPr="00CF1137">
        <w:rPr>
          <w:rFonts w:asciiTheme="majorBidi" w:hAnsiTheme="majorBidi" w:cstheme="majorBidi"/>
          <w:sz w:val="24"/>
          <w:szCs w:val="24"/>
          <w:shd w:val="clear" w:color="auto" w:fill="FFFFFF"/>
          <w:lang w:val="en-GB"/>
        </w:rPr>
        <w:t>Bohon</w:t>
      </w:r>
      <w:proofErr w:type="spellEnd"/>
      <w:r w:rsidRPr="00CF1137">
        <w:rPr>
          <w:rFonts w:asciiTheme="majorBidi" w:hAnsiTheme="majorBidi" w:cstheme="majorBidi"/>
          <w:sz w:val="24"/>
          <w:szCs w:val="24"/>
          <w:shd w:val="clear" w:color="auto" w:fill="FFFFFF"/>
          <w:lang w:val="en-GB"/>
        </w:rPr>
        <w:t xml:space="preserve">, S. A., </w:t>
      </w:r>
      <w:r w:rsidR="00D452C4" w:rsidRPr="00CF1137">
        <w:rPr>
          <w:rFonts w:asciiTheme="majorBidi" w:hAnsiTheme="majorBidi" w:cstheme="majorBidi"/>
          <w:sz w:val="24"/>
          <w:szCs w:val="24"/>
          <w:shd w:val="clear" w:color="auto" w:fill="FFFFFF"/>
          <w:lang w:val="en-GB"/>
        </w:rPr>
        <w:t xml:space="preserve">M. K. </w:t>
      </w:r>
      <w:r w:rsidRPr="00CF1137">
        <w:rPr>
          <w:rFonts w:asciiTheme="majorBidi" w:hAnsiTheme="majorBidi" w:cstheme="majorBidi"/>
          <w:sz w:val="24"/>
          <w:szCs w:val="24"/>
          <w:shd w:val="clear" w:color="auto" w:fill="FFFFFF"/>
          <w:lang w:val="en-GB"/>
        </w:rPr>
        <w:t xml:space="preserve">Johnson, </w:t>
      </w:r>
      <w:r w:rsidR="00D452C4" w:rsidRPr="00CF1137">
        <w:rPr>
          <w:rFonts w:asciiTheme="majorBidi" w:hAnsiTheme="majorBidi" w:cstheme="majorBidi"/>
          <w:sz w:val="24"/>
          <w:szCs w:val="24"/>
          <w:shd w:val="clear" w:color="auto" w:fill="FFFFFF"/>
          <w:lang w:val="en-GB"/>
        </w:rPr>
        <w:t>and</w:t>
      </w:r>
      <w:r w:rsidRPr="00CF1137">
        <w:rPr>
          <w:rFonts w:asciiTheme="majorBidi" w:hAnsiTheme="majorBidi" w:cstheme="majorBidi"/>
          <w:sz w:val="24"/>
          <w:szCs w:val="24"/>
          <w:shd w:val="clear" w:color="auto" w:fill="FFFFFF"/>
          <w:lang w:val="en-GB"/>
        </w:rPr>
        <w:t xml:space="preserve"> </w:t>
      </w:r>
      <w:r w:rsidR="00D452C4" w:rsidRPr="00CF1137">
        <w:rPr>
          <w:rFonts w:asciiTheme="majorBidi" w:hAnsiTheme="majorBidi" w:cstheme="majorBidi"/>
          <w:sz w:val="24"/>
          <w:szCs w:val="24"/>
          <w:shd w:val="clear" w:color="auto" w:fill="FFFFFF"/>
          <w:lang w:val="en-GB"/>
        </w:rPr>
        <w:t xml:space="preserve">B. K. </w:t>
      </w:r>
      <w:r w:rsidRPr="00CF1137">
        <w:rPr>
          <w:rFonts w:asciiTheme="majorBidi" w:hAnsiTheme="majorBidi" w:cstheme="majorBidi"/>
          <w:sz w:val="24"/>
          <w:szCs w:val="24"/>
          <w:shd w:val="clear" w:color="auto" w:fill="FFFFFF"/>
          <w:lang w:val="en-GB"/>
        </w:rPr>
        <w:t>Gorman</w:t>
      </w:r>
      <w:r w:rsidR="00D452C4" w:rsidRPr="00CF1137">
        <w:rPr>
          <w:rFonts w:asciiTheme="majorBidi" w:hAnsiTheme="majorBidi" w:cstheme="majorBidi"/>
          <w:sz w:val="24"/>
          <w:szCs w:val="24"/>
          <w:shd w:val="clear" w:color="auto" w:fill="FFFFFF"/>
          <w:lang w:val="en-GB"/>
        </w:rPr>
        <w:t>. 2006</w:t>
      </w:r>
      <w:r w:rsidRPr="00CF1137">
        <w:rPr>
          <w:rFonts w:asciiTheme="majorBidi" w:hAnsiTheme="majorBidi" w:cstheme="majorBidi"/>
          <w:sz w:val="24"/>
          <w:szCs w:val="24"/>
          <w:shd w:val="clear" w:color="auto" w:fill="FFFFFF"/>
          <w:lang w:val="en-GB"/>
        </w:rPr>
        <w:t xml:space="preserve">. </w:t>
      </w:r>
      <w:r w:rsidR="00CF1137" w:rsidRPr="00CF1137">
        <w:rPr>
          <w:rFonts w:asciiTheme="majorBidi" w:hAnsiTheme="majorBidi" w:cstheme="majorBidi"/>
          <w:sz w:val="24"/>
          <w:szCs w:val="24"/>
          <w:shd w:val="clear" w:color="auto" w:fill="FFFFFF"/>
          <w:lang w:val="en-GB"/>
        </w:rPr>
        <w:t>“</w:t>
      </w:r>
      <w:r w:rsidR="0011049C" w:rsidRPr="0011049C">
        <w:rPr>
          <w:rFonts w:asciiTheme="majorBidi" w:hAnsiTheme="majorBidi" w:cstheme="majorBidi"/>
          <w:sz w:val="24"/>
          <w:szCs w:val="24"/>
          <w:shd w:val="clear" w:color="auto" w:fill="FFFFFF"/>
          <w:lang w:val="en-GB"/>
        </w:rPr>
        <w:t xml:space="preserve">College Aspirations and Expectations </w:t>
      </w:r>
      <w:proofErr w:type="gramStart"/>
      <w:r w:rsidR="0011049C" w:rsidRPr="0011049C">
        <w:rPr>
          <w:rFonts w:asciiTheme="majorBidi" w:hAnsiTheme="majorBidi" w:cstheme="majorBidi"/>
          <w:sz w:val="24"/>
          <w:szCs w:val="24"/>
          <w:shd w:val="clear" w:color="auto" w:fill="FFFFFF"/>
          <w:lang w:val="en-GB"/>
        </w:rPr>
        <w:t>Among</w:t>
      </w:r>
      <w:proofErr w:type="gramEnd"/>
      <w:r w:rsidR="0011049C" w:rsidRPr="0011049C">
        <w:rPr>
          <w:rFonts w:asciiTheme="majorBidi" w:hAnsiTheme="majorBidi" w:cstheme="majorBidi"/>
          <w:sz w:val="24"/>
          <w:szCs w:val="24"/>
          <w:shd w:val="clear" w:color="auto" w:fill="FFFFFF"/>
          <w:lang w:val="en-GB"/>
        </w:rPr>
        <w:t xml:space="preserve"> Latino Adolescents in the United States</w:t>
      </w:r>
      <w:r w:rsidRPr="00CF1137">
        <w:rPr>
          <w:rFonts w:asciiTheme="majorBidi" w:hAnsiTheme="majorBidi" w:cstheme="majorBidi"/>
          <w:sz w:val="24"/>
          <w:szCs w:val="24"/>
          <w:shd w:val="clear" w:color="auto" w:fill="FFFFFF"/>
          <w:lang w:val="en-GB"/>
        </w:rPr>
        <w:t>.</w:t>
      </w:r>
      <w:r w:rsidR="00CF1137" w:rsidRPr="00CF1137">
        <w:rPr>
          <w:rFonts w:asciiTheme="majorBidi" w:hAnsiTheme="majorBidi" w:cstheme="majorBidi"/>
          <w:sz w:val="24"/>
          <w:szCs w:val="24"/>
          <w:shd w:val="clear" w:color="auto" w:fill="FFFFFF"/>
          <w:lang w:val="en-GB"/>
        </w:rPr>
        <w:t>”</w:t>
      </w:r>
      <w:r w:rsidRPr="00CF1137">
        <w:rPr>
          <w:rFonts w:asciiTheme="majorBidi" w:hAnsiTheme="majorBidi" w:cstheme="majorBidi"/>
          <w:sz w:val="24"/>
          <w:szCs w:val="24"/>
          <w:shd w:val="clear" w:color="auto" w:fill="FFFFFF"/>
          <w:lang w:val="en-GB"/>
        </w:rPr>
        <w:t> </w:t>
      </w:r>
      <w:r w:rsidRPr="00CF1137">
        <w:rPr>
          <w:rFonts w:asciiTheme="majorBidi" w:hAnsiTheme="majorBidi" w:cstheme="majorBidi"/>
          <w:i/>
          <w:iCs/>
          <w:sz w:val="24"/>
          <w:szCs w:val="24"/>
          <w:shd w:val="clear" w:color="auto" w:fill="FFFFFF"/>
          <w:lang w:val="en-GB"/>
        </w:rPr>
        <w:t>Social Problems</w:t>
      </w:r>
      <w:r w:rsidRPr="00CF1137">
        <w:rPr>
          <w:rFonts w:asciiTheme="majorBidi" w:hAnsiTheme="majorBidi" w:cstheme="majorBidi"/>
          <w:sz w:val="24"/>
          <w:szCs w:val="24"/>
          <w:shd w:val="clear" w:color="auto" w:fill="FFFFFF"/>
          <w:lang w:val="en-GB"/>
        </w:rPr>
        <w:t> </w:t>
      </w:r>
      <w:r w:rsidRPr="00CF1137">
        <w:rPr>
          <w:rFonts w:asciiTheme="majorBidi" w:hAnsiTheme="majorBidi" w:cstheme="majorBidi"/>
          <w:iCs/>
          <w:sz w:val="24"/>
          <w:szCs w:val="24"/>
          <w:shd w:val="clear" w:color="auto" w:fill="FFFFFF"/>
          <w:lang w:val="en-GB"/>
        </w:rPr>
        <w:t>53</w:t>
      </w:r>
      <w:r w:rsidR="002B5C2B" w:rsidRPr="00CF1137">
        <w:rPr>
          <w:rFonts w:asciiTheme="majorBidi" w:hAnsiTheme="majorBidi" w:cstheme="majorBidi"/>
          <w:sz w:val="24"/>
          <w:szCs w:val="24"/>
          <w:shd w:val="clear" w:color="auto" w:fill="FFFFFF"/>
          <w:lang w:val="en-GB"/>
        </w:rPr>
        <w:t xml:space="preserve"> </w:t>
      </w:r>
      <w:r w:rsidRPr="00CF1137">
        <w:rPr>
          <w:rFonts w:asciiTheme="majorBidi" w:hAnsiTheme="majorBidi" w:cstheme="majorBidi"/>
          <w:sz w:val="24"/>
          <w:szCs w:val="24"/>
          <w:shd w:val="clear" w:color="auto" w:fill="FFFFFF"/>
          <w:lang w:val="en-GB"/>
        </w:rPr>
        <w:t>(2)</w:t>
      </w:r>
      <w:r w:rsidR="002B5C2B" w:rsidRPr="00CF1137">
        <w:rPr>
          <w:rFonts w:asciiTheme="majorBidi" w:hAnsiTheme="majorBidi" w:cstheme="majorBidi"/>
          <w:sz w:val="24"/>
          <w:szCs w:val="24"/>
          <w:shd w:val="clear" w:color="auto" w:fill="FFFFFF"/>
          <w:lang w:val="en-GB"/>
        </w:rPr>
        <w:t>:</w:t>
      </w:r>
      <w:r w:rsidRPr="00CF1137">
        <w:rPr>
          <w:rFonts w:asciiTheme="majorBidi" w:hAnsiTheme="majorBidi" w:cstheme="majorBidi"/>
          <w:sz w:val="24"/>
          <w:szCs w:val="24"/>
          <w:shd w:val="clear" w:color="auto" w:fill="FFFFFF"/>
          <w:lang w:val="en-GB"/>
        </w:rPr>
        <w:t xml:space="preserve"> 207-225. </w:t>
      </w:r>
      <w:r w:rsidR="002B5C2B" w:rsidRPr="00CF1137">
        <w:rPr>
          <w:rFonts w:asciiTheme="majorBidi" w:hAnsiTheme="majorBidi" w:cstheme="majorBidi"/>
          <w:sz w:val="24"/>
          <w:szCs w:val="24"/>
          <w:shd w:val="clear" w:color="auto" w:fill="FFFFFF"/>
          <w:lang w:val="en-GB"/>
        </w:rPr>
        <w:t>doi:</w:t>
      </w:r>
      <w:r w:rsidRPr="00CF1137">
        <w:rPr>
          <w:rFonts w:asciiTheme="majorBidi" w:hAnsiTheme="majorBidi" w:cstheme="majorBidi"/>
          <w:sz w:val="24"/>
          <w:szCs w:val="24"/>
          <w:shd w:val="clear" w:color="auto" w:fill="FFFFFF"/>
          <w:lang w:val="en-GB"/>
        </w:rPr>
        <w:t>10.1525/sp.2006.53.2.207</w:t>
      </w:r>
      <w:r w:rsidR="00CF1137">
        <w:rPr>
          <w:rFonts w:asciiTheme="majorBidi" w:hAnsiTheme="majorBidi" w:cstheme="majorBidi"/>
          <w:sz w:val="24"/>
          <w:szCs w:val="24"/>
          <w:shd w:val="clear" w:color="auto" w:fill="FFFFFF"/>
          <w:lang w:val="en-GB"/>
        </w:rPr>
        <w:t>.</w:t>
      </w:r>
    </w:p>
    <w:p w14:paraId="23FB79B1" w14:textId="1945F71A" w:rsidR="00F8163D" w:rsidRPr="006F4DFB" w:rsidRDefault="00AC3B0B" w:rsidP="00C03772">
      <w:pPr>
        <w:spacing w:after="0" w:line="480" w:lineRule="auto"/>
        <w:ind w:left="720" w:hanging="720"/>
        <w:rPr>
          <w:rFonts w:ascii="Times New Roman" w:hAnsi="Times New Roman" w:cs="Times New Roman"/>
          <w:sz w:val="24"/>
          <w:szCs w:val="24"/>
          <w:shd w:val="clear" w:color="auto" w:fill="FFFFFF"/>
          <w:lang w:val="en-GB"/>
        </w:rPr>
      </w:pPr>
      <w:r w:rsidRPr="006F4DFB">
        <w:rPr>
          <w:rFonts w:ascii="Times New Roman" w:hAnsi="Times New Roman" w:cs="Times New Roman"/>
          <w:sz w:val="24"/>
          <w:szCs w:val="24"/>
          <w:shd w:val="clear" w:color="auto" w:fill="FFFFFF"/>
          <w:lang w:val="en-GB"/>
        </w:rPr>
        <w:t>Bowman, P. J., and</w:t>
      </w:r>
      <w:r w:rsidR="00F8163D" w:rsidRPr="006F4DFB">
        <w:rPr>
          <w:rFonts w:ascii="Times New Roman" w:hAnsi="Times New Roman" w:cs="Times New Roman"/>
          <w:sz w:val="24"/>
          <w:szCs w:val="24"/>
          <w:shd w:val="clear" w:color="auto" w:fill="FFFFFF"/>
          <w:lang w:val="en-GB"/>
        </w:rPr>
        <w:t xml:space="preserve"> </w:t>
      </w:r>
      <w:r w:rsidRPr="006F4DFB">
        <w:rPr>
          <w:rFonts w:ascii="Times New Roman" w:hAnsi="Times New Roman" w:cs="Times New Roman"/>
          <w:sz w:val="24"/>
          <w:szCs w:val="24"/>
          <w:shd w:val="clear" w:color="auto" w:fill="FFFFFF"/>
          <w:lang w:val="en-GB"/>
        </w:rPr>
        <w:t xml:space="preserve">C. </w:t>
      </w:r>
      <w:r w:rsidR="00F8163D" w:rsidRPr="006F4DFB">
        <w:rPr>
          <w:rFonts w:ascii="Times New Roman" w:hAnsi="Times New Roman" w:cs="Times New Roman"/>
          <w:sz w:val="24"/>
          <w:szCs w:val="24"/>
          <w:shd w:val="clear" w:color="auto" w:fill="FFFFFF"/>
          <w:lang w:val="en-GB"/>
        </w:rPr>
        <w:t>Howard</w:t>
      </w:r>
      <w:r w:rsidRPr="006F4DFB">
        <w:rPr>
          <w:rFonts w:ascii="Times New Roman" w:hAnsi="Times New Roman" w:cs="Times New Roman"/>
          <w:sz w:val="24"/>
          <w:szCs w:val="24"/>
          <w:shd w:val="clear" w:color="auto" w:fill="FFFFFF"/>
          <w:lang w:val="en-GB"/>
        </w:rPr>
        <w:t>. 1985</w:t>
      </w:r>
      <w:r w:rsidR="00F8163D" w:rsidRPr="006F4DFB">
        <w:rPr>
          <w:rFonts w:ascii="Times New Roman" w:hAnsi="Times New Roman" w:cs="Times New Roman"/>
          <w:sz w:val="24"/>
          <w:szCs w:val="24"/>
          <w:shd w:val="clear" w:color="auto" w:fill="FFFFFF"/>
          <w:lang w:val="en-GB"/>
        </w:rPr>
        <w:t xml:space="preserve">. </w:t>
      </w:r>
      <w:r w:rsidR="00FF1BA6" w:rsidRPr="006F4DFB">
        <w:rPr>
          <w:rFonts w:ascii="Times New Roman" w:hAnsi="Times New Roman" w:cs="Times New Roman"/>
          <w:sz w:val="24"/>
          <w:szCs w:val="24"/>
          <w:shd w:val="clear" w:color="auto" w:fill="FFFFFF"/>
          <w:lang w:val="en-GB"/>
        </w:rPr>
        <w:t>“</w:t>
      </w:r>
      <w:r w:rsidR="00721D25" w:rsidRPr="00721D25">
        <w:rPr>
          <w:rFonts w:ascii="Times New Roman" w:hAnsi="Times New Roman" w:cs="Times New Roman"/>
          <w:sz w:val="24"/>
          <w:szCs w:val="24"/>
          <w:shd w:val="clear" w:color="auto" w:fill="FFFFFF"/>
          <w:lang w:val="en-GB"/>
        </w:rPr>
        <w:t>Race-Related Socialization, Motivation, and Academic Achievement: A Study of Black Youths in Three Generation Families</w:t>
      </w:r>
      <w:r w:rsidR="00F8163D" w:rsidRPr="006F4DFB">
        <w:rPr>
          <w:rFonts w:ascii="Times New Roman" w:hAnsi="Times New Roman" w:cs="Times New Roman"/>
          <w:sz w:val="24"/>
          <w:szCs w:val="24"/>
          <w:shd w:val="clear" w:color="auto" w:fill="FFFFFF"/>
          <w:lang w:val="en-GB"/>
        </w:rPr>
        <w:t>.</w:t>
      </w:r>
      <w:r w:rsidR="00FF1BA6" w:rsidRPr="006F4DFB">
        <w:rPr>
          <w:rFonts w:ascii="Times New Roman" w:hAnsi="Times New Roman" w:cs="Times New Roman"/>
          <w:sz w:val="24"/>
          <w:szCs w:val="24"/>
          <w:shd w:val="clear" w:color="auto" w:fill="FFFFFF"/>
          <w:lang w:val="en-GB"/>
        </w:rPr>
        <w:t>”</w:t>
      </w:r>
      <w:r w:rsidR="00F8163D" w:rsidRPr="006F4DFB">
        <w:rPr>
          <w:rFonts w:ascii="Times New Roman" w:hAnsi="Times New Roman" w:cs="Times New Roman"/>
          <w:sz w:val="24"/>
          <w:szCs w:val="24"/>
          <w:shd w:val="clear" w:color="auto" w:fill="FFFFFF"/>
          <w:lang w:val="en-GB"/>
        </w:rPr>
        <w:t> </w:t>
      </w:r>
      <w:r w:rsidR="00F8163D" w:rsidRPr="006F4DFB">
        <w:rPr>
          <w:rFonts w:ascii="Times New Roman" w:hAnsi="Times New Roman" w:cs="Times New Roman"/>
          <w:i/>
          <w:iCs/>
          <w:sz w:val="24"/>
          <w:szCs w:val="24"/>
          <w:shd w:val="clear" w:color="auto" w:fill="FFFFFF"/>
          <w:lang w:val="en-GB"/>
        </w:rPr>
        <w:t>Journal of the American Academy of Child Psychiatry</w:t>
      </w:r>
      <w:r w:rsidR="00F8163D" w:rsidRPr="006F4DFB">
        <w:rPr>
          <w:rFonts w:ascii="Times New Roman" w:hAnsi="Times New Roman" w:cs="Times New Roman"/>
          <w:sz w:val="24"/>
          <w:szCs w:val="24"/>
          <w:shd w:val="clear" w:color="auto" w:fill="FFFFFF"/>
          <w:lang w:val="en-GB"/>
        </w:rPr>
        <w:t> </w:t>
      </w:r>
      <w:r w:rsidR="00F8163D" w:rsidRPr="006F4DFB">
        <w:rPr>
          <w:rFonts w:ascii="Times New Roman" w:hAnsi="Times New Roman" w:cs="Times New Roman"/>
          <w:iCs/>
          <w:sz w:val="24"/>
          <w:szCs w:val="24"/>
          <w:shd w:val="clear" w:color="auto" w:fill="FFFFFF"/>
          <w:lang w:val="en-GB"/>
        </w:rPr>
        <w:t>24</w:t>
      </w:r>
      <w:r w:rsidR="00FF1BA6" w:rsidRPr="006F4DFB">
        <w:rPr>
          <w:rFonts w:ascii="Times New Roman" w:hAnsi="Times New Roman" w:cs="Times New Roman"/>
          <w:sz w:val="24"/>
          <w:szCs w:val="24"/>
          <w:shd w:val="clear" w:color="auto" w:fill="FFFFFF"/>
          <w:lang w:val="en-GB"/>
        </w:rPr>
        <w:t xml:space="preserve"> </w:t>
      </w:r>
      <w:r w:rsidR="00F8163D" w:rsidRPr="006F4DFB">
        <w:rPr>
          <w:rFonts w:ascii="Times New Roman" w:hAnsi="Times New Roman" w:cs="Times New Roman"/>
          <w:sz w:val="24"/>
          <w:szCs w:val="24"/>
          <w:shd w:val="clear" w:color="auto" w:fill="FFFFFF"/>
          <w:lang w:val="en-GB"/>
        </w:rPr>
        <w:t>(2)</w:t>
      </w:r>
      <w:r w:rsidR="00FF1BA6" w:rsidRPr="006F4DFB">
        <w:rPr>
          <w:rFonts w:ascii="Times New Roman" w:hAnsi="Times New Roman" w:cs="Times New Roman"/>
          <w:sz w:val="24"/>
          <w:szCs w:val="24"/>
          <w:shd w:val="clear" w:color="auto" w:fill="FFFFFF"/>
          <w:lang w:val="en-GB"/>
        </w:rPr>
        <w:t>:</w:t>
      </w:r>
      <w:r w:rsidR="00F8163D" w:rsidRPr="006F4DFB">
        <w:rPr>
          <w:rFonts w:ascii="Times New Roman" w:hAnsi="Times New Roman" w:cs="Times New Roman"/>
          <w:sz w:val="24"/>
          <w:szCs w:val="24"/>
          <w:shd w:val="clear" w:color="auto" w:fill="FFFFFF"/>
          <w:lang w:val="en-GB"/>
        </w:rPr>
        <w:t xml:space="preserve"> 134-141. </w:t>
      </w:r>
      <w:proofErr w:type="gramStart"/>
      <w:r w:rsidR="00FF1BA6" w:rsidRPr="006F4DFB">
        <w:rPr>
          <w:rFonts w:ascii="Times New Roman" w:hAnsi="Times New Roman" w:cs="Times New Roman"/>
          <w:sz w:val="24"/>
          <w:szCs w:val="24"/>
          <w:shd w:val="clear" w:color="auto" w:fill="FFFFFF"/>
          <w:lang w:val="en-GB"/>
        </w:rPr>
        <w:t>doi:</w:t>
      </w:r>
      <w:proofErr w:type="gramEnd"/>
      <w:r w:rsidR="00F8163D" w:rsidRPr="006F4DFB">
        <w:rPr>
          <w:rFonts w:ascii="Times New Roman" w:hAnsi="Times New Roman" w:cs="Times New Roman"/>
          <w:sz w:val="24"/>
          <w:szCs w:val="24"/>
          <w:shd w:val="clear" w:color="auto" w:fill="FFFFFF"/>
          <w:lang w:val="en-GB"/>
        </w:rPr>
        <w:t>10.1016/S0002-7138(09)60438-6</w:t>
      </w:r>
      <w:r w:rsidR="00FF1BA6" w:rsidRPr="006F4DFB">
        <w:rPr>
          <w:rFonts w:ascii="Times New Roman" w:hAnsi="Times New Roman" w:cs="Times New Roman"/>
          <w:sz w:val="24"/>
          <w:szCs w:val="24"/>
          <w:shd w:val="clear" w:color="auto" w:fill="FFFFFF"/>
          <w:lang w:val="en-GB"/>
        </w:rPr>
        <w:t>.</w:t>
      </w:r>
    </w:p>
    <w:p w14:paraId="01785418" w14:textId="0EC11D53" w:rsidR="00F8163D" w:rsidRPr="00DD2C0A" w:rsidRDefault="003B6109" w:rsidP="00C03772">
      <w:pPr>
        <w:spacing w:after="0" w:line="480" w:lineRule="auto"/>
        <w:ind w:left="720" w:hanging="720"/>
        <w:rPr>
          <w:rFonts w:ascii="Times New Roman" w:hAnsi="Times New Roman" w:cs="Times New Roman"/>
          <w:sz w:val="24"/>
          <w:szCs w:val="24"/>
          <w:shd w:val="clear" w:color="auto" w:fill="FFFFFF"/>
          <w:lang w:val="en-GB"/>
        </w:rPr>
      </w:pPr>
      <w:r w:rsidRPr="00DD2C0A">
        <w:rPr>
          <w:rFonts w:ascii="Times New Roman" w:hAnsi="Times New Roman" w:cs="Times New Roman"/>
          <w:sz w:val="24"/>
          <w:szCs w:val="24"/>
          <w:shd w:val="clear" w:color="auto" w:fill="FFFFFF"/>
          <w:lang w:val="en-GB"/>
        </w:rPr>
        <w:t>Boyle, R. P. 1966</w:t>
      </w:r>
      <w:r w:rsidR="00F8163D" w:rsidRPr="00DD2C0A">
        <w:rPr>
          <w:rFonts w:ascii="Times New Roman" w:hAnsi="Times New Roman" w:cs="Times New Roman"/>
          <w:sz w:val="24"/>
          <w:szCs w:val="24"/>
          <w:shd w:val="clear" w:color="auto" w:fill="FFFFFF"/>
          <w:lang w:val="en-GB"/>
        </w:rPr>
        <w:t xml:space="preserve">. </w:t>
      </w:r>
      <w:r w:rsidRPr="00DD2C0A">
        <w:rPr>
          <w:rFonts w:ascii="Times New Roman" w:hAnsi="Times New Roman" w:cs="Times New Roman"/>
          <w:sz w:val="24"/>
          <w:szCs w:val="24"/>
          <w:shd w:val="clear" w:color="auto" w:fill="FFFFFF"/>
          <w:lang w:val="en-GB"/>
        </w:rPr>
        <w:t>“</w:t>
      </w:r>
      <w:r w:rsidR="00A13852" w:rsidRPr="00A13852">
        <w:rPr>
          <w:rFonts w:ascii="Times New Roman" w:hAnsi="Times New Roman" w:cs="Times New Roman"/>
          <w:sz w:val="24"/>
          <w:szCs w:val="24"/>
          <w:shd w:val="clear" w:color="auto" w:fill="FFFFFF"/>
          <w:lang w:val="en-GB"/>
        </w:rPr>
        <w:t>The Effect of the High School on Students' Aspirations</w:t>
      </w:r>
      <w:r w:rsidR="00F8163D" w:rsidRPr="00DD2C0A">
        <w:rPr>
          <w:rFonts w:ascii="Times New Roman" w:hAnsi="Times New Roman" w:cs="Times New Roman"/>
          <w:sz w:val="24"/>
          <w:szCs w:val="24"/>
          <w:shd w:val="clear" w:color="auto" w:fill="FFFFFF"/>
          <w:lang w:val="en-GB"/>
        </w:rPr>
        <w:t>.</w:t>
      </w:r>
      <w:r w:rsidRPr="00DD2C0A">
        <w:rPr>
          <w:rFonts w:ascii="Times New Roman" w:hAnsi="Times New Roman" w:cs="Times New Roman"/>
          <w:sz w:val="24"/>
          <w:szCs w:val="24"/>
          <w:shd w:val="clear" w:color="auto" w:fill="FFFFFF"/>
          <w:lang w:val="en-GB"/>
        </w:rPr>
        <w:t>”</w:t>
      </w:r>
      <w:r w:rsidR="00F8163D" w:rsidRPr="00DD2C0A">
        <w:rPr>
          <w:rFonts w:ascii="Times New Roman" w:hAnsi="Times New Roman" w:cs="Times New Roman"/>
          <w:sz w:val="24"/>
          <w:szCs w:val="24"/>
          <w:shd w:val="clear" w:color="auto" w:fill="FFFFFF"/>
          <w:lang w:val="en-GB"/>
        </w:rPr>
        <w:t> </w:t>
      </w:r>
      <w:r w:rsidR="00F8163D" w:rsidRPr="00DD2C0A">
        <w:rPr>
          <w:rFonts w:ascii="Times New Roman" w:hAnsi="Times New Roman" w:cs="Times New Roman"/>
          <w:i/>
          <w:iCs/>
          <w:sz w:val="24"/>
          <w:szCs w:val="24"/>
          <w:shd w:val="clear" w:color="auto" w:fill="FFFFFF"/>
          <w:lang w:val="en-GB"/>
        </w:rPr>
        <w:t>American Journal of Sociology</w:t>
      </w:r>
      <w:r w:rsidR="00F8163D" w:rsidRPr="00DD2C0A">
        <w:rPr>
          <w:rFonts w:ascii="Times New Roman" w:hAnsi="Times New Roman" w:cs="Times New Roman"/>
          <w:sz w:val="24"/>
          <w:szCs w:val="24"/>
          <w:shd w:val="clear" w:color="auto" w:fill="FFFFFF"/>
          <w:lang w:val="en-GB"/>
        </w:rPr>
        <w:t> </w:t>
      </w:r>
      <w:r w:rsidR="00F8163D" w:rsidRPr="00DD2C0A">
        <w:rPr>
          <w:rFonts w:ascii="Times New Roman" w:hAnsi="Times New Roman" w:cs="Times New Roman"/>
          <w:iCs/>
          <w:sz w:val="24"/>
          <w:szCs w:val="24"/>
          <w:shd w:val="clear" w:color="auto" w:fill="FFFFFF"/>
          <w:lang w:val="en-GB"/>
        </w:rPr>
        <w:t>71</w:t>
      </w:r>
      <w:r w:rsidRPr="00DD2C0A">
        <w:rPr>
          <w:rFonts w:ascii="Times New Roman" w:hAnsi="Times New Roman" w:cs="Times New Roman"/>
          <w:sz w:val="24"/>
          <w:szCs w:val="24"/>
          <w:shd w:val="clear" w:color="auto" w:fill="FFFFFF"/>
          <w:lang w:val="en-GB"/>
        </w:rPr>
        <w:t xml:space="preserve"> </w:t>
      </w:r>
      <w:r w:rsidR="00F8163D" w:rsidRPr="00DD2C0A">
        <w:rPr>
          <w:rFonts w:ascii="Times New Roman" w:hAnsi="Times New Roman" w:cs="Times New Roman"/>
          <w:sz w:val="24"/>
          <w:szCs w:val="24"/>
          <w:shd w:val="clear" w:color="auto" w:fill="FFFFFF"/>
          <w:lang w:val="en-GB"/>
        </w:rPr>
        <w:t>(6)</w:t>
      </w:r>
      <w:r w:rsidR="00320119" w:rsidRPr="00DD2C0A">
        <w:rPr>
          <w:rFonts w:ascii="Times New Roman" w:hAnsi="Times New Roman" w:cs="Times New Roman"/>
          <w:sz w:val="24"/>
          <w:szCs w:val="24"/>
          <w:shd w:val="clear" w:color="auto" w:fill="FFFFFF"/>
          <w:lang w:val="en-GB"/>
        </w:rPr>
        <w:t>:</w:t>
      </w:r>
      <w:r w:rsidR="00F8163D" w:rsidRPr="00DD2C0A">
        <w:rPr>
          <w:rFonts w:ascii="Times New Roman" w:hAnsi="Times New Roman" w:cs="Times New Roman"/>
          <w:sz w:val="24"/>
          <w:szCs w:val="24"/>
          <w:shd w:val="clear" w:color="auto" w:fill="FFFFFF"/>
          <w:lang w:val="en-GB"/>
        </w:rPr>
        <w:t xml:space="preserve"> 628-639.</w:t>
      </w:r>
    </w:p>
    <w:p w14:paraId="003ED991" w14:textId="3F636CD1" w:rsidR="00F8163D" w:rsidRPr="00971104" w:rsidRDefault="00ED3C96" w:rsidP="00C03772">
      <w:pPr>
        <w:spacing w:after="0" w:line="480" w:lineRule="auto"/>
        <w:ind w:left="720" w:hanging="720"/>
        <w:rPr>
          <w:rFonts w:asciiTheme="majorBidi" w:hAnsiTheme="majorBidi" w:cstheme="majorBidi"/>
          <w:sz w:val="24"/>
          <w:szCs w:val="24"/>
          <w:shd w:val="clear" w:color="auto" w:fill="FFFFFF"/>
          <w:lang w:val="en-GB"/>
        </w:rPr>
      </w:pPr>
      <w:proofErr w:type="spellStart"/>
      <w:r w:rsidRPr="00971104">
        <w:rPr>
          <w:rFonts w:asciiTheme="majorBidi" w:hAnsiTheme="majorBidi" w:cstheme="majorBidi"/>
          <w:sz w:val="24"/>
          <w:szCs w:val="24"/>
          <w:shd w:val="clear" w:color="auto" w:fill="FFFFFF"/>
          <w:lang w:val="en-GB"/>
        </w:rPr>
        <w:t>Brasier</w:t>
      </w:r>
      <w:proofErr w:type="spellEnd"/>
      <w:r w:rsidRPr="00971104">
        <w:rPr>
          <w:rFonts w:asciiTheme="majorBidi" w:hAnsiTheme="majorBidi" w:cstheme="majorBidi"/>
          <w:sz w:val="24"/>
          <w:szCs w:val="24"/>
          <w:shd w:val="clear" w:color="auto" w:fill="FFFFFF"/>
          <w:lang w:val="en-GB"/>
        </w:rPr>
        <w:t>, T. G. 2008</w:t>
      </w:r>
      <w:r w:rsidR="00F8163D" w:rsidRPr="00971104">
        <w:rPr>
          <w:rFonts w:asciiTheme="majorBidi" w:hAnsiTheme="majorBidi" w:cstheme="majorBidi"/>
          <w:sz w:val="24"/>
          <w:szCs w:val="24"/>
          <w:shd w:val="clear" w:color="auto" w:fill="FFFFFF"/>
          <w:lang w:val="en-GB"/>
        </w:rPr>
        <w:t xml:space="preserve">. </w:t>
      </w:r>
      <w:r w:rsidR="0033033D">
        <w:rPr>
          <w:rFonts w:asciiTheme="majorBidi" w:hAnsiTheme="majorBidi" w:cstheme="majorBidi"/>
          <w:sz w:val="24"/>
          <w:szCs w:val="24"/>
          <w:shd w:val="clear" w:color="auto" w:fill="FFFFFF"/>
          <w:lang w:val="en-GB"/>
        </w:rPr>
        <w:t>“</w:t>
      </w:r>
      <w:r w:rsidR="002D57E0" w:rsidRPr="0033033D">
        <w:rPr>
          <w:rFonts w:asciiTheme="majorBidi" w:hAnsiTheme="majorBidi" w:cstheme="majorBidi"/>
          <w:iCs/>
          <w:sz w:val="24"/>
          <w:szCs w:val="24"/>
          <w:shd w:val="clear" w:color="auto" w:fill="FFFFFF"/>
          <w:lang w:val="en-GB"/>
        </w:rPr>
        <w:t>The Effects of Parental Involvement on Students' Eighth and Tenth Grade College Aspirations: A Comparative Analysis</w:t>
      </w:r>
      <w:r w:rsidR="0033033D">
        <w:rPr>
          <w:rFonts w:asciiTheme="majorBidi" w:hAnsiTheme="majorBidi" w:cstheme="majorBidi"/>
          <w:iCs/>
          <w:sz w:val="24"/>
          <w:szCs w:val="24"/>
          <w:shd w:val="clear" w:color="auto" w:fill="FFFFFF"/>
          <w:lang w:val="en-GB"/>
        </w:rPr>
        <w:t>.”</w:t>
      </w:r>
      <w:r w:rsidR="00275DD2">
        <w:rPr>
          <w:rFonts w:asciiTheme="majorBidi" w:hAnsiTheme="majorBidi" w:cstheme="majorBidi"/>
          <w:iCs/>
          <w:sz w:val="24"/>
          <w:szCs w:val="24"/>
          <w:shd w:val="clear" w:color="auto" w:fill="FFFFFF"/>
          <w:lang w:val="en-GB"/>
        </w:rPr>
        <w:t xml:space="preserve"> </w:t>
      </w:r>
      <w:r w:rsidR="00275DD2" w:rsidRPr="00275DD2">
        <w:rPr>
          <w:rFonts w:asciiTheme="majorBidi" w:hAnsiTheme="majorBidi" w:cstheme="majorBidi"/>
          <w:iCs/>
          <w:sz w:val="24"/>
          <w:szCs w:val="24"/>
          <w:shd w:val="clear" w:color="auto" w:fill="FFFFFF"/>
          <w:lang w:val="en-GB"/>
        </w:rPr>
        <w:t>PhD diss.</w:t>
      </w:r>
      <w:r w:rsidR="00275DD2">
        <w:rPr>
          <w:rFonts w:asciiTheme="majorBidi" w:hAnsiTheme="majorBidi" w:cstheme="majorBidi"/>
          <w:iCs/>
          <w:sz w:val="24"/>
          <w:szCs w:val="24"/>
          <w:shd w:val="clear" w:color="auto" w:fill="FFFFFF"/>
          <w:lang w:val="en-GB"/>
        </w:rPr>
        <w:t>,</w:t>
      </w:r>
      <w:r w:rsidR="00DC392B">
        <w:rPr>
          <w:rFonts w:asciiTheme="majorBidi" w:hAnsiTheme="majorBidi" w:cstheme="majorBidi"/>
          <w:sz w:val="24"/>
          <w:szCs w:val="24"/>
          <w:shd w:val="clear" w:color="auto" w:fill="FFFFFF"/>
          <w:lang w:val="en-GB"/>
        </w:rPr>
        <w:t xml:space="preserve"> </w:t>
      </w:r>
      <w:r w:rsidR="00F8163D" w:rsidRPr="00971104">
        <w:rPr>
          <w:rFonts w:asciiTheme="majorBidi" w:hAnsiTheme="majorBidi" w:cstheme="majorBidi"/>
          <w:sz w:val="24"/>
          <w:szCs w:val="24"/>
          <w:shd w:val="clear" w:color="auto" w:fill="FFFFFF"/>
          <w:lang w:val="en-GB"/>
        </w:rPr>
        <w:t>North Carolina State University.</w:t>
      </w:r>
    </w:p>
    <w:p w14:paraId="062D2FAD" w14:textId="7C8E8518" w:rsidR="00F8163D" w:rsidRPr="004B6E24" w:rsidRDefault="00DC59AE" w:rsidP="00C03772">
      <w:pPr>
        <w:spacing w:after="0" w:line="480" w:lineRule="auto"/>
        <w:ind w:left="720" w:hanging="720"/>
        <w:rPr>
          <w:rFonts w:asciiTheme="majorBidi" w:hAnsiTheme="majorBidi" w:cstheme="majorBidi"/>
          <w:sz w:val="24"/>
          <w:szCs w:val="24"/>
          <w:shd w:val="clear" w:color="auto" w:fill="FFFFFF"/>
          <w:lang w:val="en-GB"/>
        </w:rPr>
      </w:pPr>
      <w:proofErr w:type="spellStart"/>
      <w:r w:rsidRPr="004B6E24">
        <w:rPr>
          <w:rFonts w:asciiTheme="majorBidi" w:hAnsiTheme="majorBidi" w:cstheme="majorBidi"/>
          <w:sz w:val="24"/>
          <w:szCs w:val="24"/>
          <w:shd w:val="clear" w:color="auto" w:fill="FFFFFF"/>
          <w:lang w:val="en-GB"/>
        </w:rPr>
        <w:t>Buchmann</w:t>
      </w:r>
      <w:proofErr w:type="spellEnd"/>
      <w:r w:rsidRPr="004B6E24">
        <w:rPr>
          <w:rFonts w:asciiTheme="majorBidi" w:hAnsiTheme="majorBidi" w:cstheme="majorBidi"/>
          <w:sz w:val="24"/>
          <w:szCs w:val="24"/>
          <w:shd w:val="clear" w:color="auto" w:fill="FFFFFF"/>
          <w:lang w:val="en-GB"/>
        </w:rPr>
        <w:t>, C., and</w:t>
      </w:r>
      <w:r w:rsidR="00F8163D" w:rsidRPr="004B6E24">
        <w:rPr>
          <w:rFonts w:asciiTheme="majorBidi" w:hAnsiTheme="majorBidi" w:cstheme="majorBidi"/>
          <w:sz w:val="24"/>
          <w:szCs w:val="24"/>
          <w:shd w:val="clear" w:color="auto" w:fill="FFFFFF"/>
          <w:lang w:val="en-GB"/>
        </w:rPr>
        <w:t xml:space="preserve"> </w:t>
      </w:r>
      <w:r w:rsidRPr="004B6E24">
        <w:rPr>
          <w:rFonts w:asciiTheme="majorBidi" w:hAnsiTheme="majorBidi" w:cstheme="majorBidi"/>
          <w:sz w:val="24"/>
          <w:szCs w:val="24"/>
          <w:shd w:val="clear" w:color="auto" w:fill="FFFFFF"/>
          <w:lang w:val="en-GB"/>
        </w:rPr>
        <w:t xml:space="preserve">B. </w:t>
      </w:r>
      <w:r w:rsidR="00F8163D" w:rsidRPr="004B6E24">
        <w:rPr>
          <w:rFonts w:asciiTheme="majorBidi" w:hAnsiTheme="majorBidi" w:cstheme="majorBidi"/>
          <w:sz w:val="24"/>
          <w:szCs w:val="24"/>
          <w:shd w:val="clear" w:color="auto" w:fill="FFFFFF"/>
          <w:lang w:val="en-GB"/>
        </w:rPr>
        <w:t>Dalton</w:t>
      </w:r>
      <w:r w:rsidRPr="004B6E24">
        <w:rPr>
          <w:rFonts w:asciiTheme="majorBidi" w:hAnsiTheme="majorBidi" w:cstheme="majorBidi"/>
          <w:sz w:val="24"/>
          <w:szCs w:val="24"/>
          <w:shd w:val="clear" w:color="auto" w:fill="FFFFFF"/>
          <w:lang w:val="en-GB"/>
        </w:rPr>
        <w:t>. 2002</w:t>
      </w:r>
      <w:r w:rsidR="00F8163D" w:rsidRPr="004B6E24">
        <w:rPr>
          <w:rFonts w:asciiTheme="majorBidi" w:hAnsiTheme="majorBidi" w:cstheme="majorBidi"/>
          <w:sz w:val="24"/>
          <w:szCs w:val="24"/>
          <w:shd w:val="clear" w:color="auto" w:fill="FFFFFF"/>
          <w:lang w:val="en-GB"/>
        </w:rPr>
        <w:t xml:space="preserve">. </w:t>
      </w:r>
      <w:r w:rsidRPr="004B6E24">
        <w:rPr>
          <w:rFonts w:asciiTheme="majorBidi" w:hAnsiTheme="majorBidi" w:cstheme="majorBidi"/>
          <w:sz w:val="24"/>
          <w:szCs w:val="24"/>
          <w:shd w:val="clear" w:color="auto" w:fill="FFFFFF"/>
          <w:lang w:val="en-GB"/>
        </w:rPr>
        <w:t>“</w:t>
      </w:r>
      <w:r w:rsidR="001647E5" w:rsidRPr="001647E5">
        <w:rPr>
          <w:rFonts w:asciiTheme="majorBidi" w:hAnsiTheme="majorBidi" w:cstheme="majorBidi"/>
          <w:sz w:val="24"/>
          <w:szCs w:val="24"/>
          <w:shd w:val="clear" w:color="auto" w:fill="FFFFFF"/>
          <w:lang w:val="en-GB"/>
        </w:rPr>
        <w:t>Interpersonal Influences and Educational Aspirations in 12 Countries: The Importance of Institutional Context</w:t>
      </w:r>
      <w:r w:rsidR="00F8163D" w:rsidRPr="004B6E24">
        <w:rPr>
          <w:rFonts w:asciiTheme="majorBidi" w:hAnsiTheme="majorBidi" w:cstheme="majorBidi"/>
          <w:sz w:val="24"/>
          <w:szCs w:val="24"/>
          <w:shd w:val="clear" w:color="auto" w:fill="FFFFFF"/>
          <w:lang w:val="en-GB"/>
        </w:rPr>
        <w:t>.</w:t>
      </w:r>
      <w:r w:rsidRPr="004B6E24">
        <w:rPr>
          <w:rFonts w:asciiTheme="majorBidi" w:hAnsiTheme="majorBidi" w:cstheme="majorBidi"/>
          <w:sz w:val="24"/>
          <w:szCs w:val="24"/>
          <w:shd w:val="clear" w:color="auto" w:fill="FFFFFF"/>
          <w:lang w:val="en-GB"/>
        </w:rPr>
        <w:t>”</w:t>
      </w:r>
      <w:r w:rsidR="00F8163D" w:rsidRPr="004B6E24">
        <w:rPr>
          <w:rFonts w:asciiTheme="majorBidi" w:hAnsiTheme="majorBidi" w:cstheme="majorBidi"/>
          <w:sz w:val="24"/>
          <w:szCs w:val="24"/>
          <w:shd w:val="clear" w:color="auto" w:fill="FFFFFF"/>
          <w:lang w:val="en-GB"/>
        </w:rPr>
        <w:t> </w:t>
      </w:r>
      <w:r w:rsidR="00F8163D" w:rsidRPr="004B6E24">
        <w:rPr>
          <w:rStyle w:val="Emphasis"/>
          <w:rFonts w:asciiTheme="majorBidi" w:hAnsiTheme="majorBidi" w:cstheme="majorBidi"/>
          <w:sz w:val="24"/>
          <w:szCs w:val="24"/>
          <w:shd w:val="clear" w:color="auto" w:fill="FFFFFF"/>
          <w:lang w:val="en-GB"/>
        </w:rPr>
        <w:t xml:space="preserve">Sociology of Education </w:t>
      </w:r>
      <w:r w:rsidR="00F8163D" w:rsidRPr="004B6E24">
        <w:rPr>
          <w:rStyle w:val="Emphasis"/>
          <w:rFonts w:asciiTheme="majorBidi" w:hAnsiTheme="majorBidi" w:cstheme="majorBidi"/>
          <w:i w:val="0"/>
          <w:sz w:val="24"/>
          <w:szCs w:val="24"/>
          <w:shd w:val="clear" w:color="auto" w:fill="FFFFFF"/>
          <w:lang w:val="en-GB"/>
        </w:rPr>
        <w:t>75</w:t>
      </w:r>
      <w:r w:rsidRPr="004B6E24">
        <w:rPr>
          <w:rFonts w:asciiTheme="majorBidi" w:hAnsiTheme="majorBidi" w:cstheme="majorBidi"/>
          <w:sz w:val="24"/>
          <w:szCs w:val="24"/>
          <w:shd w:val="clear" w:color="auto" w:fill="FFFFFF"/>
          <w:lang w:val="en-GB"/>
        </w:rPr>
        <w:t xml:space="preserve"> </w:t>
      </w:r>
      <w:r w:rsidR="00F8163D" w:rsidRPr="004B6E24">
        <w:rPr>
          <w:rFonts w:asciiTheme="majorBidi" w:hAnsiTheme="majorBidi" w:cstheme="majorBidi"/>
          <w:sz w:val="24"/>
          <w:szCs w:val="24"/>
          <w:shd w:val="clear" w:color="auto" w:fill="FFFFFF"/>
          <w:lang w:val="en-GB"/>
        </w:rPr>
        <w:t>(2)</w:t>
      </w:r>
      <w:r w:rsidRPr="004B6E24">
        <w:rPr>
          <w:rFonts w:asciiTheme="majorBidi" w:hAnsiTheme="majorBidi" w:cstheme="majorBidi"/>
          <w:sz w:val="24"/>
          <w:szCs w:val="24"/>
          <w:shd w:val="clear" w:color="auto" w:fill="FFFFFF"/>
          <w:lang w:val="en-GB"/>
        </w:rPr>
        <w:t>:</w:t>
      </w:r>
      <w:r w:rsidR="00F8163D" w:rsidRPr="004B6E24">
        <w:rPr>
          <w:rFonts w:asciiTheme="majorBidi" w:hAnsiTheme="majorBidi" w:cstheme="majorBidi"/>
          <w:sz w:val="24"/>
          <w:szCs w:val="24"/>
          <w:shd w:val="clear" w:color="auto" w:fill="FFFFFF"/>
          <w:lang w:val="en-GB"/>
        </w:rPr>
        <w:t xml:space="preserve"> 99-122. </w:t>
      </w:r>
      <w:proofErr w:type="gramStart"/>
      <w:r w:rsidRPr="004B6E24">
        <w:rPr>
          <w:rFonts w:asciiTheme="majorBidi" w:hAnsiTheme="majorBidi" w:cstheme="majorBidi"/>
          <w:sz w:val="24"/>
          <w:szCs w:val="24"/>
          <w:shd w:val="clear" w:color="auto" w:fill="FFFFFF"/>
          <w:lang w:val="en-GB"/>
        </w:rPr>
        <w:t>doi:</w:t>
      </w:r>
      <w:proofErr w:type="gramEnd"/>
      <w:r w:rsidR="00F8163D" w:rsidRPr="004B6E24">
        <w:rPr>
          <w:rFonts w:asciiTheme="majorBidi" w:hAnsiTheme="majorBidi" w:cstheme="majorBidi"/>
          <w:sz w:val="24"/>
          <w:szCs w:val="24"/>
          <w:shd w:val="clear" w:color="auto" w:fill="FFFFFF"/>
          <w:lang w:val="en-GB"/>
        </w:rPr>
        <w:t>10.2307/3090287</w:t>
      </w:r>
      <w:r w:rsidR="004B6E24" w:rsidRPr="004B6E24">
        <w:rPr>
          <w:rFonts w:asciiTheme="majorBidi" w:hAnsiTheme="majorBidi" w:cstheme="majorBidi"/>
          <w:sz w:val="24"/>
          <w:szCs w:val="24"/>
          <w:shd w:val="clear" w:color="auto" w:fill="FFFFFF"/>
          <w:lang w:val="en-GB"/>
        </w:rPr>
        <w:t>.</w:t>
      </w:r>
    </w:p>
    <w:p w14:paraId="0E8AADF8" w14:textId="7FBD9F56" w:rsidR="00F8163D" w:rsidRPr="00B43A3B" w:rsidRDefault="00F8163D" w:rsidP="00C03772">
      <w:pPr>
        <w:spacing w:after="0" w:line="480" w:lineRule="auto"/>
        <w:ind w:left="720" w:hanging="720"/>
        <w:rPr>
          <w:rFonts w:ascii="Times New Roman" w:hAnsi="Times New Roman" w:cs="Times New Roman"/>
          <w:sz w:val="24"/>
          <w:szCs w:val="24"/>
          <w:shd w:val="clear" w:color="auto" w:fill="FFFFFF"/>
          <w:lang w:val="en-GB"/>
        </w:rPr>
      </w:pPr>
      <w:r w:rsidRPr="00B43A3B">
        <w:rPr>
          <w:rFonts w:ascii="Times New Roman" w:hAnsi="Times New Roman" w:cs="Times New Roman"/>
          <w:sz w:val="24"/>
          <w:szCs w:val="24"/>
          <w:shd w:val="clear" w:color="auto" w:fill="FFFFFF"/>
          <w:lang w:val="en-GB"/>
        </w:rPr>
        <w:t xml:space="preserve">Burke, M. A., </w:t>
      </w:r>
      <w:r w:rsidR="002020DC" w:rsidRPr="00B43A3B">
        <w:rPr>
          <w:rFonts w:ascii="Times New Roman" w:hAnsi="Times New Roman" w:cs="Times New Roman"/>
          <w:sz w:val="24"/>
          <w:szCs w:val="24"/>
          <w:shd w:val="clear" w:color="auto" w:fill="FFFFFF"/>
          <w:lang w:val="en-GB"/>
        </w:rPr>
        <w:t>and</w:t>
      </w:r>
      <w:r w:rsidRPr="00B43A3B">
        <w:rPr>
          <w:rFonts w:ascii="Times New Roman" w:hAnsi="Times New Roman" w:cs="Times New Roman"/>
          <w:sz w:val="24"/>
          <w:szCs w:val="24"/>
          <w:shd w:val="clear" w:color="auto" w:fill="FFFFFF"/>
          <w:lang w:val="en-GB"/>
        </w:rPr>
        <w:t xml:space="preserve"> </w:t>
      </w:r>
      <w:r w:rsidR="002020DC" w:rsidRPr="00B43A3B">
        <w:rPr>
          <w:rFonts w:ascii="Times New Roman" w:hAnsi="Times New Roman" w:cs="Times New Roman"/>
          <w:sz w:val="24"/>
          <w:szCs w:val="24"/>
          <w:shd w:val="clear" w:color="auto" w:fill="FFFFFF"/>
          <w:lang w:val="en-GB"/>
        </w:rPr>
        <w:t xml:space="preserve">T. R. </w:t>
      </w:r>
      <w:r w:rsidRPr="00B43A3B">
        <w:rPr>
          <w:rFonts w:ascii="Times New Roman" w:hAnsi="Times New Roman" w:cs="Times New Roman"/>
          <w:sz w:val="24"/>
          <w:szCs w:val="24"/>
          <w:shd w:val="clear" w:color="auto" w:fill="FFFFFF"/>
          <w:lang w:val="en-GB"/>
        </w:rPr>
        <w:t>Sass</w:t>
      </w:r>
      <w:r w:rsidR="002020DC" w:rsidRPr="00B43A3B">
        <w:rPr>
          <w:rFonts w:ascii="Times New Roman" w:hAnsi="Times New Roman" w:cs="Times New Roman"/>
          <w:sz w:val="24"/>
          <w:szCs w:val="24"/>
          <w:shd w:val="clear" w:color="auto" w:fill="FFFFFF"/>
          <w:lang w:val="en-GB"/>
        </w:rPr>
        <w:t>. 2013</w:t>
      </w:r>
      <w:r w:rsidRPr="00B43A3B">
        <w:rPr>
          <w:rFonts w:ascii="Times New Roman" w:hAnsi="Times New Roman" w:cs="Times New Roman"/>
          <w:sz w:val="24"/>
          <w:szCs w:val="24"/>
          <w:shd w:val="clear" w:color="auto" w:fill="FFFFFF"/>
          <w:lang w:val="en-GB"/>
        </w:rPr>
        <w:t xml:space="preserve">. </w:t>
      </w:r>
      <w:r w:rsidR="002020DC" w:rsidRPr="00B43A3B">
        <w:rPr>
          <w:rFonts w:ascii="Times New Roman" w:hAnsi="Times New Roman" w:cs="Times New Roman"/>
          <w:sz w:val="24"/>
          <w:szCs w:val="24"/>
          <w:shd w:val="clear" w:color="auto" w:fill="FFFFFF"/>
          <w:lang w:val="en-GB"/>
        </w:rPr>
        <w:t>“</w:t>
      </w:r>
      <w:r w:rsidR="000E3E1C" w:rsidRPr="000E3E1C">
        <w:rPr>
          <w:rFonts w:ascii="Times New Roman" w:hAnsi="Times New Roman" w:cs="Times New Roman"/>
          <w:sz w:val="24"/>
          <w:szCs w:val="24"/>
          <w:shd w:val="clear" w:color="auto" w:fill="FFFFFF"/>
          <w:lang w:val="en-GB"/>
        </w:rPr>
        <w:t>Classroom Peer Effects and Student Achievement</w:t>
      </w:r>
      <w:r w:rsidRPr="00B43A3B">
        <w:rPr>
          <w:rFonts w:ascii="Times New Roman" w:hAnsi="Times New Roman" w:cs="Times New Roman"/>
          <w:sz w:val="24"/>
          <w:szCs w:val="24"/>
          <w:shd w:val="clear" w:color="auto" w:fill="FFFFFF"/>
          <w:lang w:val="en-GB"/>
        </w:rPr>
        <w:t>.</w:t>
      </w:r>
      <w:r w:rsidR="002020DC" w:rsidRPr="00B43A3B">
        <w:rPr>
          <w:rFonts w:ascii="Times New Roman" w:hAnsi="Times New Roman" w:cs="Times New Roman"/>
          <w:sz w:val="24"/>
          <w:szCs w:val="24"/>
          <w:shd w:val="clear" w:color="auto" w:fill="FFFFFF"/>
          <w:lang w:val="en-GB"/>
        </w:rPr>
        <w:t>”</w:t>
      </w:r>
      <w:r w:rsidRPr="00B43A3B">
        <w:rPr>
          <w:rFonts w:ascii="Times New Roman" w:hAnsi="Times New Roman" w:cs="Times New Roman"/>
          <w:sz w:val="24"/>
          <w:szCs w:val="24"/>
          <w:shd w:val="clear" w:color="auto" w:fill="FFFFFF"/>
          <w:lang w:val="en-GB"/>
        </w:rPr>
        <w:t> </w:t>
      </w:r>
      <w:r w:rsidRPr="00B43A3B">
        <w:rPr>
          <w:rFonts w:ascii="Times New Roman" w:hAnsi="Times New Roman" w:cs="Times New Roman"/>
          <w:i/>
          <w:iCs/>
          <w:sz w:val="24"/>
          <w:szCs w:val="24"/>
          <w:shd w:val="clear" w:color="auto" w:fill="FFFFFF"/>
          <w:lang w:val="en-GB"/>
        </w:rPr>
        <w:t xml:space="preserve">Journal of </w:t>
      </w:r>
      <w:proofErr w:type="spellStart"/>
      <w:r w:rsidRPr="00B43A3B">
        <w:rPr>
          <w:rFonts w:ascii="Times New Roman" w:hAnsi="Times New Roman" w:cs="Times New Roman"/>
          <w:i/>
          <w:iCs/>
          <w:sz w:val="24"/>
          <w:szCs w:val="24"/>
          <w:shd w:val="clear" w:color="auto" w:fill="FFFFFF"/>
          <w:lang w:val="en-GB"/>
        </w:rPr>
        <w:t>Labor</w:t>
      </w:r>
      <w:proofErr w:type="spellEnd"/>
      <w:r w:rsidRPr="00B43A3B">
        <w:rPr>
          <w:rFonts w:ascii="Times New Roman" w:hAnsi="Times New Roman" w:cs="Times New Roman"/>
          <w:i/>
          <w:iCs/>
          <w:sz w:val="24"/>
          <w:szCs w:val="24"/>
          <w:shd w:val="clear" w:color="auto" w:fill="FFFFFF"/>
          <w:lang w:val="en-GB"/>
        </w:rPr>
        <w:t xml:space="preserve"> Economics</w:t>
      </w:r>
      <w:r w:rsidRPr="00B43A3B">
        <w:rPr>
          <w:rFonts w:ascii="Times New Roman" w:hAnsi="Times New Roman" w:cs="Times New Roman"/>
          <w:sz w:val="24"/>
          <w:szCs w:val="24"/>
          <w:shd w:val="clear" w:color="auto" w:fill="FFFFFF"/>
          <w:lang w:val="en-GB"/>
        </w:rPr>
        <w:t> </w:t>
      </w:r>
      <w:r w:rsidRPr="00B43A3B">
        <w:rPr>
          <w:rFonts w:ascii="Times New Roman" w:hAnsi="Times New Roman" w:cs="Times New Roman"/>
          <w:iCs/>
          <w:sz w:val="24"/>
          <w:szCs w:val="24"/>
          <w:shd w:val="clear" w:color="auto" w:fill="FFFFFF"/>
          <w:lang w:val="en-GB"/>
        </w:rPr>
        <w:t>31</w:t>
      </w:r>
      <w:r w:rsidR="002020DC" w:rsidRPr="00B43A3B">
        <w:rPr>
          <w:rFonts w:ascii="Times New Roman" w:hAnsi="Times New Roman" w:cs="Times New Roman"/>
          <w:sz w:val="24"/>
          <w:szCs w:val="24"/>
          <w:shd w:val="clear" w:color="auto" w:fill="FFFFFF"/>
          <w:lang w:val="en-GB"/>
        </w:rPr>
        <w:t xml:space="preserve"> </w:t>
      </w:r>
      <w:r w:rsidRPr="00B43A3B">
        <w:rPr>
          <w:rFonts w:ascii="Times New Roman" w:hAnsi="Times New Roman" w:cs="Times New Roman"/>
          <w:sz w:val="24"/>
          <w:szCs w:val="24"/>
          <w:shd w:val="clear" w:color="auto" w:fill="FFFFFF"/>
          <w:lang w:val="en-GB"/>
        </w:rPr>
        <w:t>(1)</w:t>
      </w:r>
      <w:r w:rsidR="002020DC" w:rsidRPr="00B43A3B">
        <w:rPr>
          <w:rFonts w:ascii="Times New Roman" w:hAnsi="Times New Roman" w:cs="Times New Roman"/>
          <w:sz w:val="24"/>
          <w:szCs w:val="24"/>
          <w:shd w:val="clear" w:color="auto" w:fill="FFFFFF"/>
          <w:lang w:val="en-GB"/>
        </w:rPr>
        <w:t>:</w:t>
      </w:r>
      <w:r w:rsidRPr="00B43A3B">
        <w:rPr>
          <w:rFonts w:ascii="Times New Roman" w:hAnsi="Times New Roman" w:cs="Times New Roman"/>
          <w:sz w:val="24"/>
          <w:szCs w:val="24"/>
          <w:shd w:val="clear" w:color="auto" w:fill="FFFFFF"/>
          <w:lang w:val="en-GB"/>
        </w:rPr>
        <w:t xml:space="preserve"> 51-82.</w:t>
      </w:r>
    </w:p>
    <w:p w14:paraId="7940ADF2" w14:textId="31ECAA67" w:rsidR="00F8163D" w:rsidRPr="00E07AA8" w:rsidRDefault="00F8163D" w:rsidP="00C03772">
      <w:pPr>
        <w:spacing w:after="0" w:line="480" w:lineRule="auto"/>
        <w:ind w:left="720" w:hanging="720"/>
        <w:rPr>
          <w:rFonts w:asciiTheme="majorBidi" w:hAnsiTheme="majorBidi" w:cstheme="majorBidi"/>
          <w:sz w:val="24"/>
          <w:szCs w:val="24"/>
          <w:shd w:val="clear" w:color="auto" w:fill="FFFFFF"/>
          <w:lang w:val="en-GB"/>
        </w:rPr>
      </w:pPr>
      <w:r w:rsidRPr="00E07AA8">
        <w:rPr>
          <w:rFonts w:asciiTheme="majorBidi" w:hAnsiTheme="majorBidi" w:cstheme="majorBidi"/>
          <w:sz w:val="24"/>
          <w:szCs w:val="24"/>
          <w:shd w:val="clear" w:color="auto" w:fill="FFFFFF"/>
          <w:lang w:val="en-GB"/>
        </w:rPr>
        <w:lastRenderedPageBreak/>
        <w:t xml:space="preserve">Byun, S. Y., </w:t>
      </w:r>
      <w:r w:rsidR="00941831" w:rsidRPr="00E07AA8">
        <w:rPr>
          <w:rFonts w:asciiTheme="majorBidi" w:hAnsiTheme="majorBidi" w:cstheme="majorBidi"/>
          <w:sz w:val="24"/>
          <w:szCs w:val="24"/>
          <w:shd w:val="clear" w:color="auto" w:fill="FFFFFF"/>
          <w:lang w:val="en-GB"/>
        </w:rPr>
        <w:t xml:space="preserve">J. L. </w:t>
      </w:r>
      <w:proofErr w:type="spellStart"/>
      <w:r w:rsidRPr="00E07AA8">
        <w:rPr>
          <w:rFonts w:asciiTheme="majorBidi" w:hAnsiTheme="majorBidi" w:cstheme="majorBidi"/>
          <w:sz w:val="24"/>
          <w:szCs w:val="24"/>
          <w:shd w:val="clear" w:color="auto" w:fill="FFFFFF"/>
          <w:lang w:val="en-GB"/>
        </w:rPr>
        <w:t>Meece</w:t>
      </w:r>
      <w:proofErr w:type="spellEnd"/>
      <w:r w:rsidRPr="00E07AA8">
        <w:rPr>
          <w:rFonts w:asciiTheme="majorBidi" w:hAnsiTheme="majorBidi" w:cstheme="majorBidi"/>
          <w:sz w:val="24"/>
          <w:szCs w:val="24"/>
          <w:shd w:val="clear" w:color="auto" w:fill="FFFFFF"/>
          <w:lang w:val="en-GB"/>
        </w:rPr>
        <w:t xml:space="preserve">, </w:t>
      </w:r>
      <w:r w:rsidR="00941831" w:rsidRPr="00E07AA8">
        <w:rPr>
          <w:rFonts w:asciiTheme="majorBidi" w:hAnsiTheme="majorBidi" w:cstheme="majorBidi"/>
          <w:sz w:val="24"/>
          <w:szCs w:val="24"/>
          <w:shd w:val="clear" w:color="auto" w:fill="FFFFFF"/>
          <w:lang w:val="en-GB"/>
        </w:rPr>
        <w:t xml:space="preserve">M. J. </w:t>
      </w:r>
      <w:r w:rsidRPr="00E07AA8">
        <w:rPr>
          <w:rFonts w:asciiTheme="majorBidi" w:hAnsiTheme="majorBidi" w:cstheme="majorBidi"/>
          <w:sz w:val="24"/>
          <w:szCs w:val="24"/>
          <w:shd w:val="clear" w:color="auto" w:fill="FFFFFF"/>
          <w:lang w:val="en-GB"/>
        </w:rPr>
        <w:t xml:space="preserve">Irvin, </w:t>
      </w:r>
      <w:r w:rsidR="00941831" w:rsidRPr="00E07AA8">
        <w:rPr>
          <w:rFonts w:asciiTheme="majorBidi" w:hAnsiTheme="majorBidi" w:cstheme="majorBidi"/>
          <w:sz w:val="24"/>
          <w:szCs w:val="24"/>
          <w:shd w:val="clear" w:color="auto" w:fill="FFFFFF"/>
          <w:lang w:val="en-GB"/>
        </w:rPr>
        <w:t>and</w:t>
      </w:r>
      <w:r w:rsidRPr="00E07AA8">
        <w:rPr>
          <w:rFonts w:asciiTheme="majorBidi" w:hAnsiTheme="majorBidi" w:cstheme="majorBidi"/>
          <w:sz w:val="24"/>
          <w:szCs w:val="24"/>
          <w:shd w:val="clear" w:color="auto" w:fill="FFFFFF"/>
          <w:lang w:val="en-GB"/>
        </w:rPr>
        <w:t xml:space="preserve"> </w:t>
      </w:r>
      <w:r w:rsidR="00941831" w:rsidRPr="00E07AA8">
        <w:rPr>
          <w:rFonts w:asciiTheme="majorBidi" w:hAnsiTheme="majorBidi" w:cstheme="majorBidi"/>
          <w:sz w:val="24"/>
          <w:szCs w:val="24"/>
          <w:shd w:val="clear" w:color="auto" w:fill="FFFFFF"/>
          <w:lang w:val="en-GB"/>
        </w:rPr>
        <w:t xml:space="preserve">B. C. </w:t>
      </w:r>
      <w:r w:rsidRPr="00E07AA8">
        <w:rPr>
          <w:rFonts w:asciiTheme="majorBidi" w:hAnsiTheme="majorBidi" w:cstheme="majorBidi"/>
          <w:sz w:val="24"/>
          <w:szCs w:val="24"/>
          <w:shd w:val="clear" w:color="auto" w:fill="FFFFFF"/>
          <w:lang w:val="en-GB"/>
        </w:rPr>
        <w:t>Hutchins</w:t>
      </w:r>
      <w:r w:rsidR="00941831" w:rsidRPr="00E07AA8">
        <w:rPr>
          <w:rFonts w:asciiTheme="majorBidi" w:hAnsiTheme="majorBidi" w:cstheme="majorBidi"/>
          <w:sz w:val="24"/>
          <w:szCs w:val="24"/>
          <w:shd w:val="clear" w:color="auto" w:fill="FFFFFF"/>
          <w:lang w:val="en-GB"/>
        </w:rPr>
        <w:t>. 2012</w:t>
      </w:r>
      <w:r w:rsidRPr="00E07AA8">
        <w:rPr>
          <w:rFonts w:asciiTheme="majorBidi" w:hAnsiTheme="majorBidi" w:cstheme="majorBidi"/>
          <w:sz w:val="24"/>
          <w:szCs w:val="24"/>
          <w:shd w:val="clear" w:color="auto" w:fill="FFFFFF"/>
          <w:lang w:val="en-GB"/>
        </w:rPr>
        <w:t xml:space="preserve">. </w:t>
      </w:r>
      <w:r w:rsidR="00941831" w:rsidRPr="00E07AA8">
        <w:rPr>
          <w:rFonts w:asciiTheme="majorBidi" w:hAnsiTheme="majorBidi" w:cstheme="majorBidi"/>
          <w:sz w:val="24"/>
          <w:szCs w:val="24"/>
          <w:shd w:val="clear" w:color="auto" w:fill="FFFFFF"/>
          <w:lang w:val="en-GB"/>
        </w:rPr>
        <w:t>“</w:t>
      </w:r>
      <w:r w:rsidR="008D2B08" w:rsidRPr="008D2B08">
        <w:rPr>
          <w:rFonts w:asciiTheme="majorBidi" w:hAnsiTheme="majorBidi" w:cstheme="majorBidi"/>
          <w:sz w:val="24"/>
          <w:szCs w:val="24"/>
          <w:shd w:val="clear" w:color="auto" w:fill="FFFFFF"/>
          <w:lang w:val="en-GB"/>
        </w:rPr>
        <w:t>The Role of Social Capital in Educational Aspirations of Rural Youth</w:t>
      </w:r>
      <w:r w:rsidRPr="00E07AA8">
        <w:rPr>
          <w:rFonts w:asciiTheme="majorBidi" w:hAnsiTheme="majorBidi" w:cstheme="majorBidi"/>
          <w:sz w:val="24"/>
          <w:szCs w:val="24"/>
          <w:shd w:val="clear" w:color="auto" w:fill="FFFFFF"/>
          <w:lang w:val="en-GB"/>
        </w:rPr>
        <w:t>.</w:t>
      </w:r>
      <w:r w:rsidR="00941831" w:rsidRPr="00E07AA8">
        <w:rPr>
          <w:rFonts w:asciiTheme="majorBidi" w:hAnsiTheme="majorBidi" w:cstheme="majorBidi"/>
          <w:sz w:val="24"/>
          <w:szCs w:val="24"/>
          <w:shd w:val="clear" w:color="auto" w:fill="FFFFFF"/>
          <w:lang w:val="en-GB"/>
        </w:rPr>
        <w:t>”</w:t>
      </w:r>
      <w:r w:rsidRPr="00E07AA8">
        <w:rPr>
          <w:rFonts w:asciiTheme="majorBidi" w:hAnsiTheme="majorBidi" w:cstheme="majorBidi"/>
          <w:sz w:val="24"/>
          <w:szCs w:val="24"/>
          <w:shd w:val="clear" w:color="auto" w:fill="FFFFFF"/>
          <w:lang w:val="en-GB"/>
        </w:rPr>
        <w:t> </w:t>
      </w:r>
      <w:r w:rsidR="00941831" w:rsidRPr="00E07AA8">
        <w:rPr>
          <w:rFonts w:asciiTheme="majorBidi" w:hAnsiTheme="majorBidi" w:cstheme="majorBidi"/>
          <w:i/>
          <w:iCs/>
          <w:sz w:val="24"/>
          <w:szCs w:val="24"/>
          <w:shd w:val="clear" w:color="auto" w:fill="FFFFFF"/>
          <w:lang w:val="en-GB"/>
        </w:rPr>
        <w:t xml:space="preserve">Rural </w:t>
      </w:r>
      <w:r w:rsidR="008D2B08">
        <w:rPr>
          <w:rFonts w:asciiTheme="majorBidi" w:hAnsiTheme="majorBidi" w:cstheme="majorBidi"/>
          <w:i/>
          <w:iCs/>
          <w:sz w:val="24"/>
          <w:szCs w:val="24"/>
          <w:shd w:val="clear" w:color="auto" w:fill="FFFFFF"/>
          <w:lang w:val="en-GB"/>
        </w:rPr>
        <w:t>S</w:t>
      </w:r>
      <w:r w:rsidRPr="00E07AA8">
        <w:rPr>
          <w:rFonts w:asciiTheme="majorBidi" w:hAnsiTheme="majorBidi" w:cstheme="majorBidi"/>
          <w:i/>
          <w:iCs/>
          <w:sz w:val="24"/>
          <w:szCs w:val="24"/>
          <w:shd w:val="clear" w:color="auto" w:fill="FFFFFF"/>
          <w:lang w:val="en-GB"/>
        </w:rPr>
        <w:t>ociology</w:t>
      </w:r>
      <w:r w:rsidRPr="00E07AA8">
        <w:rPr>
          <w:rFonts w:asciiTheme="majorBidi" w:hAnsiTheme="majorBidi" w:cstheme="majorBidi"/>
          <w:sz w:val="24"/>
          <w:szCs w:val="24"/>
          <w:shd w:val="clear" w:color="auto" w:fill="FFFFFF"/>
          <w:lang w:val="en-GB"/>
        </w:rPr>
        <w:t> </w:t>
      </w:r>
      <w:r w:rsidRPr="00E07AA8">
        <w:rPr>
          <w:rFonts w:asciiTheme="majorBidi" w:hAnsiTheme="majorBidi" w:cstheme="majorBidi"/>
          <w:iCs/>
          <w:sz w:val="24"/>
          <w:szCs w:val="24"/>
          <w:shd w:val="clear" w:color="auto" w:fill="FFFFFF"/>
          <w:lang w:val="en-GB"/>
        </w:rPr>
        <w:t>77</w:t>
      </w:r>
      <w:r w:rsidR="00941831" w:rsidRPr="00E07AA8">
        <w:rPr>
          <w:rFonts w:asciiTheme="majorBidi" w:hAnsiTheme="majorBidi" w:cstheme="majorBidi"/>
          <w:sz w:val="24"/>
          <w:szCs w:val="24"/>
          <w:shd w:val="clear" w:color="auto" w:fill="FFFFFF"/>
          <w:lang w:val="en-GB"/>
        </w:rPr>
        <w:t xml:space="preserve"> </w:t>
      </w:r>
      <w:r w:rsidRPr="00E07AA8">
        <w:rPr>
          <w:rFonts w:asciiTheme="majorBidi" w:hAnsiTheme="majorBidi" w:cstheme="majorBidi"/>
          <w:sz w:val="24"/>
          <w:szCs w:val="24"/>
          <w:shd w:val="clear" w:color="auto" w:fill="FFFFFF"/>
          <w:lang w:val="en-GB"/>
        </w:rPr>
        <w:t>(3)</w:t>
      </w:r>
      <w:r w:rsidR="00941831" w:rsidRPr="00E07AA8">
        <w:rPr>
          <w:rFonts w:asciiTheme="majorBidi" w:hAnsiTheme="majorBidi" w:cstheme="majorBidi"/>
          <w:sz w:val="24"/>
          <w:szCs w:val="24"/>
          <w:shd w:val="clear" w:color="auto" w:fill="FFFFFF"/>
          <w:lang w:val="en-GB"/>
        </w:rPr>
        <w:t>:</w:t>
      </w:r>
      <w:r w:rsidRPr="00E07AA8">
        <w:rPr>
          <w:rFonts w:asciiTheme="majorBidi" w:hAnsiTheme="majorBidi" w:cstheme="majorBidi"/>
          <w:sz w:val="24"/>
          <w:szCs w:val="24"/>
          <w:shd w:val="clear" w:color="auto" w:fill="FFFFFF"/>
          <w:lang w:val="en-GB"/>
        </w:rPr>
        <w:t xml:space="preserve"> 355-379. </w:t>
      </w:r>
      <w:r w:rsidR="00941831" w:rsidRPr="00E07AA8">
        <w:rPr>
          <w:rFonts w:asciiTheme="majorBidi" w:hAnsiTheme="majorBidi" w:cstheme="majorBidi"/>
          <w:sz w:val="24"/>
          <w:szCs w:val="24"/>
          <w:shd w:val="clear" w:color="auto" w:fill="FFFFFF"/>
          <w:lang w:val="en-GB"/>
        </w:rPr>
        <w:t>doi:</w:t>
      </w:r>
      <w:r w:rsidRPr="00E07AA8">
        <w:rPr>
          <w:rFonts w:asciiTheme="majorBidi" w:hAnsiTheme="majorBidi" w:cstheme="majorBidi"/>
          <w:sz w:val="24"/>
          <w:szCs w:val="24"/>
          <w:shd w:val="clear" w:color="auto" w:fill="FFFFFF"/>
          <w:lang w:val="en-GB"/>
        </w:rPr>
        <w:t>10.1111/j.1549-0831.2012.00086.x</w:t>
      </w:r>
      <w:r w:rsidR="00E07AA8" w:rsidRPr="00E07AA8">
        <w:rPr>
          <w:rFonts w:asciiTheme="majorBidi" w:hAnsiTheme="majorBidi" w:cstheme="majorBidi"/>
          <w:sz w:val="24"/>
          <w:szCs w:val="24"/>
          <w:shd w:val="clear" w:color="auto" w:fill="FFFFFF"/>
          <w:lang w:val="en-GB"/>
        </w:rPr>
        <w:t>.</w:t>
      </w:r>
    </w:p>
    <w:p w14:paraId="415E1199" w14:textId="3AF6DC7A" w:rsidR="00F8163D" w:rsidRPr="00203B3D" w:rsidRDefault="00F8163D" w:rsidP="00C03772">
      <w:pPr>
        <w:spacing w:after="0" w:line="480" w:lineRule="auto"/>
        <w:ind w:left="720" w:hanging="720"/>
        <w:rPr>
          <w:rFonts w:asciiTheme="majorBidi" w:hAnsiTheme="majorBidi" w:cstheme="majorBidi"/>
          <w:sz w:val="24"/>
          <w:szCs w:val="24"/>
          <w:shd w:val="clear" w:color="auto" w:fill="FFFFFF"/>
          <w:lang w:val="en-GB"/>
        </w:rPr>
      </w:pPr>
      <w:r w:rsidRPr="00203B3D">
        <w:rPr>
          <w:rFonts w:asciiTheme="majorBidi" w:hAnsiTheme="majorBidi" w:cstheme="majorBidi"/>
          <w:sz w:val="24"/>
          <w:szCs w:val="24"/>
          <w:shd w:val="clear" w:color="auto" w:fill="FFFFFF"/>
          <w:lang w:val="en-GB"/>
        </w:rPr>
        <w:t>CARN</w:t>
      </w:r>
      <w:r w:rsidR="000918F8" w:rsidRPr="00203B3D">
        <w:rPr>
          <w:rFonts w:asciiTheme="majorBidi" w:hAnsiTheme="majorBidi" w:cstheme="majorBidi"/>
          <w:sz w:val="24"/>
          <w:szCs w:val="24"/>
          <w:shd w:val="clear" w:color="auto" w:fill="FFFFFF"/>
          <w:lang w:val="en-GB"/>
        </w:rPr>
        <w:t>ET</w:t>
      </w:r>
      <w:r w:rsidR="009C45D9" w:rsidRPr="00203B3D">
        <w:rPr>
          <w:rFonts w:asciiTheme="majorBidi" w:hAnsiTheme="majorBidi" w:cstheme="majorBidi"/>
          <w:sz w:val="24"/>
          <w:szCs w:val="24"/>
          <w:shd w:val="clear" w:color="auto" w:fill="FFFFFF"/>
          <w:lang w:val="en-GB"/>
        </w:rPr>
        <w:t>. 2018a</w:t>
      </w:r>
      <w:r w:rsidRPr="00203B3D">
        <w:rPr>
          <w:rFonts w:asciiTheme="majorBidi" w:hAnsiTheme="majorBidi" w:cstheme="majorBidi"/>
          <w:sz w:val="24"/>
          <w:szCs w:val="24"/>
          <w:shd w:val="clear" w:color="auto" w:fill="FFFFFF"/>
          <w:lang w:val="en-GB"/>
        </w:rPr>
        <w:t xml:space="preserve">. </w:t>
      </w:r>
      <w:proofErr w:type="spellStart"/>
      <w:r w:rsidRPr="00203B3D">
        <w:rPr>
          <w:rFonts w:asciiTheme="majorBidi" w:hAnsiTheme="majorBidi" w:cstheme="majorBidi"/>
          <w:i/>
          <w:sz w:val="24"/>
          <w:szCs w:val="24"/>
          <w:shd w:val="clear" w:color="auto" w:fill="FFFFFF"/>
          <w:lang w:val="en-GB"/>
        </w:rPr>
        <w:t>Priručnik</w:t>
      </w:r>
      <w:proofErr w:type="spellEnd"/>
      <w:r w:rsidRPr="00203B3D">
        <w:rPr>
          <w:rFonts w:asciiTheme="majorBidi" w:hAnsiTheme="majorBidi" w:cstheme="majorBidi"/>
          <w:i/>
          <w:sz w:val="24"/>
          <w:szCs w:val="24"/>
          <w:shd w:val="clear" w:color="auto" w:fill="FFFFFF"/>
          <w:lang w:val="en-GB"/>
        </w:rPr>
        <w:t xml:space="preserve"> e-</w:t>
      </w:r>
      <w:proofErr w:type="spellStart"/>
      <w:r w:rsidRPr="00203B3D">
        <w:rPr>
          <w:rFonts w:asciiTheme="majorBidi" w:hAnsiTheme="majorBidi" w:cstheme="majorBidi"/>
          <w:i/>
          <w:sz w:val="24"/>
          <w:szCs w:val="24"/>
          <w:shd w:val="clear" w:color="auto" w:fill="FFFFFF"/>
          <w:lang w:val="en-GB"/>
        </w:rPr>
        <w:t>Matica</w:t>
      </w:r>
      <w:proofErr w:type="spellEnd"/>
      <w:r w:rsidRPr="00203B3D">
        <w:rPr>
          <w:rFonts w:asciiTheme="majorBidi" w:hAnsiTheme="majorBidi" w:cstheme="majorBidi"/>
          <w:i/>
          <w:sz w:val="24"/>
          <w:szCs w:val="24"/>
          <w:shd w:val="clear" w:color="auto" w:fill="FFFFFF"/>
          <w:lang w:val="en-GB"/>
        </w:rPr>
        <w:t xml:space="preserve"> </w:t>
      </w:r>
      <w:r w:rsidRPr="00203B3D">
        <w:rPr>
          <w:rFonts w:asciiTheme="majorBidi" w:hAnsiTheme="majorBidi" w:cstheme="majorBidi"/>
          <w:sz w:val="24"/>
          <w:szCs w:val="24"/>
          <w:shd w:val="clear" w:color="auto" w:fill="FFFFFF"/>
          <w:lang w:val="en-GB"/>
        </w:rPr>
        <w:t>[e-</w:t>
      </w:r>
      <w:proofErr w:type="spellStart"/>
      <w:r w:rsidR="005F48AD">
        <w:rPr>
          <w:rFonts w:asciiTheme="majorBidi" w:hAnsiTheme="majorBidi" w:cstheme="majorBidi"/>
          <w:sz w:val="24"/>
          <w:szCs w:val="24"/>
          <w:shd w:val="clear" w:color="auto" w:fill="FFFFFF"/>
          <w:lang w:val="en-GB"/>
        </w:rPr>
        <w:t>Matica</w:t>
      </w:r>
      <w:proofErr w:type="spellEnd"/>
      <w:r w:rsidR="005F48AD">
        <w:rPr>
          <w:rFonts w:asciiTheme="majorBidi" w:hAnsiTheme="majorBidi" w:cstheme="majorBidi"/>
          <w:sz w:val="24"/>
          <w:szCs w:val="24"/>
          <w:shd w:val="clear" w:color="auto" w:fill="FFFFFF"/>
          <w:lang w:val="en-GB"/>
        </w:rPr>
        <w:t xml:space="preserve"> M</w:t>
      </w:r>
      <w:r w:rsidRPr="00203B3D">
        <w:rPr>
          <w:rFonts w:asciiTheme="majorBidi" w:hAnsiTheme="majorBidi" w:cstheme="majorBidi"/>
          <w:sz w:val="24"/>
          <w:szCs w:val="24"/>
          <w:shd w:val="clear" w:color="auto" w:fill="FFFFFF"/>
          <w:lang w:val="en-GB"/>
        </w:rPr>
        <w:t>anual]</w:t>
      </w:r>
      <w:r w:rsidRPr="00203B3D">
        <w:rPr>
          <w:rFonts w:asciiTheme="majorBidi" w:hAnsiTheme="majorBidi" w:cstheme="majorBidi"/>
          <w:i/>
          <w:sz w:val="24"/>
          <w:szCs w:val="24"/>
          <w:shd w:val="clear" w:color="auto" w:fill="FFFFFF"/>
          <w:lang w:val="en-GB"/>
        </w:rPr>
        <w:t>.</w:t>
      </w:r>
      <w:r w:rsidRPr="00203B3D">
        <w:rPr>
          <w:rFonts w:asciiTheme="majorBidi" w:hAnsiTheme="majorBidi" w:cstheme="majorBidi"/>
          <w:sz w:val="24"/>
          <w:szCs w:val="24"/>
          <w:shd w:val="clear" w:color="auto" w:fill="FFFFFF"/>
          <w:lang w:val="en-GB"/>
        </w:rPr>
        <w:t xml:space="preserve"> </w:t>
      </w:r>
      <w:r w:rsidR="000918F8" w:rsidRPr="00203B3D">
        <w:rPr>
          <w:rFonts w:asciiTheme="majorBidi" w:hAnsiTheme="majorBidi" w:cstheme="majorBidi"/>
          <w:sz w:val="24"/>
          <w:szCs w:val="24"/>
          <w:shd w:val="clear" w:color="auto" w:fill="FFFFFF"/>
          <w:lang w:val="en-GB"/>
        </w:rPr>
        <w:t>Zagreb: CARNET</w:t>
      </w:r>
      <w:r w:rsidRPr="00203B3D">
        <w:rPr>
          <w:rFonts w:asciiTheme="majorBidi" w:hAnsiTheme="majorBidi" w:cstheme="majorBidi"/>
          <w:sz w:val="24"/>
          <w:szCs w:val="24"/>
          <w:shd w:val="clear" w:color="auto" w:fill="FFFFFF"/>
          <w:lang w:val="en-GB"/>
        </w:rPr>
        <w:t>.</w:t>
      </w:r>
    </w:p>
    <w:p w14:paraId="50D5E596" w14:textId="63A5A554" w:rsidR="00F8163D" w:rsidRPr="00997710" w:rsidRDefault="00F8163D" w:rsidP="00C03772">
      <w:pPr>
        <w:spacing w:after="0" w:line="480" w:lineRule="auto"/>
        <w:ind w:left="720" w:hanging="720"/>
        <w:rPr>
          <w:rFonts w:asciiTheme="majorBidi" w:hAnsiTheme="majorBidi" w:cstheme="majorBidi"/>
          <w:sz w:val="24"/>
          <w:szCs w:val="24"/>
          <w:shd w:val="clear" w:color="auto" w:fill="FFFFFF"/>
          <w:lang w:val="en-GB"/>
        </w:rPr>
      </w:pPr>
      <w:r w:rsidRPr="00997710">
        <w:rPr>
          <w:rFonts w:asciiTheme="majorBidi" w:hAnsiTheme="majorBidi" w:cstheme="majorBidi"/>
          <w:sz w:val="24"/>
          <w:szCs w:val="24"/>
          <w:shd w:val="clear" w:color="auto" w:fill="FFFFFF"/>
          <w:lang w:val="en-GB"/>
        </w:rPr>
        <w:t>CARN</w:t>
      </w:r>
      <w:r w:rsidR="000918F8" w:rsidRPr="00997710">
        <w:rPr>
          <w:rFonts w:asciiTheme="majorBidi" w:hAnsiTheme="majorBidi" w:cstheme="majorBidi"/>
          <w:sz w:val="24"/>
          <w:szCs w:val="24"/>
          <w:shd w:val="clear" w:color="auto" w:fill="FFFFFF"/>
          <w:lang w:val="en-GB"/>
        </w:rPr>
        <w:t>ET</w:t>
      </w:r>
      <w:r w:rsidR="00997710" w:rsidRPr="00997710">
        <w:rPr>
          <w:rFonts w:asciiTheme="majorBidi" w:hAnsiTheme="majorBidi" w:cstheme="majorBidi"/>
          <w:sz w:val="24"/>
          <w:szCs w:val="24"/>
          <w:shd w:val="clear" w:color="auto" w:fill="FFFFFF"/>
          <w:lang w:val="en-GB"/>
        </w:rPr>
        <w:t>. 2018b</w:t>
      </w:r>
      <w:r w:rsidRPr="00997710">
        <w:rPr>
          <w:rFonts w:asciiTheme="majorBidi" w:hAnsiTheme="majorBidi" w:cstheme="majorBidi"/>
          <w:sz w:val="24"/>
          <w:szCs w:val="24"/>
          <w:shd w:val="clear" w:color="auto" w:fill="FFFFFF"/>
          <w:lang w:val="en-GB"/>
        </w:rPr>
        <w:t xml:space="preserve">. </w:t>
      </w:r>
      <w:proofErr w:type="spellStart"/>
      <w:r w:rsidRPr="00997710">
        <w:rPr>
          <w:rFonts w:asciiTheme="majorBidi" w:hAnsiTheme="majorBidi" w:cstheme="majorBidi"/>
          <w:i/>
          <w:sz w:val="24"/>
          <w:szCs w:val="24"/>
          <w:shd w:val="clear" w:color="auto" w:fill="FFFFFF"/>
          <w:lang w:val="en-GB"/>
        </w:rPr>
        <w:t>Idemo</w:t>
      </w:r>
      <w:proofErr w:type="spellEnd"/>
      <w:r w:rsidRPr="00997710">
        <w:rPr>
          <w:rFonts w:asciiTheme="majorBidi" w:hAnsiTheme="majorBidi" w:cstheme="majorBidi"/>
          <w:i/>
          <w:sz w:val="24"/>
          <w:szCs w:val="24"/>
          <w:shd w:val="clear" w:color="auto" w:fill="FFFFFF"/>
          <w:lang w:val="en-GB"/>
        </w:rPr>
        <w:t xml:space="preserve"> u </w:t>
      </w:r>
      <w:proofErr w:type="spellStart"/>
      <w:r w:rsidRPr="00997710">
        <w:rPr>
          <w:rFonts w:asciiTheme="majorBidi" w:hAnsiTheme="majorBidi" w:cstheme="majorBidi"/>
          <w:i/>
          <w:sz w:val="24"/>
          <w:szCs w:val="24"/>
          <w:shd w:val="clear" w:color="auto" w:fill="FFFFFF"/>
          <w:lang w:val="en-GB"/>
        </w:rPr>
        <w:t>srednju</w:t>
      </w:r>
      <w:proofErr w:type="spellEnd"/>
      <w:r w:rsidRPr="00997710">
        <w:rPr>
          <w:rFonts w:asciiTheme="majorBidi" w:hAnsiTheme="majorBidi" w:cstheme="majorBidi"/>
          <w:i/>
          <w:sz w:val="24"/>
          <w:szCs w:val="24"/>
          <w:shd w:val="clear" w:color="auto" w:fill="FFFFFF"/>
          <w:lang w:val="en-GB"/>
        </w:rPr>
        <w:t xml:space="preserve">! </w:t>
      </w:r>
      <w:proofErr w:type="spellStart"/>
      <w:r w:rsidRPr="00997710">
        <w:rPr>
          <w:rFonts w:asciiTheme="majorBidi" w:hAnsiTheme="majorBidi" w:cstheme="majorBidi"/>
          <w:i/>
          <w:sz w:val="24"/>
          <w:szCs w:val="24"/>
          <w:shd w:val="clear" w:color="auto" w:fill="FFFFFF"/>
          <w:lang w:val="en-GB"/>
        </w:rPr>
        <w:t>Prijave</w:t>
      </w:r>
      <w:proofErr w:type="spellEnd"/>
      <w:r w:rsidRPr="00997710">
        <w:rPr>
          <w:rFonts w:asciiTheme="majorBidi" w:hAnsiTheme="majorBidi" w:cstheme="majorBidi"/>
          <w:i/>
          <w:sz w:val="24"/>
          <w:szCs w:val="24"/>
          <w:shd w:val="clear" w:color="auto" w:fill="FFFFFF"/>
          <w:lang w:val="en-GB"/>
        </w:rPr>
        <w:t xml:space="preserve"> </w:t>
      </w:r>
      <w:proofErr w:type="spellStart"/>
      <w:r w:rsidRPr="00997710">
        <w:rPr>
          <w:rFonts w:asciiTheme="majorBidi" w:hAnsiTheme="majorBidi" w:cstheme="majorBidi"/>
          <w:i/>
          <w:sz w:val="24"/>
          <w:szCs w:val="24"/>
          <w:shd w:val="clear" w:color="auto" w:fill="FFFFFF"/>
          <w:lang w:val="en-GB"/>
        </w:rPr>
        <w:t>i</w:t>
      </w:r>
      <w:proofErr w:type="spellEnd"/>
      <w:r w:rsidRPr="00997710">
        <w:rPr>
          <w:rFonts w:asciiTheme="majorBidi" w:hAnsiTheme="majorBidi" w:cstheme="majorBidi"/>
          <w:i/>
          <w:sz w:val="24"/>
          <w:szCs w:val="24"/>
          <w:shd w:val="clear" w:color="auto" w:fill="FFFFFF"/>
          <w:lang w:val="en-GB"/>
        </w:rPr>
        <w:t xml:space="preserve"> </w:t>
      </w:r>
      <w:proofErr w:type="spellStart"/>
      <w:r w:rsidRPr="00997710">
        <w:rPr>
          <w:rFonts w:asciiTheme="majorBidi" w:hAnsiTheme="majorBidi" w:cstheme="majorBidi"/>
          <w:i/>
          <w:sz w:val="24"/>
          <w:szCs w:val="24"/>
          <w:shd w:val="clear" w:color="auto" w:fill="FFFFFF"/>
          <w:lang w:val="en-GB"/>
        </w:rPr>
        <w:t>upisi</w:t>
      </w:r>
      <w:proofErr w:type="spellEnd"/>
      <w:r w:rsidRPr="00997710">
        <w:rPr>
          <w:rFonts w:asciiTheme="majorBidi" w:hAnsiTheme="majorBidi" w:cstheme="majorBidi"/>
          <w:i/>
          <w:sz w:val="24"/>
          <w:szCs w:val="24"/>
          <w:shd w:val="clear" w:color="auto" w:fill="FFFFFF"/>
          <w:lang w:val="en-GB"/>
        </w:rPr>
        <w:t xml:space="preserve"> </w:t>
      </w:r>
      <w:proofErr w:type="spellStart"/>
      <w:r w:rsidRPr="00997710">
        <w:rPr>
          <w:rFonts w:asciiTheme="majorBidi" w:hAnsiTheme="majorBidi" w:cstheme="majorBidi"/>
          <w:i/>
          <w:sz w:val="24"/>
          <w:szCs w:val="24"/>
          <w:shd w:val="clear" w:color="auto" w:fill="FFFFFF"/>
          <w:lang w:val="en-GB"/>
        </w:rPr>
        <w:t>kandidata</w:t>
      </w:r>
      <w:proofErr w:type="spellEnd"/>
      <w:r w:rsidRPr="00997710">
        <w:rPr>
          <w:rFonts w:asciiTheme="majorBidi" w:hAnsiTheme="majorBidi" w:cstheme="majorBidi"/>
          <w:i/>
          <w:sz w:val="24"/>
          <w:szCs w:val="24"/>
          <w:shd w:val="clear" w:color="auto" w:fill="FFFFFF"/>
          <w:lang w:val="en-GB"/>
        </w:rPr>
        <w:t xml:space="preserve"> u </w:t>
      </w:r>
      <w:proofErr w:type="spellStart"/>
      <w:r w:rsidRPr="00997710">
        <w:rPr>
          <w:rFonts w:asciiTheme="majorBidi" w:hAnsiTheme="majorBidi" w:cstheme="majorBidi"/>
          <w:i/>
          <w:sz w:val="24"/>
          <w:szCs w:val="24"/>
          <w:shd w:val="clear" w:color="auto" w:fill="FFFFFF"/>
          <w:lang w:val="en-GB"/>
        </w:rPr>
        <w:t>srednje</w:t>
      </w:r>
      <w:proofErr w:type="spellEnd"/>
      <w:r w:rsidRPr="00997710">
        <w:rPr>
          <w:rFonts w:asciiTheme="majorBidi" w:hAnsiTheme="majorBidi" w:cstheme="majorBidi"/>
          <w:i/>
          <w:sz w:val="24"/>
          <w:szCs w:val="24"/>
          <w:shd w:val="clear" w:color="auto" w:fill="FFFFFF"/>
          <w:lang w:val="en-GB"/>
        </w:rPr>
        <w:t xml:space="preserve"> </w:t>
      </w:r>
      <w:proofErr w:type="spellStart"/>
      <w:r w:rsidRPr="00997710">
        <w:rPr>
          <w:rFonts w:asciiTheme="majorBidi" w:hAnsiTheme="majorBidi" w:cstheme="majorBidi"/>
          <w:i/>
          <w:sz w:val="24"/>
          <w:szCs w:val="24"/>
          <w:shd w:val="clear" w:color="auto" w:fill="FFFFFF"/>
          <w:lang w:val="en-GB"/>
        </w:rPr>
        <w:t>škole</w:t>
      </w:r>
      <w:proofErr w:type="spellEnd"/>
      <w:r w:rsidRPr="00997710">
        <w:rPr>
          <w:rFonts w:asciiTheme="majorBidi" w:hAnsiTheme="majorBidi" w:cstheme="majorBidi"/>
          <w:i/>
          <w:sz w:val="24"/>
          <w:szCs w:val="24"/>
          <w:shd w:val="clear" w:color="auto" w:fill="FFFFFF"/>
          <w:lang w:val="en-GB"/>
        </w:rPr>
        <w:t xml:space="preserve"> </w:t>
      </w:r>
      <w:proofErr w:type="spellStart"/>
      <w:r w:rsidRPr="00997710">
        <w:rPr>
          <w:rFonts w:asciiTheme="majorBidi" w:hAnsiTheme="majorBidi" w:cstheme="majorBidi"/>
          <w:i/>
          <w:sz w:val="24"/>
          <w:szCs w:val="24"/>
          <w:shd w:val="clear" w:color="auto" w:fill="FFFFFF"/>
          <w:lang w:val="en-GB"/>
        </w:rPr>
        <w:t>za</w:t>
      </w:r>
      <w:proofErr w:type="spellEnd"/>
      <w:r w:rsidRPr="00997710">
        <w:rPr>
          <w:rFonts w:asciiTheme="majorBidi" w:hAnsiTheme="majorBidi" w:cstheme="majorBidi"/>
          <w:i/>
          <w:sz w:val="24"/>
          <w:szCs w:val="24"/>
          <w:shd w:val="clear" w:color="auto" w:fill="FFFFFF"/>
          <w:lang w:val="en-GB"/>
        </w:rPr>
        <w:t xml:space="preserve"> </w:t>
      </w:r>
      <w:proofErr w:type="spellStart"/>
      <w:r w:rsidRPr="00997710">
        <w:rPr>
          <w:rFonts w:asciiTheme="majorBidi" w:hAnsiTheme="majorBidi" w:cstheme="majorBidi"/>
          <w:i/>
          <w:sz w:val="24"/>
          <w:szCs w:val="24"/>
          <w:shd w:val="clear" w:color="auto" w:fill="FFFFFF"/>
          <w:lang w:val="en-GB"/>
        </w:rPr>
        <w:t>školsku</w:t>
      </w:r>
      <w:proofErr w:type="spellEnd"/>
      <w:r w:rsidRPr="00997710">
        <w:rPr>
          <w:rFonts w:asciiTheme="majorBidi" w:hAnsiTheme="majorBidi" w:cstheme="majorBidi"/>
          <w:i/>
          <w:sz w:val="24"/>
          <w:szCs w:val="24"/>
          <w:shd w:val="clear" w:color="auto" w:fill="FFFFFF"/>
          <w:lang w:val="en-GB"/>
        </w:rPr>
        <w:t xml:space="preserve"> </w:t>
      </w:r>
      <w:proofErr w:type="spellStart"/>
      <w:r w:rsidRPr="00997710">
        <w:rPr>
          <w:rFonts w:asciiTheme="majorBidi" w:hAnsiTheme="majorBidi" w:cstheme="majorBidi"/>
          <w:i/>
          <w:sz w:val="24"/>
          <w:szCs w:val="24"/>
          <w:shd w:val="clear" w:color="auto" w:fill="FFFFFF"/>
          <w:lang w:val="en-GB"/>
        </w:rPr>
        <w:t>godinu</w:t>
      </w:r>
      <w:proofErr w:type="spellEnd"/>
      <w:r w:rsidRPr="00997710">
        <w:rPr>
          <w:rFonts w:asciiTheme="majorBidi" w:hAnsiTheme="majorBidi" w:cstheme="majorBidi"/>
          <w:i/>
          <w:sz w:val="24"/>
          <w:szCs w:val="24"/>
          <w:shd w:val="clear" w:color="auto" w:fill="FFFFFF"/>
          <w:lang w:val="en-GB"/>
        </w:rPr>
        <w:t xml:space="preserve"> 2018</w:t>
      </w:r>
      <w:proofErr w:type="gramStart"/>
      <w:r w:rsidRPr="00997710">
        <w:rPr>
          <w:rFonts w:asciiTheme="majorBidi" w:hAnsiTheme="majorBidi" w:cstheme="majorBidi"/>
          <w:i/>
          <w:sz w:val="24"/>
          <w:szCs w:val="24"/>
          <w:shd w:val="clear" w:color="auto" w:fill="FFFFFF"/>
          <w:lang w:val="en-GB"/>
        </w:rPr>
        <w:t>./</w:t>
      </w:r>
      <w:proofErr w:type="gramEnd"/>
      <w:r w:rsidRPr="00997710">
        <w:rPr>
          <w:rFonts w:asciiTheme="majorBidi" w:hAnsiTheme="majorBidi" w:cstheme="majorBidi"/>
          <w:i/>
          <w:sz w:val="24"/>
          <w:szCs w:val="24"/>
          <w:shd w:val="clear" w:color="auto" w:fill="FFFFFF"/>
          <w:lang w:val="en-GB"/>
        </w:rPr>
        <w:t>2019</w:t>
      </w:r>
      <w:r w:rsidR="0043328D">
        <w:rPr>
          <w:rFonts w:asciiTheme="majorBidi" w:hAnsiTheme="majorBidi" w:cstheme="majorBidi"/>
          <w:i/>
          <w:sz w:val="24"/>
          <w:szCs w:val="24"/>
          <w:shd w:val="clear" w:color="auto" w:fill="FFFFFF"/>
          <w:lang w:val="en-GB"/>
        </w:rPr>
        <w:t>.</w:t>
      </w:r>
      <w:r w:rsidR="0052768C">
        <w:rPr>
          <w:rFonts w:asciiTheme="majorBidi" w:hAnsiTheme="majorBidi" w:cstheme="majorBidi"/>
          <w:sz w:val="24"/>
          <w:szCs w:val="24"/>
          <w:shd w:val="clear" w:color="auto" w:fill="FFFFFF"/>
          <w:lang w:val="en-GB"/>
        </w:rPr>
        <w:t xml:space="preserve"> [</w:t>
      </w:r>
      <w:proofErr w:type="gramStart"/>
      <w:r w:rsidR="0052768C">
        <w:rPr>
          <w:rFonts w:asciiTheme="majorBidi" w:hAnsiTheme="majorBidi" w:cstheme="majorBidi"/>
          <w:sz w:val="24"/>
          <w:szCs w:val="24"/>
          <w:shd w:val="clear" w:color="auto" w:fill="FFFFFF"/>
          <w:lang w:val="en-GB"/>
        </w:rPr>
        <w:t>Let's</w:t>
      </w:r>
      <w:proofErr w:type="gramEnd"/>
      <w:r w:rsidR="0052768C">
        <w:rPr>
          <w:rFonts w:asciiTheme="majorBidi" w:hAnsiTheme="majorBidi" w:cstheme="majorBidi"/>
          <w:sz w:val="24"/>
          <w:szCs w:val="24"/>
          <w:shd w:val="clear" w:color="auto" w:fill="FFFFFF"/>
          <w:lang w:val="en-GB"/>
        </w:rPr>
        <w:t xml:space="preserve"> G</w:t>
      </w:r>
      <w:r w:rsidRPr="00997710">
        <w:rPr>
          <w:rFonts w:asciiTheme="majorBidi" w:hAnsiTheme="majorBidi" w:cstheme="majorBidi"/>
          <w:sz w:val="24"/>
          <w:szCs w:val="24"/>
          <w:shd w:val="clear" w:color="auto" w:fill="FFFFFF"/>
          <w:lang w:val="en-GB"/>
        </w:rPr>
        <w:t xml:space="preserve">o to </w:t>
      </w:r>
      <w:r w:rsidR="0052768C">
        <w:rPr>
          <w:rFonts w:asciiTheme="majorBidi" w:hAnsiTheme="majorBidi" w:cstheme="majorBidi"/>
          <w:sz w:val="24"/>
          <w:szCs w:val="24"/>
          <w:shd w:val="clear" w:color="auto" w:fill="FFFFFF"/>
          <w:lang w:val="en-GB"/>
        </w:rPr>
        <w:t>H</w:t>
      </w:r>
      <w:r w:rsidRPr="00997710">
        <w:rPr>
          <w:rFonts w:asciiTheme="majorBidi" w:hAnsiTheme="majorBidi" w:cstheme="majorBidi"/>
          <w:sz w:val="24"/>
          <w:szCs w:val="24"/>
          <w:shd w:val="clear" w:color="auto" w:fill="FFFFFF"/>
          <w:lang w:val="en-GB"/>
        </w:rPr>
        <w:t>igh-</w:t>
      </w:r>
      <w:r w:rsidR="0052768C">
        <w:rPr>
          <w:rFonts w:asciiTheme="majorBidi" w:hAnsiTheme="majorBidi" w:cstheme="majorBidi"/>
          <w:sz w:val="24"/>
          <w:szCs w:val="24"/>
          <w:shd w:val="clear" w:color="auto" w:fill="FFFFFF"/>
          <w:lang w:val="en-GB"/>
        </w:rPr>
        <w:t>S</w:t>
      </w:r>
      <w:r w:rsidRPr="00997710">
        <w:rPr>
          <w:rFonts w:asciiTheme="majorBidi" w:hAnsiTheme="majorBidi" w:cstheme="majorBidi"/>
          <w:sz w:val="24"/>
          <w:szCs w:val="24"/>
          <w:shd w:val="clear" w:color="auto" w:fill="FFFFFF"/>
          <w:lang w:val="en-GB"/>
        </w:rPr>
        <w:t xml:space="preserve">chool! Entries and </w:t>
      </w:r>
      <w:r w:rsidR="0052768C">
        <w:rPr>
          <w:rFonts w:asciiTheme="majorBidi" w:hAnsiTheme="majorBidi" w:cstheme="majorBidi"/>
          <w:sz w:val="24"/>
          <w:szCs w:val="24"/>
          <w:shd w:val="clear" w:color="auto" w:fill="FFFFFF"/>
          <w:lang w:val="en-GB"/>
        </w:rPr>
        <w:t>E</w:t>
      </w:r>
      <w:r w:rsidR="0052768C" w:rsidRPr="00997710">
        <w:rPr>
          <w:rFonts w:asciiTheme="majorBidi" w:hAnsiTheme="majorBidi" w:cstheme="majorBidi"/>
          <w:sz w:val="24"/>
          <w:szCs w:val="24"/>
          <w:shd w:val="clear" w:color="auto" w:fill="FFFFFF"/>
          <w:lang w:val="en-GB"/>
        </w:rPr>
        <w:t>nrolment</w:t>
      </w:r>
      <w:r w:rsidRPr="00997710">
        <w:rPr>
          <w:rFonts w:asciiTheme="majorBidi" w:hAnsiTheme="majorBidi" w:cstheme="majorBidi"/>
          <w:sz w:val="24"/>
          <w:szCs w:val="24"/>
          <w:shd w:val="clear" w:color="auto" w:fill="FFFFFF"/>
          <w:lang w:val="en-GB"/>
        </w:rPr>
        <w:t xml:space="preserve"> of </w:t>
      </w:r>
      <w:r w:rsidR="0052768C">
        <w:rPr>
          <w:rFonts w:asciiTheme="majorBidi" w:hAnsiTheme="majorBidi" w:cstheme="majorBidi"/>
          <w:sz w:val="24"/>
          <w:szCs w:val="24"/>
          <w:shd w:val="clear" w:color="auto" w:fill="FFFFFF"/>
          <w:lang w:val="en-GB"/>
        </w:rPr>
        <w:t>Candidates in S</w:t>
      </w:r>
      <w:r w:rsidRPr="00997710">
        <w:rPr>
          <w:rFonts w:asciiTheme="majorBidi" w:hAnsiTheme="majorBidi" w:cstheme="majorBidi"/>
          <w:sz w:val="24"/>
          <w:szCs w:val="24"/>
          <w:shd w:val="clear" w:color="auto" w:fill="FFFFFF"/>
          <w:lang w:val="en-GB"/>
        </w:rPr>
        <w:t xml:space="preserve">econdary </w:t>
      </w:r>
      <w:r w:rsidR="0052768C">
        <w:rPr>
          <w:rFonts w:asciiTheme="majorBidi" w:hAnsiTheme="majorBidi" w:cstheme="majorBidi"/>
          <w:sz w:val="24"/>
          <w:szCs w:val="24"/>
          <w:shd w:val="clear" w:color="auto" w:fill="FFFFFF"/>
          <w:lang w:val="en-GB"/>
        </w:rPr>
        <w:t>S</w:t>
      </w:r>
      <w:r w:rsidRPr="00997710">
        <w:rPr>
          <w:rFonts w:asciiTheme="majorBidi" w:hAnsiTheme="majorBidi" w:cstheme="majorBidi"/>
          <w:sz w:val="24"/>
          <w:szCs w:val="24"/>
          <w:shd w:val="clear" w:color="auto" w:fill="FFFFFF"/>
          <w:lang w:val="en-GB"/>
        </w:rPr>
        <w:t xml:space="preserve">chools for the </w:t>
      </w:r>
      <w:r w:rsidR="0052768C">
        <w:rPr>
          <w:rFonts w:asciiTheme="majorBidi" w:hAnsiTheme="majorBidi" w:cstheme="majorBidi"/>
          <w:sz w:val="24"/>
          <w:szCs w:val="24"/>
          <w:shd w:val="clear" w:color="auto" w:fill="FFFFFF"/>
          <w:lang w:val="en-GB"/>
        </w:rPr>
        <w:t>S</w:t>
      </w:r>
      <w:r w:rsidRPr="00997710">
        <w:rPr>
          <w:rFonts w:asciiTheme="majorBidi" w:hAnsiTheme="majorBidi" w:cstheme="majorBidi"/>
          <w:sz w:val="24"/>
          <w:szCs w:val="24"/>
          <w:shd w:val="clear" w:color="auto" w:fill="FFFFFF"/>
          <w:lang w:val="en-GB"/>
        </w:rPr>
        <w:t xml:space="preserve">chool </w:t>
      </w:r>
      <w:r w:rsidR="0052768C">
        <w:rPr>
          <w:rFonts w:asciiTheme="majorBidi" w:hAnsiTheme="majorBidi" w:cstheme="majorBidi"/>
          <w:sz w:val="24"/>
          <w:szCs w:val="24"/>
          <w:shd w:val="clear" w:color="auto" w:fill="FFFFFF"/>
          <w:lang w:val="en-GB"/>
        </w:rPr>
        <w:t>Y</w:t>
      </w:r>
      <w:r w:rsidR="000918F8" w:rsidRPr="00997710">
        <w:rPr>
          <w:rFonts w:asciiTheme="majorBidi" w:hAnsiTheme="majorBidi" w:cstheme="majorBidi"/>
          <w:sz w:val="24"/>
          <w:szCs w:val="24"/>
          <w:shd w:val="clear" w:color="auto" w:fill="FFFFFF"/>
          <w:lang w:val="en-GB"/>
        </w:rPr>
        <w:t>ear 2018/2019.]. Zagreb: CARNET</w:t>
      </w:r>
      <w:r w:rsidRPr="00997710">
        <w:rPr>
          <w:rFonts w:asciiTheme="majorBidi" w:hAnsiTheme="majorBidi" w:cstheme="majorBidi"/>
          <w:sz w:val="24"/>
          <w:szCs w:val="24"/>
          <w:shd w:val="clear" w:color="auto" w:fill="FFFFFF"/>
          <w:lang w:val="en-GB"/>
        </w:rPr>
        <w:t>.</w:t>
      </w:r>
    </w:p>
    <w:p w14:paraId="38D57E83" w14:textId="1FC7B275" w:rsidR="00F8163D" w:rsidRPr="000D011C" w:rsidRDefault="000D011C" w:rsidP="00C03772">
      <w:pPr>
        <w:spacing w:after="0" w:line="480" w:lineRule="auto"/>
        <w:ind w:left="720" w:hanging="720"/>
        <w:rPr>
          <w:rFonts w:asciiTheme="majorBidi" w:hAnsiTheme="majorBidi" w:cstheme="majorBidi"/>
          <w:sz w:val="24"/>
          <w:szCs w:val="24"/>
          <w:shd w:val="clear" w:color="auto" w:fill="FFFFFF"/>
          <w:lang w:val="en-GB"/>
        </w:rPr>
      </w:pPr>
      <w:proofErr w:type="spellStart"/>
      <w:r w:rsidRPr="000D011C">
        <w:rPr>
          <w:rFonts w:asciiTheme="majorBidi" w:hAnsiTheme="majorBidi" w:cstheme="majorBidi"/>
          <w:sz w:val="24"/>
          <w:szCs w:val="24"/>
          <w:shd w:val="clear" w:color="auto" w:fill="FFFFFF"/>
          <w:lang w:val="en-GB"/>
        </w:rPr>
        <w:t>Clasemann</w:t>
      </w:r>
      <w:proofErr w:type="spellEnd"/>
      <w:r w:rsidRPr="000D011C">
        <w:rPr>
          <w:rFonts w:asciiTheme="majorBidi" w:hAnsiTheme="majorBidi" w:cstheme="majorBidi"/>
          <w:sz w:val="24"/>
          <w:szCs w:val="24"/>
          <w:shd w:val="clear" w:color="auto" w:fill="FFFFFF"/>
          <w:lang w:val="en-GB"/>
        </w:rPr>
        <w:t>, C. 2012</w:t>
      </w:r>
      <w:r w:rsidR="00F8163D" w:rsidRPr="000D011C">
        <w:rPr>
          <w:rFonts w:asciiTheme="majorBidi" w:hAnsiTheme="majorBidi" w:cstheme="majorBidi"/>
          <w:sz w:val="24"/>
          <w:szCs w:val="24"/>
          <w:shd w:val="clear" w:color="auto" w:fill="FFFFFF"/>
          <w:lang w:val="en-GB"/>
        </w:rPr>
        <w:t>. </w:t>
      </w:r>
      <w:r w:rsidR="00622F38">
        <w:rPr>
          <w:rFonts w:asciiTheme="majorBidi" w:hAnsiTheme="majorBidi" w:cstheme="majorBidi"/>
          <w:sz w:val="24"/>
          <w:szCs w:val="24"/>
          <w:shd w:val="clear" w:color="auto" w:fill="FFFFFF"/>
          <w:lang w:val="en-GB"/>
        </w:rPr>
        <w:t>“</w:t>
      </w:r>
      <w:r w:rsidR="004A3E70" w:rsidRPr="00622F38">
        <w:rPr>
          <w:rFonts w:asciiTheme="majorBidi" w:hAnsiTheme="majorBidi" w:cstheme="majorBidi"/>
          <w:iCs/>
          <w:sz w:val="24"/>
          <w:szCs w:val="24"/>
          <w:shd w:val="clear" w:color="auto" w:fill="FFFFFF"/>
          <w:lang w:val="en-GB"/>
        </w:rPr>
        <w:t xml:space="preserve">A Multi-Level, Ordinal, Logistic Regression Analysis of Rural High School Graduates' Postsecondary </w:t>
      </w:r>
      <w:proofErr w:type="spellStart"/>
      <w:r w:rsidR="004A3E70" w:rsidRPr="00622F38">
        <w:rPr>
          <w:rFonts w:asciiTheme="majorBidi" w:hAnsiTheme="majorBidi" w:cstheme="majorBidi"/>
          <w:iCs/>
          <w:sz w:val="24"/>
          <w:szCs w:val="24"/>
          <w:shd w:val="clear" w:color="auto" w:fill="FFFFFF"/>
          <w:lang w:val="en-GB"/>
        </w:rPr>
        <w:t>Enrollment</w:t>
      </w:r>
      <w:proofErr w:type="spellEnd"/>
      <w:r w:rsidR="004A3E70" w:rsidRPr="00622F38">
        <w:rPr>
          <w:rFonts w:asciiTheme="majorBidi" w:hAnsiTheme="majorBidi" w:cstheme="majorBidi"/>
          <w:iCs/>
          <w:sz w:val="24"/>
          <w:szCs w:val="24"/>
          <w:shd w:val="clear" w:color="auto" w:fill="FFFFFF"/>
          <w:lang w:val="en-GB"/>
        </w:rPr>
        <w:t xml:space="preserve"> Patterns</w:t>
      </w:r>
      <w:r w:rsidR="00622F38">
        <w:rPr>
          <w:rFonts w:asciiTheme="majorBidi" w:hAnsiTheme="majorBidi" w:cstheme="majorBidi"/>
          <w:iCs/>
          <w:sz w:val="24"/>
          <w:szCs w:val="24"/>
          <w:shd w:val="clear" w:color="auto" w:fill="FFFFFF"/>
          <w:lang w:val="en-GB"/>
        </w:rPr>
        <w:t>.”</w:t>
      </w:r>
      <w:r w:rsidR="00A135F3">
        <w:rPr>
          <w:rFonts w:asciiTheme="majorBidi" w:hAnsiTheme="majorBidi" w:cstheme="majorBidi"/>
          <w:sz w:val="24"/>
          <w:szCs w:val="24"/>
          <w:shd w:val="clear" w:color="auto" w:fill="FFFFFF"/>
          <w:lang w:val="en-GB"/>
        </w:rPr>
        <w:t> </w:t>
      </w:r>
      <w:r w:rsidR="00622F38" w:rsidRPr="00622F38">
        <w:rPr>
          <w:rFonts w:asciiTheme="majorBidi" w:hAnsiTheme="majorBidi" w:cstheme="majorBidi"/>
          <w:sz w:val="24"/>
          <w:szCs w:val="24"/>
          <w:shd w:val="clear" w:color="auto" w:fill="FFFFFF"/>
          <w:lang w:val="en-GB"/>
        </w:rPr>
        <w:t>PhD diss.</w:t>
      </w:r>
      <w:r w:rsidR="00622F38">
        <w:rPr>
          <w:rFonts w:asciiTheme="majorBidi" w:hAnsiTheme="majorBidi" w:cstheme="majorBidi"/>
          <w:sz w:val="24"/>
          <w:szCs w:val="24"/>
          <w:shd w:val="clear" w:color="auto" w:fill="FFFFFF"/>
          <w:lang w:val="en-GB"/>
        </w:rPr>
        <w:t>,</w:t>
      </w:r>
      <w:r w:rsidR="00F8163D" w:rsidRPr="000D011C">
        <w:rPr>
          <w:rFonts w:asciiTheme="majorBidi" w:hAnsiTheme="majorBidi" w:cstheme="majorBidi"/>
          <w:sz w:val="24"/>
          <w:szCs w:val="24"/>
          <w:shd w:val="clear" w:color="auto" w:fill="FFFFFF"/>
          <w:lang w:val="en-GB"/>
        </w:rPr>
        <w:t xml:space="preserve"> Indiana University.</w:t>
      </w:r>
    </w:p>
    <w:p w14:paraId="71634B51" w14:textId="54DA9D06" w:rsidR="00F8163D" w:rsidRPr="00014250" w:rsidRDefault="00F8163D" w:rsidP="00C03772">
      <w:pPr>
        <w:spacing w:after="0" w:line="480" w:lineRule="auto"/>
        <w:ind w:left="720" w:hanging="720"/>
        <w:rPr>
          <w:rFonts w:asciiTheme="majorBidi" w:hAnsiTheme="majorBidi" w:cstheme="majorBidi"/>
          <w:sz w:val="24"/>
          <w:szCs w:val="24"/>
          <w:shd w:val="clear" w:color="auto" w:fill="FFFFFF"/>
          <w:lang w:val="en-GB"/>
        </w:rPr>
      </w:pPr>
      <w:r w:rsidRPr="00014250">
        <w:rPr>
          <w:rFonts w:asciiTheme="majorBidi" w:hAnsiTheme="majorBidi" w:cstheme="majorBidi"/>
          <w:sz w:val="24"/>
          <w:szCs w:val="24"/>
          <w:shd w:val="clear" w:color="auto" w:fill="FFFFFF"/>
          <w:lang w:val="en-GB"/>
        </w:rPr>
        <w:t xml:space="preserve">Coffee, N. T., </w:t>
      </w:r>
      <w:r w:rsidR="00E23ED6" w:rsidRPr="00014250">
        <w:rPr>
          <w:rFonts w:asciiTheme="majorBidi" w:hAnsiTheme="majorBidi" w:cstheme="majorBidi"/>
          <w:sz w:val="24"/>
          <w:szCs w:val="24"/>
          <w:shd w:val="clear" w:color="auto" w:fill="FFFFFF"/>
          <w:lang w:val="en-GB"/>
        </w:rPr>
        <w:t xml:space="preserve">T. </w:t>
      </w:r>
      <w:r w:rsidRPr="00014250">
        <w:rPr>
          <w:rFonts w:asciiTheme="majorBidi" w:hAnsiTheme="majorBidi" w:cstheme="majorBidi"/>
          <w:sz w:val="24"/>
          <w:szCs w:val="24"/>
          <w:shd w:val="clear" w:color="auto" w:fill="FFFFFF"/>
          <w:lang w:val="en-GB"/>
        </w:rPr>
        <w:t xml:space="preserve">Lockwood, </w:t>
      </w:r>
      <w:r w:rsidR="00E23ED6" w:rsidRPr="00014250">
        <w:rPr>
          <w:rFonts w:asciiTheme="majorBidi" w:hAnsiTheme="majorBidi" w:cstheme="majorBidi"/>
          <w:sz w:val="24"/>
          <w:szCs w:val="24"/>
          <w:shd w:val="clear" w:color="auto" w:fill="FFFFFF"/>
          <w:lang w:val="en-GB"/>
        </w:rPr>
        <w:t xml:space="preserve">G. </w:t>
      </w:r>
      <w:r w:rsidRPr="00014250">
        <w:rPr>
          <w:rFonts w:asciiTheme="majorBidi" w:hAnsiTheme="majorBidi" w:cstheme="majorBidi"/>
          <w:sz w:val="24"/>
          <w:szCs w:val="24"/>
          <w:shd w:val="clear" w:color="auto" w:fill="FFFFFF"/>
          <w:lang w:val="en-GB"/>
        </w:rPr>
        <w:t xml:space="preserve">Hugo, </w:t>
      </w:r>
      <w:r w:rsidR="00E23ED6" w:rsidRPr="00014250">
        <w:rPr>
          <w:rFonts w:asciiTheme="majorBidi" w:hAnsiTheme="majorBidi" w:cstheme="majorBidi"/>
          <w:sz w:val="24"/>
          <w:szCs w:val="24"/>
          <w:shd w:val="clear" w:color="auto" w:fill="FFFFFF"/>
          <w:lang w:val="en-GB"/>
        </w:rPr>
        <w:t xml:space="preserve">C. </w:t>
      </w:r>
      <w:proofErr w:type="spellStart"/>
      <w:r w:rsidRPr="00014250">
        <w:rPr>
          <w:rFonts w:asciiTheme="majorBidi" w:hAnsiTheme="majorBidi" w:cstheme="majorBidi"/>
          <w:sz w:val="24"/>
          <w:szCs w:val="24"/>
          <w:shd w:val="clear" w:color="auto" w:fill="FFFFFF"/>
          <w:lang w:val="en-GB"/>
        </w:rPr>
        <w:t>Paquet</w:t>
      </w:r>
      <w:proofErr w:type="spellEnd"/>
      <w:r w:rsidRPr="00014250">
        <w:rPr>
          <w:rFonts w:asciiTheme="majorBidi" w:hAnsiTheme="majorBidi" w:cstheme="majorBidi"/>
          <w:sz w:val="24"/>
          <w:szCs w:val="24"/>
          <w:shd w:val="clear" w:color="auto" w:fill="FFFFFF"/>
          <w:lang w:val="en-GB"/>
        </w:rPr>
        <w:t xml:space="preserve">, </w:t>
      </w:r>
      <w:r w:rsidR="00E23ED6" w:rsidRPr="00014250">
        <w:rPr>
          <w:rFonts w:asciiTheme="majorBidi" w:hAnsiTheme="majorBidi" w:cstheme="majorBidi"/>
          <w:sz w:val="24"/>
          <w:szCs w:val="24"/>
          <w:shd w:val="clear" w:color="auto" w:fill="FFFFFF"/>
          <w:lang w:val="en-GB"/>
        </w:rPr>
        <w:t xml:space="preserve">N. J. </w:t>
      </w:r>
      <w:r w:rsidRPr="00014250">
        <w:rPr>
          <w:rFonts w:asciiTheme="majorBidi" w:hAnsiTheme="majorBidi" w:cstheme="majorBidi"/>
          <w:sz w:val="24"/>
          <w:szCs w:val="24"/>
          <w:shd w:val="clear" w:color="auto" w:fill="FFFFFF"/>
          <w:lang w:val="en-GB"/>
        </w:rPr>
        <w:t xml:space="preserve">Howard, </w:t>
      </w:r>
      <w:r w:rsidR="00E23ED6" w:rsidRPr="00014250">
        <w:rPr>
          <w:rFonts w:asciiTheme="majorBidi" w:hAnsiTheme="majorBidi" w:cstheme="majorBidi"/>
          <w:sz w:val="24"/>
          <w:szCs w:val="24"/>
          <w:shd w:val="clear" w:color="auto" w:fill="FFFFFF"/>
          <w:lang w:val="en-GB"/>
        </w:rPr>
        <w:t>and</w:t>
      </w:r>
      <w:r w:rsidRPr="00014250">
        <w:rPr>
          <w:rFonts w:asciiTheme="majorBidi" w:hAnsiTheme="majorBidi" w:cstheme="majorBidi"/>
          <w:sz w:val="24"/>
          <w:szCs w:val="24"/>
          <w:shd w:val="clear" w:color="auto" w:fill="FFFFFF"/>
          <w:lang w:val="en-GB"/>
        </w:rPr>
        <w:t xml:space="preserve"> </w:t>
      </w:r>
      <w:r w:rsidR="00E23ED6" w:rsidRPr="00014250">
        <w:rPr>
          <w:rFonts w:asciiTheme="majorBidi" w:hAnsiTheme="majorBidi" w:cstheme="majorBidi"/>
          <w:sz w:val="24"/>
          <w:szCs w:val="24"/>
          <w:shd w:val="clear" w:color="auto" w:fill="FFFFFF"/>
          <w:lang w:val="en-GB"/>
        </w:rPr>
        <w:t xml:space="preserve">M. </w:t>
      </w:r>
      <w:r w:rsidRPr="00014250">
        <w:rPr>
          <w:rFonts w:asciiTheme="majorBidi" w:hAnsiTheme="majorBidi" w:cstheme="majorBidi"/>
          <w:sz w:val="24"/>
          <w:szCs w:val="24"/>
          <w:shd w:val="clear" w:color="auto" w:fill="FFFFFF"/>
          <w:lang w:val="en-GB"/>
        </w:rPr>
        <w:t>Daniel</w:t>
      </w:r>
      <w:r w:rsidR="00E23ED6" w:rsidRPr="00014250">
        <w:rPr>
          <w:rFonts w:asciiTheme="majorBidi" w:hAnsiTheme="majorBidi" w:cstheme="majorBidi"/>
          <w:sz w:val="24"/>
          <w:szCs w:val="24"/>
          <w:shd w:val="clear" w:color="auto" w:fill="FFFFFF"/>
          <w:lang w:val="en-GB"/>
        </w:rPr>
        <w:t>. 2013</w:t>
      </w:r>
      <w:r w:rsidRPr="00014250">
        <w:rPr>
          <w:rFonts w:asciiTheme="majorBidi" w:hAnsiTheme="majorBidi" w:cstheme="majorBidi"/>
          <w:sz w:val="24"/>
          <w:szCs w:val="24"/>
          <w:shd w:val="clear" w:color="auto" w:fill="FFFFFF"/>
          <w:lang w:val="en-GB"/>
        </w:rPr>
        <w:t xml:space="preserve">. </w:t>
      </w:r>
      <w:r w:rsidR="00E23ED6" w:rsidRPr="00014250">
        <w:rPr>
          <w:rFonts w:asciiTheme="majorBidi" w:hAnsiTheme="majorBidi" w:cstheme="majorBidi"/>
          <w:sz w:val="24"/>
          <w:szCs w:val="24"/>
          <w:shd w:val="clear" w:color="auto" w:fill="FFFFFF"/>
          <w:lang w:val="en-GB"/>
        </w:rPr>
        <w:t>“</w:t>
      </w:r>
      <w:r w:rsidR="00342F0A" w:rsidRPr="00342F0A">
        <w:rPr>
          <w:rFonts w:asciiTheme="majorBidi" w:hAnsiTheme="majorBidi" w:cstheme="majorBidi"/>
          <w:sz w:val="24"/>
          <w:szCs w:val="24"/>
          <w:shd w:val="clear" w:color="auto" w:fill="FFFFFF"/>
          <w:lang w:val="en-GB"/>
        </w:rPr>
        <w:t>Relative Residential Property Value as a Socio-Economic Status Indicator for Health Research</w:t>
      </w:r>
      <w:r w:rsidRPr="00014250">
        <w:rPr>
          <w:rFonts w:asciiTheme="majorBidi" w:hAnsiTheme="majorBidi" w:cstheme="majorBidi"/>
          <w:sz w:val="24"/>
          <w:szCs w:val="24"/>
          <w:shd w:val="clear" w:color="auto" w:fill="FFFFFF"/>
          <w:lang w:val="en-GB"/>
        </w:rPr>
        <w:t>.</w:t>
      </w:r>
      <w:r w:rsidR="00E23ED6" w:rsidRPr="00014250">
        <w:rPr>
          <w:rFonts w:asciiTheme="majorBidi" w:hAnsiTheme="majorBidi" w:cstheme="majorBidi"/>
          <w:sz w:val="24"/>
          <w:szCs w:val="24"/>
          <w:shd w:val="clear" w:color="auto" w:fill="FFFFFF"/>
          <w:lang w:val="en-GB"/>
        </w:rPr>
        <w:t>”</w:t>
      </w:r>
      <w:r w:rsidRPr="00014250">
        <w:rPr>
          <w:rFonts w:asciiTheme="majorBidi" w:hAnsiTheme="majorBidi" w:cstheme="majorBidi"/>
          <w:sz w:val="24"/>
          <w:szCs w:val="24"/>
          <w:shd w:val="clear" w:color="auto" w:fill="FFFFFF"/>
          <w:lang w:val="en-GB"/>
        </w:rPr>
        <w:t> </w:t>
      </w:r>
      <w:r w:rsidRPr="00014250">
        <w:rPr>
          <w:rFonts w:asciiTheme="majorBidi" w:hAnsiTheme="majorBidi" w:cstheme="majorBidi"/>
          <w:i/>
          <w:iCs/>
          <w:sz w:val="24"/>
          <w:szCs w:val="24"/>
          <w:shd w:val="clear" w:color="auto" w:fill="FFFFFF"/>
          <w:lang w:val="en-GB"/>
        </w:rPr>
        <w:t xml:space="preserve">International </w:t>
      </w:r>
      <w:r w:rsidR="002440C4">
        <w:rPr>
          <w:rFonts w:asciiTheme="majorBidi" w:hAnsiTheme="majorBidi" w:cstheme="majorBidi"/>
          <w:i/>
          <w:iCs/>
          <w:sz w:val="24"/>
          <w:szCs w:val="24"/>
          <w:shd w:val="clear" w:color="auto" w:fill="FFFFFF"/>
          <w:lang w:val="en-GB"/>
        </w:rPr>
        <w:t>J</w:t>
      </w:r>
      <w:r w:rsidRPr="00014250">
        <w:rPr>
          <w:rFonts w:asciiTheme="majorBidi" w:hAnsiTheme="majorBidi" w:cstheme="majorBidi"/>
          <w:i/>
          <w:iCs/>
          <w:sz w:val="24"/>
          <w:szCs w:val="24"/>
          <w:shd w:val="clear" w:color="auto" w:fill="FFFFFF"/>
          <w:lang w:val="en-GB"/>
        </w:rPr>
        <w:t xml:space="preserve">ournal of </w:t>
      </w:r>
      <w:r w:rsidR="002440C4">
        <w:rPr>
          <w:rFonts w:asciiTheme="majorBidi" w:hAnsiTheme="majorBidi" w:cstheme="majorBidi"/>
          <w:i/>
          <w:iCs/>
          <w:sz w:val="24"/>
          <w:szCs w:val="24"/>
          <w:shd w:val="clear" w:color="auto" w:fill="FFFFFF"/>
          <w:lang w:val="en-GB"/>
        </w:rPr>
        <w:t>H</w:t>
      </w:r>
      <w:r w:rsidRPr="00014250">
        <w:rPr>
          <w:rFonts w:asciiTheme="majorBidi" w:hAnsiTheme="majorBidi" w:cstheme="majorBidi"/>
          <w:i/>
          <w:iCs/>
          <w:sz w:val="24"/>
          <w:szCs w:val="24"/>
          <w:shd w:val="clear" w:color="auto" w:fill="FFFFFF"/>
          <w:lang w:val="en-GB"/>
        </w:rPr>
        <w:t xml:space="preserve">ealth </w:t>
      </w:r>
      <w:proofErr w:type="spellStart"/>
      <w:r w:rsidR="002440C4">
        <w:rPr>
          <w:rFonts w:asciiTheme="majorBidi" w:hAnsiTheme="majorBidi" w:cstheme="majorBidi"/>
          <w:i/>
          <w:iCs/>
          <w:sz w:val="24"/>
          <w:szCs w:val="24"/>
          <w:shd w:val="clear" w:color="auto" w:fill="FFFFFF"/>
          <w:lang w:val="en-GB"/>
        </w:rPr>
        <w:t>G</w:t>
      </w:r>
      <w:r w:rsidRPr="00014250">
        <w:rPr>
          <w:rFonts w:asciiTheme="majorBidi" w:hAnsiTheme="majorBidi" w:cstheme="majorBidi"/>
          <w:i/>
          <w:iCs/>
          <w:sz w:val="24"/>
          <w:szCs w:val="24"/>
          <w:shd w:val="clear" w:color="auto" w:fill="FFFFFF"/>
          <w:lang w:val="en-GB"/>
        </w:rPr>
        <w:t>eographics</w:t>
      </w:r>
      <w:proofErr w:type="spellEnd"/>
      <w:r w:rsidRPr="00014250">
        <w:rPr>
          <w:rFonts w:asciiTheme="majorBidi" w:hAnsiTheme="majorBidi" w:cstheme="majorBidi"/>
          <w:sz w:val="24"/>
          <w:szCs w:val="24"/>
          <w:shd w:val="clear" w:color="auto" w:fill="FFFFFF"/>
          <w:lang w:val="en-GB"/>
        </w:rPr>
        <w:t> </w:t>
      </w:r>
      <w:r w:rsidRPr="00014250">
        <w:rPr>
          <w:rFonts w:asciiTheme="majorBidi" w:hAnsiTheme="majorBidi" w:cstheme="majorBidi"/>
          <w:iCs/>
          <w:sz w:val="24"/>
          <w:szCs w:val="24"/>
          <w:shd w:val="clear" w:color="auto" w:fill="FFFFFF"/>
          <w:lang w:val="en-GB"/>
        </w:rPr>
        <w:t>12</w:t>
      </w:r>
      <w:r w:rsidR="00E23ED6" w:rsidRPr="00014250">
        <w:rPr>
          <w:rFonts w:asciiTheme="majorBidi" w:hAnsiTheme="majorBidi" w:cstheme="majorBidi"/>
          <w:sz w:val="24"/>
          <w:szCs w:val="24"/>
          <w:shd w:val="clear" w:color="auto" w:fill="FFFFFF"/>
          <w:lang w:val="en-GB"/>
        </w:rPr>
        <w:t xml:space="preserve"> </w:t>
      </w:r>
      <w:r w:rsidRPr="00014250">
        <w:rPr>
          <w:rFonts w:asciiTheme="majorBidi" w:hAnsiTheme="majorBidi" w:cstheme="majorBidi"/>
          <w:sz w:val="24"/>
          <w:szCs w:val="24"/>
          <w:shd w:val="clear" w:color="auto" w:fill="FFFFFF"/>
          <w:lang w:val="en-GB"/>
        </w:rPr>
        <w:t>(1)</w:t>
      </w:r>
      <w:r w:rsidR="00E23ED6" w:rsidRPr="00014250">
        <w:rPr>
          <w:rFonts w:asciiTheme="majorBidi" w:hAnsiTheme="majorBidi" w:cstheme="majorBidi"/>
          <w:sz w:val="24"/>
          <w:szCs w:val="24"/>
          <w:shd w:val="clear" w:color="auto" w:fill="FFFFFF"/>
          <w:lang w:val="en-GB"/>
        </w:rPr>
        <w:t>:</w:t>
      </w:r>
      <w:r w:rsidRPr="00014250">
        <w:rPr>
          <w:rFonts w:asciiTheme="majorBidi" w:hAnsiTheme="majorBidi" w:cstheme="majorBidi"/>
          <w:sz w:val="24"/>
          <w:szCs w:val="24"/>
          <w:shd w:val="clear" w:color="auto" w:fill="FFFFFF"/>
          <w:lang w:val="en-GB"/>
        </w:rPr>
        <w:t xml:space="preserve"> 22. </w:t>
      </w:r>
      <w:proofErr w:type="gramStart"/>
      <w:r w:rsidR="00E23ED6" w:rsidRPr="00014250">
        <w:rPr>
          <w:rFonts w:asciiTheme="majorBidi" w:hAnsiTheme="majorBidi" w:cstheme="majorBidi"/>
          <w:sz w:val="24"/>
          <w:szCs w:val="24"/>
          <w:shd w:val="clear" w:color="auto" w:fill="FFFFFF"/>
          <w:lang w:val="en-GB"/>
        </w:rPr>
        <w:t>doi:</w:t>
      </w:r>
      <w:proofErr w:type="gramEnd"/>
      <w:r w:rsidRPr="00014250">
        <w:rPr>
          <w:rFonts w:asciiTheme="majorBidi" w:hAnsiTheme="majorBidi" w:cstheme="majorBidi"/>
          <w:sz w:val="24"/>
          <w:szCs w:val="24"/>
          <w:shd w:val="clear" w:color="auto" w:fill="FFFFFF"/>
          <w:lang w:val="en-GB"/>
        </w:rPr>
        <w:t>10.1186/1476-072X-12-22</w:t>
      </w:r>
      <w:r w:rsidR="00014250" w:rsidRPr="00014250">
        <w:rPr>
          <w:rFonts w:asciiTheme="majorBidi" w:hAnsiTheme="majorBidi" w:cstheme="majorBidi"/>
          <w:sz w:val="24"/>
          <w:szCs w:val="24"/>
          <w:shd w:val="clear" w:color="auto" w:fill="FFFFFF"/>
          <w:lang w:val="en-GB"/>
        </w:rPr>
        <w:t>.</w:t>
      </w:r>
    </w:p>
    <w:p w14:paraId="094D5991" w14:textId="44B104A0" w:rsidR="00F8163D" w:rsidRPr="004A256D" w:rsidRDefault="004A256D" w:rsidP="00C03772">
      <w:pPr>
        <w:spacing w:after="0" w:line="480" w:lineRule="auto"/>
        <w:ind w:left="720" w:hanging="720"/>
        <w:rPr>
          <w:rFonts w:asciiTheme="majorBidi" w:hAnsiTheme="majorBidi" w:cstheme="majorBidi"/>
          <w:sz w:val="24"/>
          <w:szCs w:val="24"/>
          <w:lang w:val="en-GB"/>
        </w:rPr>
      </w:pPr>
      <w:r w:rsidRPr="004A256D">
        <w:rPr>
          <w:rFonts w:asciiTheme="majorBidi" w:hAnsiTheme="majorBidi" w:cstheme="majorBidi"/>
          <w:sz w:val="24"/>
          <w:szCs w:val="24"/>
          <w:lang w:val="en-GB"/>
        </w:rPr>
        <w:t>Cotton, K. 1996</w:t>
      </w:r>
      <w:r w:rsidR="00F8163D" w:rsidRPr="004A256D">
        <w:rPr>
          <w:rFonts w:asciiTheme="majorBidi" w:hAnsiTheme="majorBidi" w:cstheme="majorBidi"/>
          <w:sz w:val="24"/>
          <w:szCs w:val="24"/>
          <w:lang w:val="en-GB"/>
        </w:rPr>
        <w:t xml:space="preserve">. </w:t>
      </w:r>
      <w:r w:rsidR="00F40F16" w:rsidRPr="00F40F16">
        <w:rPr>
          <w:rFonts w:asciiTheme="majorBidi" w:hAnsiTheme="majorBidi" w:cstheme="majorBidi"/>
          <w:i/>
          <w:iCs/>
          <w:sz w:val="24"/>
          <w:szCs w:val="24"/>
          <w:lang w:val="en-GB"/>
        </w:rPr>
        <w:t>School Size, School Climate, and Student Performance</w:t>
      </w:r>
      <w:r w:rsidR="00F8163D" w:rsidRPr="004A256D">
        <w:rPr>
          <w:rFonts w:asciiTheme="majorBidi" w:hAnsiTheme="majorBidi" w:cstheme="majorBidi"/>
          <w:i/>
          <w:iCs/>
          <w:sz w:val="24"/>
          <w:szCs w:val="24"/>
          <w:lang w:val="en-GB"/>
        </w:rPr>
        <w:t>. Close-up # 20.</w:t>
      </w:r>
      <w:r w:rsidR="00F8163D" w:rsidRPr="004A256D">
        <w:rPr>
          <w:rFonts w:asciiTheme="majorBidi" w:hAnsiTheme="majorBidi" w:cstheme="majorBidi"/>
          <w:sz w:val="24"/>
          <w:szCs w:val="24"/>
          <w:lang w:val="en-GB"/>
        </w:rPr>
        <w:t xml:space="preserve"> Portland, OR: Northwest Regional Educational Laboratory.</w:t>
      </w:r>
    </w:p>
    <w:p w14:paraId="7771BBF5" w14:textId="6B546FD4" w:rsidR="00F8163D" w:rsidRPr="00920D1C" w:rsidRDefault="00920D1C" w:rsidP="00C03772">
      <w:pPr>
        <w:spacing w:after="0" w:line="480" w:lineRule="auto"/>
        <w:ind w:left="720" w:hanging="720"/>
        <w:rPr>
          <w:rFonts w:asciiTheme="majorBidi" w:hAnsiTheme="majorBidi" w:cstheme="majorBidi"/>
          <w:sz w:val="24"/>
          <w:szCs w:val="24"/>
          <w:shd w:val="clear" w:color="auto" w:fill="FFFFFF"/>
          <w:lang w:val="en-GB"/>
        </w:rPr>
      </w:pPr>
      <w:r w:rsidRPr="00920D1C">
        <w:rPr>
          <w:rFonts w:asciiTheme="majorBidi" w:hAnsiTheme="majorBidi" w:cstheme="majorBidi"/>
          <w:sz w:val="24"/>
          <w:szCs w:val="24"/>
          <w:lang w:val="en-GB"/>
        </w:rPr>
        <w:t>Croatian Bureau of Statistics. 2018a</w:t>
      </w:r>
      <w:r w:rsidR="00F8163D" w:rsidRPr="00920D1C">
        <w:rPr>
          <w:rFonts w:asciiTheme="majorBidi" w:hAnsiTheme="majorBidi" w:cstheme="majorBidi"/>
          <w:sz w:val="24"/>
          <w:szCs w:val="24"/>
          <w:lang w:val="en-GB"/>
        </w:rPr>
        <w:t xml:space="preserve">. </w:t>
      </w:r>
      <w:r w:rsidR="00CE40A0" w:rsidRPr="00CE40A0">
        <w:rPr>
          <w:rFonts w:asciiTheme="majorBidi" w:hAnsiTheme="majorBidi" w:cstheme="majorBidi"/>
          <w:i/>
          <w:sz w:val="24"/>
          <w:szCs w:val="24"/>
          <w:lang w:val="en-GB"/>
        </w:rPr>
        <w:t>Students Enrolled on Professional and University Study, Winter Semester of 2017/2018 Academic Year</w:t>
      </w:r>
      <w:r w:rsidR="00CE40A0">
        <w:rPr>
          <w:rFonts w:asciiTheme="majorBidi" w:hAnsiTheme="majorBidi" w:cstheme="majorBidi"/>
          <w:i/>
          <w:sz w:val="24"/>
          <w:szCs w:val="24"/>
          <w:lang w:val="en-GB"/>
        </w:rPr>
        <w:t>. First R</w:t>
      </w:r>
      <w:r w:rsidR="00F8163D" w:rsidRPr="00920D1C">
        <w:rPr>
          <w:rFonts w:asciiTheme="majorBidi" w:hAnsiTheme="majorBidi" w:cstheme="majorBidi"/>
          <w:i/>
          <w:sz w:val="24"/>
          <w:szCs w:val="24"/>
          <w:lang w:val="en-GB"/>
        </w:rPr>
        <w:t>elease</w:t>
      </w:r>
      <w:r w:rsidR="00F8163D" w:rsidRPr="00920D1C">
        <w:rPr>
          <w:rFonts w:asciiTheme="majorBidi" w:hAnsiTheme="majorBidi" w:cstheme="majorBidi"/>
          <w:sz w:val="24"/>
          <w:szCs w:val="24"/>
          <w:lang w:val="en-GB"/>
        </w:rPr>
        <w:t>. Zagreb: Croatian Bureau of Statistics.</w:t>
      </w:r>
    </w:p>
    <w:p w14:paraId="61448D41" w14:textId="31B3C503" w:rsidR="00F8163D" w:rsidRPr="00CE0512" w:rsidRDefault="00CE0512" w:rsidP="00C03772">
      <w:pPr>
        <w:spacing w:after="0" w:line="480" w:lineRule="auto"/>
        <w:ind w:left="720" w:hanging="720"/>
        <w:rPr>
          <w:rFonts w:asciiTheme="majorBidi" w:hAnsiTheme="majorBidi" w:cstheme="majorBidi"/>
          <w:sz w:val="24"/>
          <w:szCs w:val="24"/>
          <w:lang w:val="en-GB"/>
        </w:rPr>
      </w:pPr>
      <w:r>
        <w:rPr>
          <w:rFonts w:asciiTheme="majorBidi" w:hAnsiTheme="majorBidi" w:cstheme="majorBidi"/>
          <w:sz w:val="24"/>
          <w:szCs w:val="24"/>
          <w:lang w:val="en-GB"/>
        </w:rPr>
        <w:t>Croatian Bureau of Statistics. 2018b</w:t>
      </w:r>
      <w:r w:rsidR="00F8163D" w:rsidRPr="00CE0512">
        <w:rPr>
          <w:rFonts w:asciiTheme="majorBidi" w:hAnsiTheme="majorBidi" w:cstheme="majorBidi"/>
          <w:sz w:val="24"/>
          <w:szCs w:val="24"/>
          <w:lang w:val="en-GB"/>
        </w:rPr>
        <w:t xml:space="preserve">. </w:t>
      </w:r>
      <w:r w:rsidR="00F8163D" w:rsidRPr="00CE0512">
        <w:rPr>
          <w:rFonts w:asciiTheme="majorBidi" w:hAnsiTheme="majorBidi" w:cstheme="majorBidi"/>
          <w:i/>
          <w:sz w:val="24"/>
          <w:szCs w:val="24"/>
          <w:lang w:val="en-GB"/>
        </w:rPr>
        <w:t xml:space="preserve">Students </w:t>
      </w:r>
      <w:r w:rsidR="005B1381">
        <w:rPr>
          <w:rFonts w:asciiTheme="majorBidi" w:hAnsiTheme="majorBidi" w:cstheme="majorBidi"/>
          <w:i/>
          <w:sz w:val="24"/>
          <w:szCs w:val="24"/>
          <w:lang w:val="en-GB"/>
        </w:rPr>
        <w:t>W</w:t>
      </w:r>
      <w:r w:rsidR="00F8163D" w:rsidRPr="00CE0512">
        <w:rPr>
          <w:rFonts w:asciiTheme="majorBidi" w:hAnsiTheme="majorBidi" w:cstheme="majorBidi"/>
          <w:i/>
          <w:sz w:val="24"/>
          <w:szCs w:val="24"/>
          <w:lang w:val="en-GB"/>
        </w:rPr>
        <w:t xml:space="preserve">ho </w:t>
      </w:r>
      <w:r w:rsidR="005B1381">
        <w:rPr>
          <w:rFonts w:asciiTheme="majorBidi" w:hAnsiTheme="majorBidi" w:cstheme="majorBidi"/>
          <w:i/>
          <w:sz w:val="24"/>
          <w:szCs w:val="24"/>
          <w:lang w:val="en-GB"/>
        </w:rPr>
        <w:t>G</w:t>
      </w:r>
      <w:r w:rsidR="00F8163D" w:rsidRPr="00CE0512">
        <w:rPr>
          <w:rFonts w:asciiTheme="majorBidi" w:hAnsiTheme="majorBidi" w:cstheme="majorBidi"/>
          <w:i/>
          <w:sz w:val="24"/>
          <w:szCs w:val="24"/>
          <w:lang w:val="en-GB"/>
        </w:rPr>
        <w:t xml:space="preserve">raduated </w:t>
      </w:r>
      <w:r w:rsidR="005B1381">
        <w:rPr>
          <w:rFonts w:asciiTheme="majorBidi" w:hAnsiTheme="majorBidi" w:cstheme="majorBidi"/>
          <w:i/>
          <w:sz w:val="24"/>
          <w:szCs w:val="24"/>
          <w:lang w:val="en-GB"/>
        </w:rPr>
        <w:t>U</w:t>
      </w:r>
      <w:r w:rsidR="00F8163D" w:rsidRPr="00CE0512">
        <w:rPr>
          <w:rFonts w:asciiTheme="majorBidi" w:hAnsiTheme="majorBidi" w:cstheme="majorBidi"/>
          <w:i/>
          <w:sz w:val="24"/>
          <w:szCs w:val="24"/>
          <w:lang w:val="en-GB"/>
        </w:rPr>
        <w:t xml:space="preserve">niversity </w:t>
      </w:r>
      <w:r w:rsidR="005B1381">
        <w:rPr>
          <w:rFonts w:asciiTheme="majorBidi" w:hAnsiTheme="majorBidi" w:cstheme="majorBidi"/>
          <w:i/>
          <w:sz w:val="24"/>
          <w:szCs w:val="24"/>
          <w:lang w:val="en-GB"/>
        </w:rPr>
        <w:t>S</w:t>
      </w:r>
      <w:r w:rsidR="00F8163D" w:rsidRPr="00CE0512">
        <w:rPr>
          <w:rFonts w:asciiTheme="majorBidi" w:hAnsiTheme="majorBidi" w:cstheme="majorBidi"/>
          <w:i/>
          <w:sz w:val="24"/>
          <w:szCs w:val="24"/>
          <w:lang w:val="en-GB"/>
        </w:rPr>
        <w:t xml:space="preserve">tudy or </w:t>
      </w:r>
      <w:r w:rsidR="005B1381">
        <w:rPr>
          <w:rFonts w:asciiTheme="majorBidi" w:hAnsiTheme="majorBidi" w:cstheme="majorBidi"/>
          <w:i/>
          <w:sz w:val="24"/>
          <w:szCs w:val="24"/>
          <w:lang w:val="en-GB"/>
        </w:rPr>
        <w:t>C</w:t>
      </w:r>
      <w:r w:rsidR="00F8163D" w:rsidRPr="00CE0512">
        <w:rPr>
          <w:rFonts w:asciiTheme="majorBidi" w:hAnsiTheme="majorBidi" w:cstheme="majorBidi"/>
          <w:i/>
          <w:sz w:val="24"/>
          <w:szCs w:val="24"/>
          <w:lang w:val="en-GB"/>
        </w:rPr>
        <w:t xml:space="preserve">ompleted </w:t>
      </w:r>
      <w:r w:rsidR="005B1381">
        <w:rPr>
          <w:rFonts w:asciiTheme="majorBidi" w:hAnsiTheme="majorBidi" w:cstheme="majorBidi"/>
          <w:i/>
          <w:sz w:val="24"/>
          <w:szCs w:val="24"/>
          <w:lang w:val="en-GB"/>
        </w:rPr>
        <w:t>P</w:t>
      </w:r>
      <w:r w:rsidR="00F8163D" w:rsidRPr="00CE0512">
        <w:rPr>
          <w:rFonts w:asciiTheme="majorBidi" w:hAnsiTheme="majorBidi" w:cstheme="majorBidi"/>
          <w:i/>
          <w:sz w:val="24"/>
          <w:szCs w:val="24"/>
          <w:lang w:val="en-GB"/>
        </w:rPr>
        <w:t xml:space="preserve">rofessional </w:t>
      </w:r>
      <w:r w:rsidR="005B1381">
        <w:rPr>
          <w:rFonts w:asciiTheme="majorBidi" w:hAnsiTheme="majorBidi" w:cstheme="majorBidi"/>
          <w:i/>
          <w:sz w:val="24"/>
          <w:szCs w:val="24"/>
          <w:lang w:val="en-GB"/>
        </w:rPr>
        <w:t>S</w:t>
      </w:r>
      <w:r w:rsidR="00F8163D" w:rsidRPr="00CE0512">
        <w:rPr>
          <w:rFonts w:asciiTheme="majorBidi" w:hAnsiTheme="majorBidi" w:cstheme="majorBidi"/>
          <w:i/>
          <w:sz w:val="24"/>
          <w:szCs w:val="24"/>
          <w:lang w:val="en-GB"/>
        </w:rPr>
        <w:t>tudy, 2017. First release</w:t>
      </w:r>
      <w:r w:rsidR="00F8163D" w:rsidRPr="00CE0512">
        <w:rPr>
          <w:rFonts w:asciiTheme="majorBidi" w:hAnsiTheme="majorBidi" w:cstheme="majorBidi"/>
          <w:sz w:val="24"/>
          <w:szCs w:val="24"/>
          <w:lang w:val="en-GB"/>
        </w:rPr>
        <w:t>. Zagreb: Croatian Bureau of Statistics.</w:t>
      </w:r>
    </w:p>
    <w:p w14:paraId="2E488A26" w14:textId="3568CF1E" w:rsidR="00CD5C3A" w:rsidRPr="00870FBF" w:rsidRDefault="00CE59D3" w:rsidP="00C03772">
      <w:pPr>
        <w:spacing w:after="0" w:line="480" w:lineRule="auto"/>
        <w:ind w:left="720" w:hanging="720"/>
        <w:rPr>
          <w:rFonts w:asciiTheme="majorBidi" w:hAnsiTheme="majorBidi" w:cstheme="majorBidi"/>
          <w:sz w:val="24"/>
          <w:szCs w:val="24"/>
          <w:lang w:val="en-GB"/>
        </w:rPr>
      </w:pPr>
      <w:proofErr w:type="spellStart"/>
      <w:r w:rsidRPr="00870FBF">
        <w:rPr>
          <w:rFonts w:asciiTheme="majorBidi" w:hAnsiTheme="majorBidi" w:cstheme="majorBidi"/>
          <w:sz w:val="24"/>
          <w:szCs w:val="24"/>
          <w:shd w:val="clear" w:color="auto" w:fill="FFFFFF"/>
          <w:lang w:val="en-GB"/>
        </w:rPr>
        <w:t>Cunska</w:t>
      </w:r>
      <w:proofErr w:type="spellEnd"/>
      <w:r w:rsidRPr="00870FBF">
        <w:rPr>
          <w:rFonts w:asciiTheme="majorBidi" w:hAnsiTheme="majorBidi" w:cstheme="majorBidi"/>
          <w:sz w:val="24"/>
          <w:szCs w:val="24"/>
          <w:shd w:val="clear" w:color="auto" w:fill="FFFFFF"/>
          <w:lang w:val="en-GB"/>
        </w:rPr>
        <w:t>, Z. 2010</w:t>
      </w:r>
      <w:r w:rsidR="00CD5C3A" w:rsidRPr="00870FBF">
        <w:rPr>
          <w:rFonts w:asciiTheme="majorBidi" w:hAnsiTheme="majorBidi" w:cstheme="majorBidi"/>
          <w:sz w:val="24"/>
          <w:szCs w:val="24"/>
          <w:shd w:val="clear" w:color="auto" w:fill="FFFFFF"/>
          <w:lang w:val="en-GB"/>
        </w:rPr>
        <w:t xml:space="preserve">. </w:t>
      </w:r>
      <w:r w:rsidRPr="00870FBF">
        <w:rPr>
          <w:rFonts w:asciiTheme="majorBidi" w:hAnsiTheme="majorBidi" w:cstheme="majorBidi"/>
          <w:sz w:val="24"/>
          <w:szCs w:val="24"/>
          <w:shd w:val="clear" w:color="auto" w:fill="FFFFFF"/>
          <w:lang w:val="en-GB"/>
        </w:rPr>
        <w:t>“</w:t>
      </w:r>
      <w:r w:rsidR="002C6632" w:rsidRPr="002C6632">
        <w:rPr>
          <w:rFonts w:asciiTheme="majorBidi" w:hAnsiTheme="majorBidi" w:cstheme="majorBidi"/>
          <w:sz w:val="24"/>
          <w:szCs w:val="24"/>
          <w:shd w:val="clear" w:color="auto" w:fill="FFFFFF"/>
          <w:lang w:val="en-GB"/>
        </w:rPr>
        <w:t>Where is Demography Leading Latvian Higher Education</w:t>
      </w:r>
      <w:r w:rsidR="00CD5C3A" w:rsidRPr="00870FBF">
        <w:rPr>
          <w:rFonts w:asciiTheme="majorBidi" w:hAnsiTheme="majorBidi" w:cstheme="majorBidi"/>
          <w:sz w:val="24"/>
          <w:szCs w:val="24"/>
          <w:shd w:val="clear" w:color="auto" w:fill="FFFFFF"/>
          <w:lang w:val="en-GB"/>
        </w:rPr>
        <w:t>?</w:t>
      </w:r>
      <w:r w:rsidRPr="00870FBF">
        <w:rPr>
          <w:rFonts w:asciiTheme="majorBidi" w:hAnsiTheme="majorBidi" w:cstheme="majorBidi"/>
          <w:sz w:val="24"/>
          <w:szCs w:val="24"/>
          <w:shd w:val="clear" w:color="auto" w:fill="FFFFFF"/>
          <w:lang w:val="en-GB"/>
        </w:rPr>
        <w:t>”</w:t>
      </w:r>
      <w:r w:rsidR="00CD5C3A" w:rsidRPr="00870FBF">
        <w:rPr>
          <w:rFonts w:asciiTheme="majorBidi" w:hAnsiTheme="majorBidi" w:cstheme="majorBidi"/>
          <w:sz w:val="24"/>
          <w:szCs w:val="24"/>
          <w:shd w:val="clear" w:color="auto" w:fill="FFFFFF"/>
          <w:lang w:val="en-GB"/>
        </w:rPr>
        <w:t> </w:t>
      </w:r>
      <w:r w:rsidR="00CD5C3A" w:rsidRPr="00870FBF">
        <w:rPr>
          <w:rFonts w:asciiTheme="majorBidi" w:hAnsiTheme="majorBidi" w:cstheme="majorBidi"/>
          <w:i/>
          <w:iCs/>
          <w:sz w:val="24"/>
          <w:szCs w:val="24"/>
          <w:shd w:val="clear" w:color="auto" w:fill="FFFFFF"/>
          <w:lang w:val="en-GB"/>
        </w:rPr>
        <w:t>Baltic Journal of Economics</w:t>
      </w:r>
      <w:r w:rsidRPr="00870FBF">
        <w:rPr>
          <w:rFonts w:asciiTheme="majorBidi" w:hAnsiTheme="majorBidi" w:cstheme="majorBidi"/>
          <w:sz w:val="24"/>
          <w:szCs w:val="24"/>
          <w:shd w:val="clear" w:color="auto" w:fill="FFFFFF"/>
          <w:lang w:val="en-GB"/>
        </w:rPr>
        <w:t xml:space="preserve"> </w:t>
      </w:r>
      <w:r w:rsidR="00CD5C3A" w:rsidRPr="00870FBF">
        <w:rPr>
          <w:rFonts w:asciiTheme="majorBidi" w:hAnsiTheme="majorBidi" w:cstheme="majorBidi"/>
          <w:iCs/>
          <w:sz w:val="24"/>
          <w:szCs w:val="24"/>
          <w:shd w:val="clear" w:color="auto" w:fill="FFFFFF"/>
          <w:lang w:val="en-GB"/>
        </w:rPr>
        <w:t>10</w:t>
      </w:r>
      <w:r w:rsidRPr="00870FBF">
        <w:rPr>
          <w:rFonts w:asciiTheme="majorBidi" w:hAnsiTheme="majorBidi" w:cstheme="majorBidi"/>
          <w:sz w:val="24"/>
          <w:szCs w:val="24"/>
          <w:shd w:val="clear" w:color="auto" w:fill="FFFFFF"/>
          <w:lang w:val="en-GB"/>
        </w:rPr>
        <w:t xml:space="preserve"> </w:t>
      </w:r>
      <w:r w:rsidR="00CD5C3A" w:rsidRPr="00870FBF">
        <w:rPr>
          <w:rFonts w:asciiTheme="majorBidi" w:hAnsiTheme="majorBidi" w:cstheme="majorBidi"/>
          <w:sz w:val="24"/>
          <w:szCs w:val="24"/>
          <w:shd w:val="clear" w:color="auto" w:fill="FFFFFF"/>
          <w:lang w:val="en-GB"/>
        </w:rPr>
        <w:t>(1)</w:t>
      </w:r>
      <w:r w:rsidRPr="00870FBF">
        <w:rPr>
          <w:rFonts w:asciiTheme="majorBidi" w:hAnsiTheme="majorBidi" w:cstheme="majorBidi"/>
          <w:sz w:val="24"/>
          <w:szCs w:val="24"/>
          <w:shd w:val="clear" w:color="auto" w:fill="FFFFFF"/>
          <w:lang w:val="en-GB"/>
        </w:rPr>
        <w:t>:</w:t>
      </w:r>
      <w:r w:rsidR="00CD5C3A" w:rsidRPr="00870FBF">
        <w:rPr>
          <w:rFonts w:asciiTheme="majorBidi" w:hAnsiTheme="majorBidi" w:cstheme="majorBidi"/>
          <w:sz w:val="24"/>
          <w:szCs w:val="24"/>
          <w:shd w:val="clear" w:color="auto" w:fill="FFFFFF"/>
          <w:lang w:val="en-GB"/>
        </w:rPr>
        <w:t xml:space="preserve"> 5-21.</w:t>
      </w:r>
      <w:r w:rsidR="001053FB" w:rsidRPr="00870FBF">
        <w:rPr>
          <w:rFonts w:asciiTheme="majorBidi" w:hAnsiTheme="majorBidi" w:cstheme="majorBidi"/>
          <w:sz w:val="24"/>
          <w:szCs w:val="24"/>
          <w:shd w:val="clear" w:color="auto" w:fill="FFFFFF"/>
          <w:lang w:val="en-GB"/>
        </w:rPr>
        <w:t xml:space="preserve"> </w:t>
      </w:r>
      <w:r w:rsidRPr="00870FBF">
        <w:rPr>
          <w:rFonts w:asciiTheme="majorBidi" w:hAnsiTheme="majorBidi" w:cstheme="majorBidi"/>
          <w:sz w:val="24"/>
          <w:szCs w:val="24"/>
          <w:shd w:val="clear" w:color="auto" w:fill="FFFFFF"/>
          <w:lang w:val="en-GB"/>
        </w:rPr>
        <w:t>doi:</w:t>
      </w:r>
      <w:r w:rsidR="001053FB" w:rsidRPr="00870FBF">
        <w:rPr>
          <w:rFonts w:asciiTheme="majorBidi" w:hAnsiTheme="majorBidi" w:cstheme="majorBidi"/>
          <w:sz w:val="24"/>
          <w:szCs w:val="24"/>
          <w:shd w:val="clear" w:color="auto" w:fill="FFFFFF"/>
          <w:lang w:val="en-GB"/>
        </w:rPr>
        <w:t>10.1080/1406099X.2010.10840468</w:t>
      </w:r>
      <w:r w:rsidR="00870FBF" w:rsidRPr="00870FBF">
        <w:rPr>
          <w:rFonts w:asciiTheme="majorBidi" w:hAnsiTheme="majorBidi" w:cstheme="majorBidi"/>
          <w:sz w:val="24"/>
          <w:szCs w:val="24"/>
          <w:shd w:val="clear" w:color="auto" w:fill="FFFFFF"/>
          <w:lang w:val="en-GB"/>
        </w:rPr>
        <w:t>.</w:t>
      </w:r>
    </w:p>
    <w:p w14:paraId="7C692FA2" w14:textId="3722B4D4" w:rsidR="00F8163D" w:rsidRPr="00661363" w:rsidRDefault="00661363" w:rsidP="00C03772">
      <w:pPr>
        <w:spacing w:after="0" w:line="480" w:lineRule="auto"/>
        <w:ind w:left="720" w:hanging="720"/>
        <w:rPr>
          <w:rFonts w:asciiTheme="majorBidi" w:hAnsiTheme="majorBidi" w:cstheme="majorBidi"/>
          <w:sz w:val="24"/>
          <w:szCs w:val="24"/>
          <w:shd w:val="clear" w:color="auto" w:fill="FFFFFF"/>
          <w:lang w:val="en-GB"/>
        </w:rPr>
      </w:pPr>
      <w:proofErr w:type="spellStart"/>
      <w:r w:rsidRPr="00661363">
        <w:rPr>
          <w:rFonts w:asciiTheme="majorBidi" w:hAnsiTheme="majorBidi" w:cstheme="majorBidi"/>
          <w:sz w:val="24"/>
          <w:szCs w:val="24"/>
          <w:shd w:val="clear" w:color="auto" w:fill="FFFFFF"/>
          <w:lang w:val="en-GB"/>
        </w:rPr>
        <w:t>Davaran</w:t>
      </w:r>
      <w:proofErr w:type="spellEnd"/>
      <w:r w:rsidRPr="00661363">
        <w:rPr>
          <w:rFonts w:asciiTheme="majorBidi" w:hAnsiTheme="majorBidi" w:cstheme="majorBidi"/>
          <w:sz w:val="24"/>
          <w:szCs w:val="24"/>
          <w:shd w:val="clear" w:color="auto" w:fill="FFFFFF"/>
          <w:lang w:val="en-GB"/>
        </w:rPr>
        <w:t>, A. D. 2011</w:t>
      </w:r>
      <w:r w:rsidR="00F8163D" w:rsidRPr="00661363">
        <w:rPr>
          <w:rFonts w:asciiTheme="majorBidi" w:hAnsiTheme="majorBidi" w:cstheme="majorBidi"/>
          <w:sz w:val="24"/>
          <w:szCs w:val="24"/>
          <w:shd w:val="clear" w:color="auto" w:fill="FFFFFF"/>
          <w:lang w:val="en-GB"/>
        </w:rPr>
        <w:t>. </w:t>
      </w:r>
      <w:r w:rsidR="00A42493">
        <w:rPr>
          <w:rFonts w:asciiTheme="majorBidi" w:hAnsiTheme="majorBidi" w:cstheme="majorBidi"/>
          <w:sz w:val="24"/>
          <w:szCs w:val="24"/>
          <w:shd w:val="clear" w:color="auto" w:fill="FFFFFF"/>
          <w:lang w:val="en-GB"/>
        </w:rPr>
        <w:t>“</w:t>
      </w:r>
      <w:r w:rsidR="00F8163D" w:rsidRPr="00A42493">
        <w:rPr>
          <w:rFonts w:asciiTheme="majorBidi" w:hAnsiTheme="majorBidi" w:cstheme="majorBidi"/>
          <w:iCs/>
          <w:sz w:val="24"/>
          <w:szCs w:val="24"/>
          <w:shd w:val="clear" w:color="auto" w:fill="FFFFFF"/>
          <w:lang w:val="en-GB"/>
        </w:rPr>
        <w:t>Educational Expectations: A Life Course Perspective</w:t>
      </w:r>
      <w:r w:rsidR="00A42493">
        <w:rPr>
          <w:rFonts w:asciiTheme="majorBidi" w:hAnsiTheme="majorBidi" w:cstheme="majorBidi"/>
          <w:iCs/>
          <w:sz w:val="24"/>
          <w:szCs w:val="24"/>
          <w:shd w:val="clear" w:color="auto" w:fill="FFFFFF"/>
          <w:lang w:val="en-GB"/>
        </w:rPr>
        <w:t>.”</w:t>
      </w:r>
      <w:r w:rsidRPr="00A42493">
        <w:rPr>
          <w:rFonts w:asciiTheme="majorBidi" w:hAnsiTheme="majorBidi" w:cstheme="majorBidi"/>
          <w:sz w:val="24"/>
          <w:szCs w:val="24"/>
          <w:shd w:val="clear" w:color="auto" w:fill="FFFFFF"/>
          <w:lang w:val="en-GB"/>
        </w:rPr>
        <w:t> </w:t>
      </w:r>
      <w:r w:rsidR="00A42493" w:rsidRPr="00A42493">
        <w:rPr>
          <w:rFonts w:asciiTheme="majorBidi" w:hAnsiTheme="majorBidi" w:cstheme="majorBidi"/>
          <w:sz w:val="24"/>
          <w:szCs w:val="24"/>
          <w:shd w:val="clear" w:color="auto" w:fill="FFFFFF"/>
          <w:lang w:val="en-GB"/>
        </w:rPr>
        <w:t>PhD diss.</w:t>
      </w:r>
      <w:r w:rsidR="000D44AE">
        <w:rPr>
          <w:rFonts w:asciiTheme="majorBidi" w:hAnsiTheme="majorBidi" w:cstheme="majorBidi"/>
          <w:sz w:val="24"/>
          <w:szCs w:val="24"/>
          <w:shd w:val="clear" w:color="auto" w:fill="FFFFFF"/>
          <w:lang w:val="en-GB"/>
        </w:rPr>
        <w:t xml:space="preserve">, </w:t>
      </w:r>
      <w:r w:rsidR="00F8163D" w:rsidRPr="00661363">
        <w:rPr>
          <w:rFonts w:asciiTheme="majorBidi" w:hAnsiTheme="majorBidi" w:cstheme="majorBidi"/>
          <w:sz w:val="24"/>
          <w:szCs w:val="24"/>
          <w:shd w:val="clear" w:color="auto" w:fill="FFFFFF"/>
          <w:lang w:val="en-GB"/>
        </w:rPr>
        <w:t>Washington State University.</w:t>
      </w:r>
    </w:p>
    <w:p w14:paraId="6A5562E5" w14:textId="3ED2C3A9" w:rsidR="00F8163D" w:rsidRPr="005541A9" w:rsidRDefault="00701827" w:rsidP="00C03772">
      <w:pPr>
        <w:spacing w:after="0" w:line="480" w:lineRule="auto"/>
        <w:ind w:left="720" w:hanging="720"/>
        <w:rPr>
          <w:rFonts w:asciiTheme="majorBidi" w:hAnsiTheme="majorBidi" w:cstheme="majorBidi"/>
          <w:sz w:val="24"/>
          <w:szCs w:val="24"/>
          <w:shd w:val="clear" w:color="auto" w:fill="FFFFFF"/>
          <w:lang w:val="en-GB"/>
        </w:rPr>
      </w:pPr>
      <w:r w:rsidRPr="005541A9">
        <w:rPr>
          <w:rFonts w:asciiTheme="majorBidi" w:hAnsiTheme="majorBidi" w:cstheme="majorBidi"/>
          <w:sz w:val="24"/>
          <w:szCs w:val="24"/>
          <w:shd w:val="clear" w:color="auto" w:fill="FFFFFF"/>
          <w:lang w:val="en-GB"/>
        </w:rPr>
        <w:lastRenderedPageBreak/>
        <w:t>Davis, S. N., and</w:t>
      </w:r>
      <w:r w:rsidR="00F8163D" w:rsidRPr="005541A9">
        <w:rPr>
          <w:rFonts w:asciiTheme="majorBidi" w:hAnsiTheme="majorBidi" w:cstheme="majorBidi"/>
          <w:sz w:val="24"/>
          <w:szCs w:val="24"/>
          <w:shd w:val="clear" w:color="auto" w:fill="FFFFFF"/>
          <w:lang w:val="en-GB"/>
        </w:rPr>
        <w:t xml:space="preserve"> </w:t>
      </w:r>
      <w:r w:rsidRPr="005541A9">
        <w:rPr>
          <w:rFonts w:asciiTheme="majorBidi" w:hAnsiTheme="majorBidi" w:cstheme="majorBidi"/>
          <w:sz w:val="24"/>
          <w:szCs w:val="24"/>
          <w:shd w:val="clear" w:color="auto" w:fill="FFFFFF"/>
          <w:lang w:val="en-GB"/>
        </w:rPr>
        <w:t xml:space="preserve">L. D. </w:t>
      </w:r>
      <w:r w:rsidR="00F8163D" w:rsidRPr="005541A9">
        <w:rPr>
          <w:rFonts w:asciiTheme="majorBidi" w:hAnsiTheme="majorBidi" w:cstheme="majorBidi"/>
          <w:sz w:val="24"/>
          <w:szCs w:val="24"/>
          <w:shd w:val="clear" w:color="auto" w:fill="FFFFFF"/>
          <w:lang w:val="en-GB"/>
        </w:rPr>
        <w:t>Pearce</w:t>
      </w:r>
      <w:r w:rsidRPr="005541A9">
        <w:rPr>
          <w:rFonts w:asciiTheme="majorBidi" w:hAnsiTheme="majorBidi" w:cstheme="majorBidi"/>
          <w:sz w:val="24"/>
          <w:szCs w:val="24"/>
          <w:shd w:val="clear" w:color="auto" w:fill="FFFFFF"/>
          <w:lang w:val="en-GB"/>
        </w:rPr>
        <w:t>. 2007</w:t>
      </w:r>
      <w:r w:rsidR="00F8163D" w:rsidRPr="005541A9">
        <w:rPr>
          <w:rFonts w:asciiTheme="majorBidi" w:hAnsiTheme="majorBidi" w:cstheme="majorBidi"/>
          <w:sz w:val="24"/>
          <w:szCs w:val="24"/>
          <w:shd w:val="clear" w:color="auto" w:fill="FFFFFF"/>
          <w:lang w:val="en-GB"/>
        </w:rPr>
        <w:t xml:space="preserve">. </w:t>
      </w:r>
      <w:r w:rsidRPr="005541A9">
        <w:rPr>
          <w:rFonts w:asciiTheme="majorBidi" w:hAnsiTheme="majorBidi" w:cstheme="majorBidi"/>
          <w:sz w:val="24"/>
          <w:szCs w:val="24"/>
          <w:shd w:val="clear" w:color="auto" w:fill="FFFFFF"/>
          <w:lang w:val="en-GB"/>
        </w:rPr>
        <w:t>“</w:t>
      </w:r>
      <w:r w:rsidR="00991F2F">
        <w:rPr>
          <w:rFonts w:asciiTheme="majorBidi" w:hAnsiTheme="majorBidi" w:cstheme="majorBidi"/>
          <w:sz w:val="24"/>
          <w:szCs w:val="24"/>
          <w:shd w:val="clear" w:color="auto" w:fill="FFFFFF"/>
          <w:lang w:val="en-GB"/>
        </w:rPr>
        <w:t>Adolescents' Work-F</w:t>
      </w:r>
      <w:r w:rsidR="00DF090E" w:rsidRPr="00DF090E">
        <w:rPr>
          <w:rFonts w:asciiTheme="majorBidi" w:hAnsiTheme="majorBidi" w:cstheme="majorBidi"/>
          <w:sz w:val="24"/>
          <w:szCs w:val="24"/>
          <w:shd w:val="clear" w:color="auto" w:fill="FFFFFF"/>
          <w:lang w:val="en-GB"/>
        </w:rPr>
        <w:t>amily Gender Ideologies and Educational Expectations</w:t>
      </w:r>
      <w:r w:rsidR="00F8163D" w:rsidRPr="005541A9">
        <w:rPr>
          <w:rFonts w:asciiTheme="majorBidi" w:hAnsiTheme="majorBidi" w:cstheme="majorBidi"/>
          <w:sz w:val="24"/>
          <w:szCs w:val="24"/>
          <w:shd w:val="clear" w:color="auto" w:fill="FFFFFF"/>
          <w:lang w:val="en-GB"/>
        </w:rPr>
        <w:t>.</w:t>
      </w:r>
      <w:r w:rsidRPr="005541A9">
        <w:rPr>
          <w:rFonts w:asciiTheme="majorBidi" w:hAnsiTheme="majorBidi" w:cstheme="majorBidi"/>
          <w:sz w:val="24"/>
          <w:szCs w:val="24"/>
          <w:shd w:val="clear" w:color="auto" w:fill="FFFFFF"/>
          <w:lang w:val="en-GB"/>
        </w:rPr>
        <w:t>”</w:t>
      </w:r>
      <w:r w:rsidR="00F8163D" w:rsidRPr="005541A9">
        <w:rPr>
          <w:rFonts w:asciiTheme="majorBidi" w:hAnsiTheme="majorBidi" w:cstheme="majorBidi"/>
          <w:sz w:val="24"/>
          <w:szCs w:val="24"/>
          <w:shd w:val="clear" w:color="auto" w:fill="FFFFFF"/>
          <w:lang w:val="en-GB"/>
        </w:rPr>
        <w:t> </w:t>
      </w:r>
      <w:r w:rsidR="00B4658F">
        <w:rPr>
          <w:rFonts w:asciiTheme="majorBidi" w:hAnsiTheme="majorBidi" w:cstheme="majorBidi"/>
          <w:i/>
          <w:iCs/>
          <w:sz w:val="24"/>
          <w:szCs w:val="24"/>
          <w:shd w:val="clear" w:color="auto" w:fill="FFFFFF"/>
          <w:lang w:val="en-GB"/>
        </w:rPr>
        <w:t>Sociological P</w:t>
      </w:r>
      <w:r w:rsidR="00F8163D" w:rsidRPr="005541A9">
        <w:rPr>
          <w:rFonts w:asciiTheme="majorBidi" w:hAnsiTheme="majorBidi" w:cstheme="majorBidi"/>
          <w:i/>
          <w:iCs/>
          <w:sz w:val="24"/>
          <w:szCs w:val="24"/>
          <w:shd w:val="clear" w:color="auto" w:fill="FFFFFF"/>
          <w:lang w:val="en-GB"/>
        </w:rPr>
        <w:t>erspectives</w:t>
      </w:r>
      <w:r w:rsidR="00F8163D" w:rsidRPr="005541A9">
        <w:rPr>
          <w:rFonts w:asciiTheme="majorBidi" w:hAnsiTheme="majorBidi" w:cstheme="majorBidi"/>
          <w:sz w:val="24"/>
          <w:szCs w:val="24"/>
          <w:shd w:val="clear" w:color="auto" w:fill="FFFFFF"/>
          <w:lang w:val="en-GB"/>
        </w:rPr>
        <w:t> </w:t>
      </w:r>
      <w:r w:rsidR="00F8163D" w:rsidRPr="005541A9">
        <w:rPr>
          <w:rFonts w:asciiTheme="majorBidi" w:hAnsiTheme="majorBidi" w:cstheme="majorBidi"/>
          <w:iCs/>
          <w:sz w:val="24"/>
          <w:szCs w:val="24"/>
          <w:shd w:val="clear" w:color="auto" w:fill="FFFFFF"/>
          <w:lang w:val="en-GB"/>
        </w:rPr>
        <w:t>50</w:t>
      </w:r>
      <w:r w:rsidRPr="005541A9">
        <w:rPr>
          <w:rFonts w:asciiTheme="majorBidi" w:hAnsiTheme="majorBidi" w:cstheme="majorBidi"/>
          <w:sz w:val="24"/>
          <w:szCs w:val="24"/>
          <w:shd w:val="clear" w:color="auto" w:fill="FFFFFF"/>
          <w:lang w:val="en-GB"/>
        </w:rPr>
        <w:t xml:space="preserve"> </w:t>
      </w:r>
      <w:r w:rsidR="00F8163D" w:rsidRPr="005541A9">
        <w:rPr>
          <w:rFonts w:asciiTheme="majorBidi" w:hAnsiTheme="majorBidi" w:cstheme="majorBidi"/>
          <w:sz w:val="24"/>
          <w:szCs w:val="24"/>
          <w:shd w:val="clear" w:color="auto" w:fill="FFFFFF"/>
          <w:lang w:val="en-GB"/>
        </w:rPr>
        <w:t>(2)</w:t>
      </w:r>
      <w:r w:rsidRPr="005541A9">
        <w:rPr>
          <w:rFonts w:asciiTheme="majorBidi" w:hAnsiTheme="majorBidi" w:cstheme="majorBidi"/>
          <w:sz w:val="24"/>
          <w:szCs w:val="24"/>
          <w:shd w:val="clear" w:color="auto" w:fill="FFFFFF"/>
          <w:lang w:val="en-GB"/>
        </w:rPr>
        <w:t>:</w:t>
      </w:r>
      <w:r w:rsidR="00F8163D" w:rsidRPr="005541A9">
        <w:rPr>
          <w:rFonts w:asciiTheme="majorBidi" w:hAnsiTheme="majorBidi" w:cstheme="majorBidi"/>
          <w:sz w:val="24"/>
          <w:szCs w:val="24"/>
          <w:shd w:val="clear" w:color="auto" w:fill="FFFFFF"/>
          <w:lang w:val="en-GB"/>
        </w:rPr>
        <w:t xml:space="preserve"> 249-271. </w:t>
      </w:r>
      <w:r w:rsidRPr="005541A9">
        <w:rPr>
          <w:rFonts w:asciiTheme="majorBidi" w:hAnsiTheme="majorBidi" w:cstheme="majorBidi"/>
          <w:sz w:val="24"/>
          <w:szCs w:val="24"/>
          <w:shd w:val="clear" w:color="auto" w:fill="FFFFFF"/>
          <w:lang w:val="en-GB"/>
        </w:rPr>
        <w:t>doi:</w:t>
      </w:r>
      <w:r w:rsidR="00993F60" w:rsidRPr="005541A9">
        <w:rPr>
          <w:rFonts w:asciiTheme="majorBidi" w:hAnsiTheme="majorBidi" w:cstheme="majorBidi"/>
          <w:sz w:val="24"/>
          <w:szCs w:val="24"/>
          <w:shd w:val="clear" w:color="auto" w:fill="FFFFFF"/>
          <w:lang w:val="en-GB"/>
        </w:rPr>
        <w:t>10.1525/sop.2007.50.2.249</w:t>
      </w:r>
      <w:r w:rsidR="005541A9" w:rsidRPr="005541A9">
        <w:rPr>
          <w:rFonts w:asciiTheme="majorBidi" w:hAnsiTheme="majorBidi" w:cstheme="majorBidi"/>
          <w:sz w:val="24"/>
          <w:szCs w:val="24"/>
          <w:shd w:val="clear" w:color="auto" w:fill="FFFFFF"/>
          <w:lang w:val="en-GB"/>
        </w:rPr>
        <w:t>.</w:t>
      </w:r>
    </w:p>
    <w:p w14:paraId="18DEF245" w14:textId="79FF892A" w:rsidR="00993F60" w:rsidRPr="00496A0D" w:rsidRDefault="00993F60" w:rsidP="00C03772">
      <w:pPr>
        <w:spacing w:after="0" w:line="480" w:lineRule="auto"/>
        <w:ind w:left="720" w:hanging="720"/>
        <w:rPr>
          <w:rFonts w:asciiTheme="majorBidi" w:hAnsiTheme="majorBidi" w:cstheme="majorBidi"/>
          <w:sz w:val="24"/>
          <w:szCs w:val="24"/>
          <w:shd w:val="clear" w:color="auto" w:fill="FFFFFF"/>
          <w:lang w:val="en-GB"/>
        </w:rPr>
      </w:pPr>
      <w:r w:rsidRPr="002860B1">
        <w:rPr>
          <w:rFonts w:asciiTheme="majorBidi" w:hAnsiTheme="majorBidi" w:cstheme="majorBidi"/>
          <w:sz w:val="24"/>
          <w:szCs w:val="24"/>
          <w:shd w:val="clear" w:color="auto" w:fill="FFFFFF"/>
          <w:lang w:val="en-GB"/>
        </w:rPr>
        <w:t xml:space="preserve">Deil-Amen, R. J., </w:t>
      </w:r>
      <w:r w:rsidR="0022627D" w:rsidRPr="002860B1">
        <w:rPr>
          <w:rFonts w:asciiTheme="majorBidi" w:hAnsiTheme="majorBidi" w:cstheme="majorBidi"/>
          <w:sz w:val="24"/>
          <w:szCs w:val="24"/>
          <w:shd w:val="clear" w:color="auto" w:fill="FFFFFF"/>
          <w:lang w:val="en-GB"/>
        </w:rPr>
        <w:t>and</w:t>
      </w:r>
      <w:r w:rsidRPr="002860B1">
        <w:rPr>
          <w:rFonts w:asciiTheme="majorBidi" w:hAnsiTheme="majorBidi" w:cstheme="majorBidi"/>
          <w:sz w:val="24"/>
          <w:szCs w:val="24"/>
          <w:shd w:val="clear" w:color="auto" w:fill="FFFFFF"/>
          <w:lang w:val="en-GB"/>
        </w:rPr>
        <w:t xml:space="preserve"> </w:t>
      </w:r>
      <w:r w:rsidR="0022627D" w:rsidRPr="002860B1">
        <w:rPr>
          <w:rFonts w:asciiTheme="majorBidi" w:hAnsiTheme="majorBidi" w:cstheme="majorBidi"/>
          <w:sz w:val="24"/>
          <w:szCs w:val="24"/>
          <w:shd w:val="clear" w:color="auto" w:fill="FFFFFF"/>
          <w:lang w:val="en-GB"/>
        </w:rPr>
        <w:t xml:space="preserve">G. </w:t>
      </w:r>
      <w:r w:rsidRPr="002860B1">
        <w:rPr>
          <w:rFonts w:asciiTheme="majorBidi" w:hAnsiTheme="majorBidi" w:cstheme="majorBidi"/>
          <w:sz w:val="24"/>
          <w:szCs w:val="24"/>
          <w:shd w:val="clear" w:color="auto" w:fill="FFFFFF"/>
          <w:lang w:val="en-GB"/>
        </w:rPr>
        <w:t>Martinez</w:t>
      </w:r>
      <w:r w:rsidR="0022627D" w:rsidRPr="002860B1">
        <w:rPr>
          <w:rFonts w:asciiTheme="majorBidi" w:hAnsiTheme="majorBidi" w:cstheme="majorBidi"/>
          <w:sz w:val="24"/>
          <w:szCs w:val="24"/>
          <w:shd w:val="clear" w:color="auto" w:fill="FFFFFF"/>
          <w:lang w:val="en-GB"/>
        </w:rPr>
        <w:t>. 2015</w:t>
      </w:r>
      <w:r w:rsidRPr="002860B1">
        <w:rPr>
          <w:rFonts w:asciiTheme="majorBidi" w:hAnsiTheme="majorBidi" w:cstheme="majorBidi"/>
          <w:sz w:val="24"/>
          <w:szCs w:val="24"/>
          <w:shd w:val="clear" w:color="auto" w:fill="FFFFFF"/>
          <w:lang w:val="en-GB"/>
        </w:rPr>
        <w:t xml:space="preserve">. </w:t>
      </w:r>
      <w:r w:rsidR="0022627D" w:rsidRPr="002860B1">
        <w:rPr>
          <w:rFonts w:asciiTheme="majorBidi" w:hAnsiTheme="majorBidi" w:cstheme="majorBidi"/>
          <w:sz w:val="24"/>
          <w:szCs w:val="24"/>
          <w:shd w:val="clear" w:color="auto" w:fill="FFFFFF"/>
          <w:lang w:val="en-GB"/>
        </w:rPr>
        <w:t>“</w:t>
      </w:r>
      <w:r w:rsidR="00FC2197" w:rsidRPr="00FC2197">
        <w:rPr>
          <w:rFonts w:asciiTheme="majorBidi" w:hAnsiTheme="majorBidi" w:cstheme="majorBidi"/>
          <w:sz w:val="24"/>
          <w:szCs w:val="24"/>
          <w:shd w:val="clear" w:color="auto" w:fill="FFFFFF"/>
          <w:lang w:val="en-GB"/>
        </w:rPr>
        <w:t>College for All Latinos? The Role of High School Messages in Facing College Challenges</w:t>
      </w:r>
      <w:r w:rsidRPr="00496A0D">
        <w:rPr>
          <w:rFonts w:asciiTheme="majorBidi" w:hAnsiTheme="majorBidi" w:cstheme="majorBidi"/>
          <w:sz w:val="24"/>
          <w:szCs w:val="24"/>
          <w:shd w:val="clear" w:color="auto" w:fill="FFFFFF"/>
          <w:lang w:val="en-GB"/>
        </w:rPr>
        <w:t>.</w:t>
      </w:r>
      <w:r w:rsidR="0022627D" w:rsidRPr="00496A0D">
        <w:rPr>
          <w:rFonts w:asciiTheme="majorBidi" w:hAnsiTheme="majorBidi" w:cstheme="majorBidi"/>
          <w:sz w:val="24"/>
          <w:szCs w:val="24"/>
          <w:shd w:val="clear" w:color="auto" w:fill="FFFFFF"/>
          <w:lang w:val="en-GB"/>
        </w:rPr>
        <w:t>”</w:t>
      </w:r>
      <w:r w:rsidRPr="00496A0D">
        <w:rPr>
          <w:rFonts w:asciiTheme="majorBidi" w:hAnsiTheme="majorBidi" w:cstheme="majorBidi"/>
          <w:sz w:val="24"/>
          <w:szCs w:val="24"/>
          <w:shd w:val="clear" w:color="auto" w:fill="FFFFFF"/>
          <w:lang w:val="en-GB"/>
        </w:rPr>
        <w:t> </w:t>
      </w:r>
      <w:r w:rsidRPr="00496A0D">
        <w:rPr>
          <w:rFonts w:asciiTheme="majorBidi" w:hAnsiTheme="majorBidi" w:cstheme="majorBidi"/>
          <w:i/>
          <w:iCs/>
          <w:sz w:val="24"/>
          <w:szCs w:val="24"/>
          <w:shd w:val="clear" w:color="auto" w:fill="FFFFFF"/>
          <w:lang w:val="en-GB"/>
        </w:rPr>
        <w:t>Teachers College Record</w:t>
      </w:r>
      <w:r w:rsidRPr="00496A0D">
        <w:rPr>
          <w:rFonts w:asciiTheme="majorBidi" w:hAnsiTheme="majorBidi" w:cstheme="majorBidi"/>
          <w:sz w:val="24"/>
          <w:szCs w:val="24"/>
          <w:shd w:val="clear" w:color="auto" w:fill="FFFFFF"/>
          <w:lang w:val="en-GB"/>
        </w:rPr>
        <w:t> </w:t>
      </w:r>
      <w:r w:rsidRPr="00496A0D">
        <w:rPr>
          <w:rFonts w:asciiTheme="majorBidi" w:hAnsiTheme="majorBidi" w:cstheme="majorBidi"/>
          <w:iCs/>
          <w:sz w:val="24"/>
          <w:szCs w:val="24"/>
          <w:shd w:val="clear" w:color="auto" w:fill="FFFFFF"/>
          <w:lang w:val="en-GB"/>
        </w:rPr>
        <w:t>117</w:t>
      </w:r>
      <w:r w:rsidR="0022627D" w:rsidRPr="00496A0D">
        <w:rPr>
          <w:rFonts w:asciiTheme="majorBidi" w:hAnsiTheme="majorBidi" w:cstheme="majorBidi"/>
          <w:sz w:val="24"/>
          <w:szCs w:val="24"/>
          <w:shd w:val="clear" w:color="auto" w:fill="FFFFFF"/>
          <w:lang w:val="en-GB"/>
        </w:rPr>
        <w:t xml:space="preserve"> </w:t>
      </w:r>
      <w:r w:rsidRPr="00496A0D">
        <w:rPr>
          <w:rFonts w:asciiTheme="majorBidi" w:hAnsiTheme="majorBidi" w:cstheme="majorBidi"/>
          <w:sz w:val="24"/>
          <w:szCs w:val="24"/>
          <w:shd w:val="clear" w:color="auto" w:fill="FFFFFF"/>
          <w:lang w:val="en-GB"/>
        </w:rPr>
        <w:t>(3)</w:t>
      </w:r>
      <w:r w:rsidR="0022627D" w:rsidRPr="00496A0D">
        <w:rPr>
          <w:rFonts w:asciiTheme="majorBidi" w:hAnsiTheme="majorBidi" w:cstheme="majorBidi"/>
          <w:sz w:val="24"/>
          <w:szCs w:val="24"/>
          <w:shd w:val="clear" w:color="auto" w:fill="FFFFFF"/>
          <w:lang w:val="en-GB"/>
        </w:rPr>
        <w:t>:</w:t>
      </w:r>
      <w:r w:rsidRPr="00496A0D">
        <w:rPr>
          <w:rFonts w:asciiTheme="majorBidi" w:hAnsiTheme="majorBidi" w:cstheme="majorBidi"/>
          <w:sz w:val="24"/>
          <w:szCs w:val="24"/>
          <w:shd w:val="clear" w:color="auto" w:fill="FFFFFF"/>
          <w:lang w:val="en-GB"/>
        </w:rPr>
        <w:t xml:space="preserve"> 1-50.</w:t>
      </w:r>
    </w:p>
    <w:p w14:paraId="68BFCD92" w14:textId="0E21BEA2" w:rsidR="00F8163D" w:rsidRPr="00496A0D" w:rsidRDefault="00306977" w:rsidP="00C03772">
      <w:pPr>
        <w:spacing w:after="0" w:line="480" w:lineRule="auto"/>
        <w:ind w:left="720" w:hanging="720"/>
        <w:rPr>
          <w:rFonts w:asciiTheme="majorBidi" w:hAnsiTheme="majorBidi" w:cstheme="majorBidi"/>
          <w:sz w:val="24"/>
          <w:szCs w:val="24"/>
          <w:shd w:val="clear" w:color="auto" w:fill="FFFFFF"/>
          <w:lang w:val="en-GB"/>
        </w:rPr>
      </w:pPr>
      <w:r w:rsidRPr="00496A0D">
        <w:rPr>
          <w:rFonts w:asciiTheme="majorBidi" w:hAnsiTheme="majorBidi" w:cstheme="majorBidi"/>
          <w:sz w:val="24"/>
          <w:szCs w:val="24"/>
          <w:shd w:val="clear" w:color="auto" w:fill="FFFFFF"/>
          <w:lang w:val="en-GB"/>
        </w:rPr>
        <w:t>Dong, Y., and</w:t>
      </w:r>
      <w:r w:rsidR="00F8163D" w:rsidRPr="00496A0D">
        <w:rPr>
          <w:rFonts w:asciiTheme="majorBidi" w:hAnsiTheme="majorBidi" w:cstheme="majorBidi"/>
          <w:sz w:val="24"/>
          <w:szCs w:val="24"/>
          <w:shd w:val="clear" w:color="auto" w:fill="FFFFFF"/>
          <w:lang w:val="en-GB"/>
        </w:rPr>
        <w:t xml:space="preserve"> </w:t>
      </w:r>
      <w:r w:rsidRPr="00496A0D">
        <w:rPr>
          <w:rFonts w:asciiTheme="majorBidi" w:hAnsiTheme="majorBidi" w:cstheme="majorBidi"/>
          <w:sz w:val="24"/>
          <w:szCs w:val="24"/>
          <w:shd w:val="clear" w:color="auto" w:fill="FFFFFF"/>
          <w:lang w:val="en-GB"/>
        </w:rPr>
        <w:t xml:space="preserve">C. Y. J. </w:t>
      </w:r>
      <w:r w:rsidR="00F8163D" w:rsidRPr="00496A0D">
        <w:rPr>
          <w:rFonts w:asciiTheme="majorBidi" w:hAnsiTheme="majorBidi" w:cstheme="majorBidi"/>
          <w:sz w:val="24"/>
          <w:szCs w:val="24"/>
          <w:shd w:val="clear" w:color="auto" w:fill="FFFFFF"/>
          <w:lang w:val="en-GB"/>
        </w:rPr>
        <w:t>Peng</w:t>
      </w:r>
      <w:r w:rsidRPr="00496A0D">
        <w:rPr>
          <w:rFonts w:asciiTheme="majorBidi" w:hAnsiTheme="majorBidi" w:cstheme="majorBidi"/>
          <w:sz w:val="24"/>
          <w:szCs w:val="24"/>
          <w:shd w:val="clear" w:color="auto" w:fill="FFFFFF"/>
          <w:lang w:val="en-GB"/>
        </w:rPr>
        <w:t>. 2013</w:t>
      </w:r>
      <w:r w:rsidR="00F8163D" w:rsidRPr="00496A0D">
        <w:rPr>
          <w:rFonts w:asciiTheme="majorBidi" w:hAnsiTheme="majorBidi" w:cstheme="majorBidi"/>
          <w:sz w:val="24"/>
          <w:szCs w:val="24"/>
          <w:shd w:val="clear" w:color="auto" w:fill="FFFFFF"/>
          <w:lang w:val="en-GB"/>
        </w:rPr>
        <w:t xml:space="preserve">. </w:t>
      </w:r>
      <w:r w:rsidRPr="00496A0D">
        <w:rPr>
          <w:rFonts w:asciiTheme="majorBidi" w:hAnsiTheme="majorBidi" w:cstheme="majorBidi"/>
          <w:sz w:val="24"/>
          <w:szCs w:val="24"/>
          <w:shd w:val="clear" w:color="auto" w:fill="FFFFFF"/>
          <w:lang w:val="en-GB"/>
        </w:rPr>
        <w:t>“</w:t>
      </w:r>
      <w:r w:rsidR="00C83BAB" w:rsidRPr="00C83BAB">
        <w:rPr>
          <w:rFonts w:asciiTheme="majorBidi" w:hAnsiTheme="majorBidi" w:cstheme="majorBidi"/>
          <w:sz w:val="24"/>
          <w:szCs w:val="24"/>
          <w:shd w:val="clear" w:color="auto" w:fill="FFFFFF"/>
          <w:lang w:val="en-GB"/>
        </w:rPr>
        <w:t>Principled Missing Data Methods for Researchers</w:t>
      </w:r>
      <w:r w:rsidR="00F8163D" w:rsidRPr="00496A0D">
        <w:rPr>
          <w:rFonts w:asciiTheme="majorBidi" w:hAnsiTheme="majorBidi" w:cstheme="majorBidi"/>
          <w:sz w:val="24"/>
          <w:szCs w:val="24"/>
          <w:shd w:val="clear" w:color="auto" w:fill="FFFFFF"/>
          <w:lang w:val="en-GB"/>
        </w:rPr>
        <w:t>.</w:t>
      </w:r>
      <w:r w:rsidRPr="00496A0D">
        <w:rPr>
          <w:rFonts w:asciiTheme="majorBidi" w:hAnsiTheme="majorBidi" w:cstheme="majorBidi"/>
          <w:sz w:val="24"/>
          <w:szCs w:val="24"/>
          <w:shd w:val="clear" w:color="auto" w:fill="FFFFFF"/>
          <w:lang w:val="en-GB"/>
        </w:rPr>
        <w:t>”</w:t>
      </w:r>
      <w:r w:rsidR="00F8163D" w:rsidRPr="00496A0D">
        <w:rPr>
          <w:rFonts w:asciiTheme="majorBidi" w:hAnsiTheme="majorBidi" w:cstheme="majorBidi"/>
          <w:sz w:val="24"/>
          <w:szCs w:val="24"/>
          <w:shd w:val="clear" w:color="auto" w:fill="FFFFFF"/>
          <w:lang w:val="en-GB"/>
        </w:rPr>
        <w:t> </w:t>
      </w:r>
      <w:proofErr w:type="spellStart"/>
      <w:r w:rsidR="00F8163D" w:rsidRPr="00496A0D">
        <w:rPr>
          <w:rFonts w:asciiTheme="majorBidi" w:hAnsiTheme="majorBidi" w:cstheme="majorBidi"/>
          <w:i/>
          <w:iCs/>
          <w:sz w:val="24"/>
          <w:szCs w:val="24"/>
          <w:shd w:val="clear" w:color="auto" w:fill="FFFFFF"/>
          <w:lang w:val="en-GB"/>
        </w:rPr>
        <w:t>SpringerPlus</w:t>
      </w:r>
      <w:proofErr w:type="spellEnd"/>
      <w:r w:rsidR="00F8163D" w:rsidRPr="00496A0D">
        <w:rPr>
          <w:rFonts w:asciiTheme="majorBidi" w:hAnsiTheme="majorBidi" w:cstheme="majorBidi"/>
          <w:sz w:val="24"/>
          <w:szCs w:val="24"/>
          <w:shd w:val="clear" w:color="auto" w:fill="FFFFFF"/>
          <w:lang w:val="en-GB"/>
        </w:rPr>
        <w:t> </w:t>
      </w:r>
      <w:r w:rsidR="00F8163D" w:rsidRPr="00496A0D">
        <w:rPr>
          <w:rFonts w:asciiTheme="majorBidi" w:hAnsiTheme="majorBidi" w:cstheme="majorBidi"/>
          <w:iCs/>
          <w:sz w:val="24"/>
          <w:szCs w:val="24"/>
          <w:shd w:val="clear" w:color="auto" w:fill="FFFFFF"/>
          <w:lang w:val="en-GB"/>
        </w:rPr>
        <w:t>2</w:t>
      </w:r>
      <w:r w:rsidRPr="00496A0D">
        <w:rPr>
          <w:rFonts w:asciiTheme="majorBidi" w:hAnsiTheme="majorBidi" w:cstheme="majorBidi"/>
          <w:i/>
          <w:iCs/>
          <w:sz w:val="24"/>
          <w:szCs w:val="24"/>
          <w:shd w:val="clear" w:color="auto" w:fill="FFFFFF"/>
          <w:lang w:val="en-GB"/>
        </w:rPr>
        <w:t xml:space="preserve"> </w:t>
      </w:r>
      <w:r w:rsidR="00F8163D" w:rsidRPr="00496A0D">
        <w:rPr>
          <w:rFonts w:asciiTheme="majorBidi" w:hAnsiTheme="majorBidi" w:cstheme="majorBidi"/>
          <w:sz w:val="24"/>
          <w:szCs w:val="24"/>
          <w:shd w:val="clear" w:color="auto" w:fill="FFFFFF"/>
          <w:lang w:val="en-GB"/>
        </w:rPr>
        <w:t xml:space="preserve">(1), 222. </w:t>
      </w:r>
      <w:proofErr w:type="gramStart"/>
      <w:r w:rsidR="001031FE" w:rsidRPr="00496A0D">
        <w:rPr>
          <w:rFonts w:asciiTheme="majorBidi" w:hAnsiTheme="majorBidi" w:cstheme="majorBidi"/>
          <w:sz w:val="24"/>
          <w:szCs w:val="24"/>
          <w:shd w:val="clear" w:color="auto" w:fill="FFFFFF"/>
          <w:lang w:val="en-GB"/>
        </w:rPr>
        <w:t>doi:</w:t>
      </w:r>
      <w:proofErr w:type="gramEnd"/>
      <w:r w:rsidR="00F8163D" w:rsidRPr="00496A0D">
        <w:rPr>
          <w:rFonts w:asciiTheme="majorBidi" w:hAnsiTheme="majorBidi" w:cstheme="majorBidi"/>
          <w:sz w:val="24"/>
          <w:szCs w:val="24"/>
          <w:shd w:val="clear" w:color="auto" w:fill="FFFFFF"/>
          <w:lang w:val="en-GB"/>
        </w:rPr>
        <w:t>10.1186/2193-1801-2-222</w:t>
      </w:r>
      <w:r w:rsidR="00496A0D" w:rsidRPr="00496A0D">
        <w:rPr>
          <w:rFonts w:asciiTheme="majorBidi" w:hAnsiTheme="majorBidi" w:cstheme="majorBidi"/>
          <w:sz w:val="24"/>
          <w:szCs w:val="24"/>
          <w:shd w:val="clear" w:color="auto" w:fill="FFFFFF"/>
          <w:lang w:val="en-GB"/>
        </w:rPr>
        <w:t>.</w:t>
      </w:r>
    </w:p>
    <w:p w14:paraId="213E46D6" w14:textId="5342B99E" w:rsidR="00F8163D" w:rsidRPr="00442120" w:rsidRDefault="00F8163D" w:rsidP="00C03772">
      <w:pPr>
        <w:spacing w:after="0" w:line="480" w:lineRule="auto"/>
        <w:ind w:left="720" w:hanging="720"/>
        <w:rPr>
          <w:rFonts w:asciiTheme="majorBidi" w:hAnsiTheme="majorBidi" w:cstheme="majorBidi"/>
          <w:sz w:val="24"/>
          <w:szCs w:val="24"/>
          <w:shd w:val="clear" w:color="auto" w:fill="FFFFFF"/>
          <w:lang w:val="en-GB"/>
        </w:rPr>
      </w:pPr>
      <w:proofErr w:type="spellStart"/>
      <w:r w:rsidRPr="00442120">
        <w:rPr>
          <w:rFonts w:asciiTheme="majorBidi" w:hAnsiTheme="majorBidi" w:cstheme="majorBidi"/>
          <w:sz w:val="24"/>
          <w:szCs w:val="24"/>
          <w:shd w:val="clear" w:color="auto" w:fill="FFFFFF"/>
          <w:lang w:val="en-GB"/>
        </w:rPr>
        <w:t>Dubow</w:t>
      </w:r>
      <w:proofErr w:type="spellEnd"/>
      <w:r w:rsidRPr="00442120">
        <w:rPr>
          <w:rFonts w:asciiTheme="majorBidi" w:hAnsiTheme="majorBidi" w:cstheme="majorBidi"/>
          <w:sz w:val="24"/>
          <w:szCs w:val="24"/>
          <w:shd w:val="clear" w:color="auto" w:fill="FFFFFF"/>
          <w:lang w:val="en-GB"/>
        </w:rPr>
        <w:t xml:space="preserve">, E. F., </w:t>
      </w:r>
      <w:r w:rsidR="00E13D84" w:rsidRPr="00442120">
        <w:rPr>
          <w:rFonts w:asciiTheme="majorBidi" w:hAnsiTheme="majorBidi" w:cstheme="majorBidi"/>
          <w:sz w:val="24"/>
          <w:szCs w:val="24"/>
          <w:shd w:val="clear" w:color="auto" w:fill="FFFFFF"/>
          <w:lang w:val="en-GB"/>
        </w:rPr>
        <w:t xml:space="preserve">P. </w:t>
      </w:r>
      <w:r w:rsidRPr="00442120">
        <w:rPr>
          <w:rFonts w:asciiTheme="majorBidi" w:hAnsiTheme="majorBidi" w:cstheme="majorBidi"/>
          <w:sz w:val="24"/>
          <w:szCs w:val="24"/>
          <w:shd w:val="clear" w:color="auto" w:fill="FFFFFF"/>
          <w:lang w:val="en-GB"/>
        </w:rPr>
        <w:t xml:space="preserve">Boxer, </w:t>
      </w:r>
      <w:r w:rsidR="00E13D84" w:rsidRPr="00442120">
        <w:rPr>
          <w:rFonts w:asciiTheme="majorBidi" w:hAnsiTheme="majorBidi" w:cstheme="majorBidi"/>
          <w:sz w:val="24"/>
          <w:szCs w:val="24"/>
          <w:shd w:val="clear" w:color="auto" w:fill="FFFFFF"/>
          <w:lang w:val="en-GB"/>
        </w:rPr>
        <w:t>and</w:t>
      </w:r>
      <w:r w:rsidRPr="00442120">
        <w:rPr>
          <w:rFonts w:asciiTheme="majorBidi" w:hAnsiTheme="majorBidi" w:cstheme="majorBidi"/>
          <w:sz w:val="24"/>
          <w:szCs w:val="24"/>
          <w:shd w:val="clear" w:color="auto" w:fill="FFFFFF"/>
          <w:lang w:val="en-GB"/>
        </w:rPr>
        <w:t xml:space="preserve"> </w:t>
      </w:r>
      <w:r w:rsidR="00E13D84" w:rsidRPr="00442120">
        <w:rPr>
          <w:rFonts w:asciiTheme="majorBidi" w:hAnsiTheme="majorBidi" w:cstheme="majorBidi"/>
          <w:sz w:val="24"/>
          <w:szCs w:val="24"/>
          <w:shd w:val="clear" w:color="auto" w:fill="FFFFFF"/>
          <w:lang w:val="en-GB"/>
        </w:rPr>
        <w:t xml:space="preserve">L. R. </w:t>
      </w:r>
      <w:proofErr w:type="spellStart"/>
      <w:r w:rsidRPr="00442120">
        <w:rPr>
          <w:rFonts w:asciiTheme="majorBidi" w:hAnsiTheme="majorBidi" w:cstheme="majorBidi"/>
          <w:sz w:val="24"/>
          <w:szCs w:val="24"/>
          <w:shd w:val="clear" w:color="auto" w:fill="FFFFFF"/>
          <w:lang w:val="en-GB"/>
        </w:rPr>
        <w:t>Huesmann</w:t>
      </w:r>
      <w:proofErr w:type="spellEnd"/>
      <w:r w:rsidR="00E13D84" w:rsidRPr="00442120">
        <w:rPr>
          <w:rFonts w:asciiTheme="majorBidi" w:hAnsiTheme="majorBidi" w:cstheme="majorBidi"/>
          <w:sz w:val="24"/>
          <w:szCs w:val="24"/>
          <w:shd w:val="clear" w:color="auto" w:fill="FFFFFF"/>
          <w:lang w:val="en-GB"/>
        </w:rPr>
        <w:t>. 2009</w:t>
      </w:r>
      <w:r w:rsidRPr="00442120">
        <w:rPr>
          <w:rFonts w:asciiTheme="majorBidi" w:hAnsiTheme="majorBidi" w:cstheme="majorBidi"/>
          <w:sz w:val="24"/>
          <w:szCs w:val="24"/>
          <w:shd w:val="clear" w:color="auto" w:fill="FFFFFF"/>
          <w:lang w:val="en-GB"/>
        </w:rPr>
        <w:t xml:space="preserve">. </w:t>
      </w:r>
      <w:r w:rsidR="00E13D84" w:rsidRPr="00442120">
        <w:rPr>
          <w:rFonts w:asciiTheme="majorBidi" w:hAnsiTheme="majorBidi" w:cstheme="majorBidi"/>
          <w:sz w:val="24"/>
          <w:szCs w:val="24"/>
          <w:shd w:val="clear" w:color="auto" w:fill="FFFFFF"/>
          <w:lang w:val="en-GB"/>
        </w:rPr>
        <w:t>“</w:t>
      </w:r>
      <w:r w:rsidR="006A142E" w:rsidRPr="006A142E">
        <w:rPr>
          <w:rFonts w:asciiTheme="majorBidi" w:hAnsiTheme="majorBidi" w:cstheme="majorBidi"/>
          <w:sz w:val="24"/>
          <w:szCs w:val="24"/>
          <w:shd w:val="clear" w:color="auto" w:fill="FFFFFF"/>
          <w:lang w:val="en-GB"/>
        </w:rPr>
        <w:t>Long-term Effects of Parents' Education on Children's Educational and Occupational Success: Mediation by Family Interactions, Child Aggression, and Teenage Aspirations</w:t>
      </w:r>
      <w:r w:rsidRPr="00442120">
        <w:rPr>
          <w:rFonts w:asciiTheme="majorBidi" w:hAnsiTheme="majorBidi" w:cstheme="majorBidi"/>
          <w:sz w:val="24"/>
          <w:szCs w:val="24"/>
          <w:shd w:val="clear" w:color="auto" w:fill="FFFFFF"/>
          <w:lang w:val="en-GB"/>
        </w:rPr>
        <w:t>.</w:t>
      </w:r>
      <w:r w:rsidR="00E13D84" w:rsidRPr="00442120">
        <w:rPr>
          <w:rFonts w:asciiTheme="majorBidi" w:hAnsiTheme="majorBidi" w:cstheme="majorBidi"/>
          <w:sz w:val="24"/>
          <w:szCs w:val="24"/>
          <w:shd w:val="clear" w:color="auto" w:fill="FFFFFF"/>
          <w:lang w:val="en-GB"/>
        </w:rPr>
        <w:t>”</w:t>
      </w:r>
      <w:r w:rsidRPr="00442120">
        <w:rPr>
          <w:rFonts w:asciiTheme="majorBidi" w:hAnsiTheme="majorBidi" w:cstheme="majorBidi"/>
          <w:sz w:val="24"/>
          <w:szCs w:val="24"/>
          <w:shd w:val="clear" w:color="auto" w:fill="FFFFFF"/>
          <w:lang w:val="en-GB"/>
        </w:rPr>
        <w:t> </w:t>
      </w:r>
      <w:r w:rsidR="00E13D84" w:rsidRPr="00442120">
        <w:rPr>
          <w:rStyle w:val="Emphasis"/>
          <w:rFonts w:asciiTheme="majorBidi" w:hAnsiTheme="majorBidi" w:cstheme="majorBidi"/>
          <w:sz w:val="24"/>
          <w:szCs w:val="24"/>
          <w:shd w:val="clear" w:color="auto" w:fill="FFFFFF"/>
          <w:lang w:val="en-GB"/>
        </w:rPr>
        <w:t>Merrill-Palmer Quarterly</w:t>
      </w:r>
      <w:r w:rsidRPr="00442120">
        <w:rPr>
          <w:rStyle w:val="Emphasis"/>
          <w:rFonts w:asciiTheme="majorBidi" w:hAnsiTheme="majorBidi" w:cstheme="majorBidi"/>
          <w:sz w:val="24"/>
          <w:szCs w:val="24"/>
          <w:shd w:val="clear" w:color="auto" w:fill="FFFFFF"/>
          <w:lang w:val="en-GB"/>
        </w:rPr>
        <w:t xml:space="preserve"> </w:t>
      </w:r>
      <w:r w:rsidRPr="00442120">
        <w:rPr>
          <w:rStyle w:val="Emphasis"/>
          <w:rFonts w:asciiTheme="majorBidi" w:hAnsiTheme="majorBidi" w:cstheme="majorBidi"/>
          <w:i w:val="0"/>
          <w:sz w:val="24"/>
          <w:szCs w:val="24"/>
          <w:shd w:val="clear" w:color="auto" w:fill="FFFFFF"/>
          <w:lang w:val="en-GB"/>
        </w:rPr>
        <w:t>55</w:t>
      </w:r>
      <w:r w:rsidR="00E13D84" w:rsidRPr="00442120">
        <w:rPr>
          <w:rFonts w:asciiTheme="majorBidi" w:hAnsiTheme="majorBidi" w:cstheme="majorBidi"/>
          <w:sz w:val="24"/>
          <w:szCs w:val="24"/>
          <w:shd w:val="clear" w:color="auto" w:fill="FFFFFF"/>
          <w:lang w:val="en-GB"/>
        </w:rPr>
        <w:t xml:space="preserve"> </w:t>
      </w:r>
      <w:r w:rsidRPr="00442120">
        <w:rPr>
          <w:rFonts w:asciiTheme="majorBidi" w:hAnsiTheme="majorBidi" w:cstheme="majorBidi"/>
          <w:sz w:val="24"/>
          <w:szCs w:val="24"/>
          <w:shd w:val="clear" w:color="auto" w:fill="FFFFFF"/>
          <w:lang w:val="en-GB"/>
        </w:rPr>
        <w:t>(3)</w:t>
      </w:r>
      <w:r w:rsidR="00E13D84" w:rsidRPr="00442120">
        <w:rPr>
          <w:rFonts w:asciiTheme="majorBidi" w:hAnsiTheme="majorBidi" w:cstheme="majorBidi"/>
          <w:sz w:val="24"/>
          <w:szCs w:val="24"/>
          <w:shd w:val="clear" w:color="auto" w:fill="FFFFFF"/>
          <w:lang w:val="en-GB"/>
        </w:rPr>
        <w:t>:</w:t>
      </w:r>
      <w:r w:rsidRPr="00442120">
        <w:rPr>
          <w:rFonts w:asciiTheme="majorBidi" w:hAnsiTheme="majorBidi" w:cstheme="majorBidi"/>
          <w:sz w:val="24"/>
          <w:szCs w:val="24"/>
          <w:shd w:val="clear" w:color="auto" w:fill="FFFFFF"/>
          <w:lang w:val="en-GB"/>
        </w:rPr>
        <w:t xml:space="preserve"> 224-249. </w:t>
      </w:r>
      <w:r w:rsidR="00E13D84" w:rsidRPr="00442120">
        <w:rPr>
          <w:rFonts w:asciiTheme="majorBidi" w:hAnsiTheme="majorBidi" w:cstheme="majorBidi"/>
          <w:sz w:val="24"/>
          <w:szCs w:val="24"/>
          <w:shd w:val="clear" w:color="auto" w:fill="FFFFFF"/>
          <w:lang w:val="en-GB"/>
        </w:rPr>
        <w:t>doi:</w:t>
      </w:r>
      <w:r w:rsidRPr="00442120">
        <w:rPr>
          <w:rFonts w:asciiTheme="majorBidi" w:hAnsiTheme="majorBidi" w:cstheme="majorBidi"/>
          <w:sz w:val="24"/>
          <w:szCs w:val="24"/>
          <w:shd w:val="clear" w:color="auto" w:fill="FFFFFF"/>
          <w:lang w:val="en-GB"/>
        </w:rPr>
        <w:t>10.1353/mpq.0.0030</w:t>
      </w:r>
      <w:r w:rsidR="00E13D84" w:rsidRPr="00442120">
        <w:rPr>
          <w:rFonts w:asciiTheme="majorBidi" w:hAnsiTheme="majorBidi" w:cstheme="majorBidi"/>
          <w:sz w:val="24"/>
          <w:szCs w:val="24"/>
          <w:shd w:val="clear" w:color="auto" w:fill="FFFFFF"/>
          <w:lang w:val="en-GB"/>
        </w:rPr>
        <w:t>.</w:t>
      </w:r>
    </w:p>
    <w:p w14:paraId="6D304FB0" w14:textId="2B7ED9D3" w:rsidR="00F8163D" w:rsidRPr="00B06E99" w:rsidRDefault="00163284" w:rsidP="00C03772">
      <w:pPr>
        <w:spacing w:after="0" w:line="480" w:lineRule="auto"/>
        <w:ind w:left="720" w:hanging="720"/>
        <w:rPr>
          <w:rFonts w:asciiTheme="majorBidi" w:hAnsiTheme="majorBidi" w:cstheme="majorBidi"/>
          <w:sz w:val="24"/>
          <w:szCs w:val="24"/>
          <w:shd w:val="clear" w:color="auto" w:fill="FFFFFF"/>
          <w:lang w:val="en-GB"/>
        </w:rPr>
      </w:pPr>
      <w:r w:rsidRPr="00B06E99">
        <w:rPr>
          <w:rFonts w:asciiTheme="majorBidi" w:hAnsiTheme="majorBidi" w:cstheme="majorBidi"/>
          <w:sz w:val="24"/>
          <w:szCs w:val="24"/>
          <w:shd w:val="clear" w:color="auto" w:fill="FFFFFF"/>
          <w:lang w:val="en-GB"/>
        </w:rPr>
        <w:t>Engberg, M. E., and</w:t>
      </w:r>
      <w:r w:rsidR="00F8163D" w:rsidRPr="00B06E99">
        <w:rPr>
          <w:rFonts w:asciiTheme="majorBidi" w:hAnsiTheme="majorBidi" w:cstheme="majorBidi"/>
          <w:sz w:val="24"/>
          <w:szCs w:val="24"/>
          <w:shd w:val="clear" w:color="auto" w:fill="FFFFFF"/>
          <w:lang w:val="en-GB"/>
        </w:rPr>
        <w:t xml:space="preserve"> </w:t>
      </w:r>
      <w:r w:rsidRPr="00B06E99">
        <w:rPr>
          <w:rFonts w:asciiTheme="majorBidi" w:hAnsiTheme="majorBidi" w:cstheme="majorBidi"/>
          <w:sz w:val="24"/>
          <w:szCs w:val="24"/>
          <w:shd w:val="clear" w:color="auto" w:fill="FFFFFF"/>
          <w:lang w:val="en-GB"/>
        </w:rPr>
        <w:t xml:space="preserve">G. C. </w:t>
      </w:r>
      <w:proofErr w:type="spellStart"/>
      <w:r w:rsidR="00F8163D" w:rsidRPr="00B06E99">
        <w:rPr>
          <w:rFonts w:asciiTheme="majorBidi" w:hAnsiTheme="majorBidi" w:cstheme="majorBidi"/>
          <w:sz w:val="24"/>
          <w:szCs w:val="24"/>
          <w:shd w:val="clear" w:color="auto" w:fill="FFFFFF"/>
          <w:lang w:val="en-GB"/>
        </w:rPr>
        <w:t>Wolniak</w:t>
      </w:r>
      <w:proofErr w:type="spellEnd"/>
      <w:r w:rsidRPr="00B06E99">
        <w:rPr>
          <w:rFonts w:asciiTheme="majorBidi" w:hAnsiTheme="majorBidi" w:cstheme="majorBidi"/>
          <w:sz w:val="24"/>
          <w:szCs w:val="24"/>
          <w:shd w:val="clear" w:color="auto" w:fill="FFFFFF"/>
          <w:lang w:val="en-GB"/>
        </w:rPr>
        <w:t>. 2014</w:t>
      </w:r>
      <w:r w:rsidR="00F8163D" w:rsidRPr="00B06E99">
        <w:rPr>
          <w:rFonts w:asciiTheme="majorBidi" w:hAnsiTheme="majorBidi" w:cstheme="majorBidi"/>
          <w:sz w:val="24"/>
          <w:szCs w:val="24"/>
          <w:shd w:val="clear" w:color="auto" w:fill="FFFFFF"/>
          <w:lang w:val="en-GB"/>
        </w:rPr>
        <w:t xml:space="preserve">. </w:t>
      </w:r>
      <w:r w:rsidRPr="00B06E99">
        <w:rPr>
          <w:rFonts w:asciiTheme="majorBidi" w:hAnsiTheme="majorBidi" w:cstheme="majorBidi"/>
          <w:sz w:val="24"/>
          <w:szCs w:val="24"/>
          <w:shd w:val="clear" w:color="auto" w:fill="FFFFFF"/>
          <w:lang w:val="en-GB"/>
        </w:rPr>
        <w:t>“</w:t>
      </w:r>
      <w:r w:rsidR="00976AE3" w:rsidRPr="00976AE3">
        <w:rPr>
          <w:rFonts w:asciiTheme="majorBidi" w:hAnsiTheme="majorBidi" w:cstheme="majorBidi"/>
          <w:sz w:val="24"/>
          <w:szCs w:val="24"/>
          <w:shd w:val="clear" w:color="auto" w:fill="FFFFFF"/>
          <w:lang w:val="en-GB"/>
        </w:rPr>
        <w:t xml:space="preserve">An Examination of the Moderating Effects of the High School Socioeconomic Context on College </w:t>
      </w:r>
      <w:proofErr w:type="spellStart"/>
      <w:r w:rsidR="00976AE3" w:rsidRPr="00976AE3">
        <w:rPr>
          <w:rFonts w:asciiTheme="majorBidi" w:hAnsiTheme="majorBidi" w:cstheme="majorBidi"/>
          <w:sz w:val="24"/>
          <w:szCs w:val="24"/>
          <w:shd w:val="clear" w:color="auto" w:fill="FFFFFF"/>
          <w:lang w:val="en-GB"/>
        </w:rPr>
        <w:t>Enrollment</w:t>
      </w:r>
      <w:proofErr w:type="spellEnd"/>
      <w:r w:rsidR="00F8163D" w:rsidRPr="00B06E99">
        <w:rPr>
          <w:rFonts w:asciiTheme="majorBidi" w:hAnsiTheme="majorBidi" w:cstheme="majorBidi"/>
          <w:sz w:val="24"/>
          <w:szCs w:val="24"/>
          <w:shd w:val="clear" w:color="auto" w:fill="FFFFFF"/>
          <w:lang w:val="en-GB"/>
        </w:rPr>
        <w:t>.</w:t>
      </w:r>
      <w:r w:rsidRPr="00B06E99">
        <w:rPr>
          <w:rFonts w:asciiTheme="majorBidi" w:hAnsiTheme="majorBidi" w:cstheme="majorBidi"/>
          <w:sz w:val="24"/>
          <w:szCs w:val="24"/>
          <w:shd w:val="clear" w:color="auto" w:fill="FFFFFF"/>
          <w:lang w:val="en-GB"/>
        </w:rPr>
        <w:t>”</w:t>
      </w:r>
      <w:r w:rsidR="00F8163D" w:rsidRPr="00B06E99">
        <w:rPr>
          <w:rFonts w:asciiTheme="majorBidi" w:hAnsiTheme="majorBidi" w:cstheme="majorBidi"/>
          <w:sz w:val="24"/>
          <w:szCs w:val="24"/>
          <w:shd w:val="clear" w:color="auto" w:fill="FFFFFF"/>
          <w:lang w:val="en-GB"/>
        </w:rPr>
        <w:t> </w:t>
      </w:r>
      <w:r w:rsidR="00F8163D" w:rsidRPr="00B06E99">
        <w:rPr>
          <w:rFonts w:asciiTheme="majorBidi" w:hAnsiTheme="majorBidi" w:cstheme="majorBidi"/>
          <w:i/>
          <w:iCs/>
          <w:sz w:val="24"/>
          <w:szCs w:val="24"/>
          <w:shd w:val="clear" w:color="auto" w:fill="FFFFFF"/>
          <w:lang w:val="en-GB"/>
        </w:rPr>
        <w:t>The High School Journal</w:t>
      </w:r>
      <w:r w:rsidR="00F8163D" w:rsidRPr="00B06E99">
        <w:rPr>
          <w:rFonts w:asciiTheme="majorBidi" w:hAnsiTheme="majorBidi" w:cstheme="majorBidi"/>
          <w:sz w:val="24"/>
          <w:szCs w:val="24"/>
          <w:shd w:val="clear" w:color="auto" w:fill="FFFFFF"/>
          <w:lang w:val="en-GB"/>
        </w:rPr>
        <w:t> </w:t>
      </w:r>
      <w:r w:rsidR="00F8163D" w:rsidRPr="00B06E99">
        <w:rPr>
          <w:rFonts w:asciiTheme="majorBidi" w:hAnsiTheme="majorBidi" w:cstheme="majorBidi"/>
          <w:iCs/>
          <w:sz w:val="24"/>
          <w:szCs w:val="24"/>
          <w:shd w:val="clear" w:color="auto" w:fill="FFFFFF"/>
          <w:lang w:val="en-GB"/>
        </w:rPr>
        <w:t>97</w:t>
      </w:r>
      <w:r w:rsidRPr="00B06E99">
        <w:rPr>
          <w:rFonts w:asciiTheme="majorBidi" w:hAnsiTheme="majorBidi" w:cstheme="majorBidi"/>
          <w:sz w:val="24"/>
          <w:szCs w:val="24"/>
          <w:shd w:val="clear" w:color="auto" w:fill="FFFFFF"/>
          <w:lang w:val="en-GB"/>
        </w:rPr>
        <w:t xml:space="preserve"> </w:t>
      </w:r>
      <w:r w:rsidR="00F8163D" w:rsidRPr="00B06E99">
        <w:rPr>
          <w:rFonts w:asciiTheme="majorBidi" w:hAnsiTheme="majorBidi" w:cstheme="majorBidi"/>
          <w:sz w:val="24"/>
          <w:szCs w:val="24"/>
          <w:shd w:val="clear" w:color="auto" w:fill="FFFFFF"/>
          <w:lang w:val="en-GB"/>
        </w:rPr>
        <w:t>(4)</w:t>
      </w:r>
      <w:r w:rsidRPr="00B06E99">
        <w:rPr>
          <w:rFonts w:asciiTheme="majorBidi" w:hAnsiTheme="majorBidi" w:cstheme="majorBidi"/>
          <w:sz w:val="24"/>
          <w:szCs w:val="24"/>
          <w:shd w:val="clear" w:color="auto" w:fill="FFFFFF"/>
          <w:lang w:val="en-GB"/>
        </w:rPr>
        <w:t>:</w:t>
      </w:r>
      <w:r w:rsidR="00F8163D" w:rsidRPr="00B06E99">
        <w:rPr>
          <w:rFonts w:asciiTheme="majorBidi" w:hAnsiTheme="majorBidi" w:cstheme="majorBidi"/>
          <w:sz w:val="24"/>
          <w:szCs w:val="24"/>
          <w:shd w:val="clear" w:color="auto" w:fill="FFFFFF"/>
          <w:lang w:val="en-GB"/>
        </w:rPr>
        <w:t xml:space="preserve"> 240-263.</w:t>
      </w:r>
    </w:p>
    <w:p w14:paraId="0C62B95B" w14:textId="0C6FF96C" w:rsidR="0077613A" w:rsidRPr="00294F23" w:rsidRDefault="00051533" w:rsidP="00C03772">
      <w:pPr>
        <w:spacing w:after="0" w:line="480" w:lineRule="auto"/>
        <w:ind w:left="720" w:hanging="720"/>
        <w:rPr>
          <w:rFonts w:asciiTheme="majorBidi" w:hAnsiTheme="majorBidi" w:cstheme="majorBidi"/>
          <w:sz w:val="24"/>
          <w:szCs w:val="24"/>
          <w:shd w:val="clear" w:color="auto" w:fill="FFFFFF"/>
          <w:lang w:val="en-GB"/>
        </w:rPr>
      </w:pPr>
      <w:r w:rsidRPr="00294F23">
        <w:rPr>
          <w:rFonts w:asciiTheme="majorBidi" w:hAnsiTheme="majorBidi" w:cstheme="majorBidi"/>
          <w:sz w:val="24"/>
          <w:szCs w:val="24"/>
          <w:shd w:val="clear" w:color="auto" w:fill="FFFFFF"/>
          <w:lang w:val="en-GB"/>
        </w:rPr>
        <w:t>Eurydice. 2019</w:t>
      </w:r>
      <w:r w:rsidR="0077613A" w:rsidRPr="00294F23">
        <w:rPr>
          <w:rFonts w:asciiTheme="majorBidi" w:hAnsiTheme="majorBidi" w:cstheme="majorBidi"/>
          <w:sz w:val="24"/>
          <w:szCs w:val="24"/>
          <w:shd w:val="clear" w:color="auto" w:fill="FFFFFF"/>
          <w:lang w:val="en-GB"/>
        </w:rPr>
        <w:t xml:space="preserve">. </w:t>
      </w:r>
      <w:r w:rsidRPr="00294F23">
        <w:rPr>
          <w:rFonts w:asciiTheme="majorBidi" w:hAnsiTheme="majorBidi" w:cstheme="majorBidi"/>
          <w:sz w:val="24"/>
          <w:szCs w:val="24"/>
          <w:shd w:val="clear" w:color="auto" w:fill="FFFFFF"/>
          <w:lang w:val="en-GB"/>
        </w:rPr>
        <w:t>“</w:t>
      </w:r>
      <w:r w:rsidR="0077613A" w:rsidRPr="00294F23">
        <w:rPr>
          <w:rFonts w:asciiTheme="majorBidi" w:hAnsiTheme="majorBidi" w:cstheme="majorBidi"/>
          <w:sz w:val="24"/>
          <w:szCs w:val="24"/>
          <w:shd w:val="clear" w:color="auto" w:fill="FFFFFF"/>
          <w:lang w:val="en-GB"/>
        </w:rPr>
        <w:t>Croatia Overview: Key Features of the Educational System.</w:t>
      </w:r>
      <w:r w:rsidRPr="00294F23">
        <w:rPr>
          <w:rFonts w:asciiTheme="majorBidi" w:hAnsiTheme="majorBidi" w:cstheme="majorBidi"/>
          <w:sz w:val="24"/>
          <w:szCs w:val="24"/>
          <w:shd w:val="clear" w:color="auto" w:fill="FFFFFF"/>
          <w:lang w:val="en-GB"/>
        </w:rPr>
        <w:t>” Eurydice. Accessed</w:t>
      </w:r>
      <w:r w:rsidR="00294F23" w:rsidRPr="00294F23">
        <w:rPr>
          <w:rFonts w:asciiTheme="majorBidi" w:hAnsiTheme="majorBidi" w:cstheme="majorBidi"/>
          <w:sz w:val="24"/>
          <w:szCs w:val="24"/>
          <w:shd w:val="clear" w:color="auto" w:fill="FFFFFF"/>
          <w:lang w:val="en-GB"/>
        </w:rPr>
        <w:t xml:space="preserve"> Jun</w:t>
      </w:r>
      <w:r w:rsidRPr="00294F23">
        <w:rPr>
          <w:rFonts w:asciiTheme="majorBidi" w:hAnsiTheme="majorBidi" w:cstheme="majorBidi"/>
          <w:sz w:val="24"/>
          <w:szCs w:val="24"/>
          <w:shd w:val="clear" w:color="auto" w:fill="FFFFFF"/>
          <w:lang w:val="en-GB"/>
        </w:rPr>
        <w:t>e 7 2019.</w:t>
      </w:r>
      <w:r w:rsidR="0077613A" w:rsidRPr="00294F23">
        <w:rPr>
          <w:rFonts w:asciiTheme="majorBidi" w:hAnsiTheme="majorBidi" w:cstheme="majorBidi"/>
          <w:sz w:val="24"/>
          <w:szCs w:val="24"/>
          <w:shd w:val="clear" w:color="auto" w:fill="FFFFFF"/>
          <w:lang w:val="en-GB"/>
        </w:rPr>
        <w:t xml:space="preserve"> https://eacea.ec.europa.eu/national-policies/eurydice/content/croatia_en</w:t>
      </w:r>
    </w:p>
    <w:p w14:paraId="716E0BDE" w14:textId="18BD2DD2" w:rsidR="00F8163D" w:rsidRPr="0067592C" w:rsidRDefault="00F8163D" w:rsidP="00C03772">
      <w:pPr>
        <w:spacing w:after="0" w:line="480" w:lineRule="auto"/>
        <w:ind w:left="720" w:hanging="720"/>
        <w:rPr>
          <w:rFonts w:ascii="Times New Roman" w:hAnsi="Times New Roman" w:cs="Times New Roman"/>
          <w:sz w:val="24"/>
          <w:szCs w:val="24"/>
          <w:shd w:val="clear" w:color="auto" w:fill="FFFFFF"/>
          <w:lang w:val="en-GB"/>
        </w:rPr>
      </w:pPr>
      <w:r w:rsidRPr="0067592C">
        <w:rPr>
          <w:rFonts w:ascii="Times New Roman" w:hAnsi="Times New Roman" w:cs="Times New Roman"/>
          <w:sz w:val="24"/>
          <w:szCs w:val="24"/>
          <w:shd w:val="clear" w:color="auto" w:fill="FFFFFF"/>
          <w:lang w:val="en-GB"/>
        </w:rPr>
        <w:t xml:space="preserve">Finn, J. D., </w:t>
      </w:r>
      <w:r w:rsidR="00BE3DB3" w:rsidRPr="0067592C">
        <w:rPr>
          <w:rFonts w:ascii="Times New Roman" w:hAnsi="Times New Roman" w:cs="Times New Roman"/>
          <w:sz w:val="24"/>
          <w:szCs w:val="24"/>
          <w:shd w:val="clear" w:color="auto" w:fill="FFFFFF"/>
          <w:lang w:val="en-GB"/>
        </w:rPr>
        <w:t xml:space="preserve">G. M. </w:t>
      </w:r>
      <w:proofErr w:type="spellStart"/>
      <w:r w:rsidRPr="0067592C">
        <w:rPr>
          <w:rFonts w:ascii="Times New Roman" w:hAnsi="Times New Roman" w:cs="Times New Roman"/>
          <w:sz w:val="24"/>
          <w:szCs w:val="24"/>
          <w:shd w:val="clear" w:color="auto" w:fill="FFFFFF"/>
          <w:lang w:val="en-GB"/>
        </w:rPr>
        <w:t>Pannozzo</w:t>
      </w:r>
      <w:proofErr w:type="spellEnd"/>
      <w:r w:rsidRPr="0067592C">
        <w:rPr>
          <w:rFonts w:ascii="Times New Roman" w:hAnsi="Times New Roman" w:cs="Times New Roman"/>
          <w:sz w:val="24"/>
          <w:szCs w:val="24"/>
          <w:shd w:val="clear" w:color="auto" w:fill="FFFFFF"/>
          <w:lang w:val="en-GB"/>
        </w:rPr>
        <w:t xml:space="preserve">, </w:t>
      </w:r>
      <w:r w:rsidR="00BE3DB3" w:rsidRPr="0067592C">
        <w:rPr>
          <w:rFonts w:ascii="Times New Roman" w:hAnsi="Times New Roman" w:cs="Times New Roman"/>
          <w:sz w:val="24"/>
          <w:szCs w:val="24"/>
          <w:shd w:val="clear" w:color="auto" w:fill="FFFFFF"/>
          <w:lang w:val="en-GB"/>
        </w:rPr>
        <w:t>and</w:t>
      </w:r>
      <w:r w:rsidRPr="0067592C">
        <w:rPr>
          <w:rFonts w:ascii="Times New Roman" w:hAnsi="Times New Roman" w:cs="Times New Roman"/>
          <w:sz w:val="24"/>
          <w:szCs w:val="24"/>
          <w:shd w:val="clear" w:color="auto" w:fill="FFFFFF"/>
          <w:lang w:val="en-GB"/>
        </w:rPr>
        <w:t xml:space="preserve"> </w:t>
      </w:r>
      <w:r w:rsidR="00BE3DB3" w:rsidRPr="0067592C">
        <w:rPr>
          <w:rFonts w:ascii="Times New Roman" w:hAnsi="Times New Roman" w:cs="Times New Roman"/>
          <w:sz w:val="24"/>
          <w:szCs w:val="24"/>
          <w:shd w:val="clear" w:color="auto" w:fill="FFFFFF"/>
          <w:lang w:val="en-GB"/>
        </w:rPr>
        <w:t xml:space="preserve">C. M. </w:t>
      </w:r>
      <w:r w:rsidRPr="0067592C">
        <w:rPr>
          <w:rFonts w:ascii="Times New Roman" w:hAnsi="Times New Roman" w:cs="Times New Roman"/>
          <w:sz w:val="24"/>
          <w:szCs w:val="24"/>
          <w:shd w:val="clear" w:color="auto" w:fill="FFFFFF"/>
          <w:lang w:val="en-GB"/>
        </w:rPr>
        <w:t>Achilles</w:t>
      </w:r>
      <w:r w:rsidR="00BE3DB3" w:rsidRPr="0067592C">
        <w:rPr>
          <w:rFonts w:ascii="Times New Roman" w:hAnsi="Times New Roman" w:cs="Times New Roman"/>
          <w:sz w:val="24"/>
          <w:szCs w:val="24"/>
          <w:shd w:val="clear" w:color="auto" w:fill="FFFFFF"/>
          <w:lang w:val="en-GB"/>
        </w:rPr>
        <w:t>. 2003</w:t>
      </w:r>
      <w:r w:rsidRPr="0067592C">
        <w:rPr>
          <w:rFonts w:ascii="Times New Roman" w:hAnsi="Times New Roman" w:cs="Times New Roman"/>
          <w:sz w:val="24"/>
          <w:szCs w:val="24"/>
          <w:shd w:val="clear" w:color="auto" w:fill="FFFFFF"/>
          <w:lang w:val="en-GB"/>
        </w:rPr>
        <w:t xml:space="preserve">. </w:t>
      </w:r>
      <w:r w:rsidR="00BE3DB3" w:rsidRPr="0067592C">
        <w:rPr>
          <w:rFonts w:ascii="Times New Roman" w:hAnsi="Times New Roman" w:cs="Times New Roman"/>
          <w:sz w:val="24"/>
          <w:szCs w:val="24"/>
          <w:shd w:val="clear" w:color="auto" w:fill="FFFFFF"/>
          <w:lang w:val="en-GB"/>
        </w:rPr>
        <w:t>“</w:t>
      </w:r>
      <w:r w:rsidR="004C2686" w:rsidRPr="004C2686">
        <w:rPr>
          <w:rFonts w:ascii="Times New Roman" w:hAnsi="Times New Roman" w:cs="Times New Roman"/>
          <w:sz w:val="24"/>
          <w:szCs w:val="24"/>
          <w:shd w:val="clear" w:color="auto" w:fill="FFFFFF"/>
          <w:lang w:val="en-GB"/>
        </w:rPr>
        <w:t xml:space="preserve">The “Why's” of Class Size: Student </w:t>
      </w:r>
      <w:proofErr w:type="spellStart"/>
      <w:r w:rsidR="004C2686" w:rsidRPr="004C2686">
        <w:rPr>
          <w:rFonts w:ascii="Times New Roman" w:hAnsi="Times New Roman" w:cs="Times New Roman"/>
          <w:sz w:val="24"/>
          <w:szCs w:val="24"/>
          <w:shd w:val="clear" w:color="auto" w:fill="FFFFFF"/>
          <w:lang w:val="en-GB"/>
        </w:rPr>
        <w:t>Behavior</w:t>
      </w:r>
      <w:proofErr w:type="spellEnd"/>
      <w:r w:rsidR="004C2686" w:rsidRPr="004C2686">
        <w:rPr>
          <w:rFonts w:ascii="Times New Roman" w:hAnsi="Times New Roman" w:cs="Times New Roman"/>
          <w:sz w:val="24"/>
          <w:szCs w:val="24"/>
          <w:shd w:val="clear" w:color="auto" w:fill="FFFFFF"/>
          <w:lang w:val="en-GB"/>
        </w:rPr>
        <w:t xml:space="preserve"> in Small Classes</w:t>
      </w:r>
      <w:r w:rsidRPr="0067592C">
        <w:rPr>
          <w:rFonts w:ascii="Times New Roman" w:hAnsi="Times New Roman" w:cs="Times New Roman"/>
          <w:sz w:val="24"/>
          <w:szCs w:val="24"/>
          <w:shd w:val="clear" w:color="auto" w:fill="FFFFFF"/>
          <w:lang w:val="en-GB"/>
        </w:rPr>
        <w:t>.</w:t>
      </w:r>
      <w:r w:rsidR="00BE3DB3" w:rsidRPr="0067592C">
        <w:rPr>
          <w:rFonts w:ascii="Times New Roman" w:hAnsi="Times New Roman" w:cs="Times New Roman"/>
          <w:sz w:val="24"/>
          <w:szCs w:val="24"/>
          <w:shd w:val="clear" w:color="auto" w:fill="FFFFFF"/>
          <w:lang w:val="en-GB"/>
        </w:rPr>
        <w:t>”</w:t>
      </w:r>
      <w:r w:rsidRPr="0067592C">
        <w:rPr>
          <w:rFonts w:ascii="Times New Roman" w:hAnsi="Times New Roman" w:cs="Times New Roman"/>
          <w:sz w:val="24"/>
          <w:szCs w:val="24"/>
          <w:shd w:val="clear" w:color="auto" w:fill="FFFFFF"/>
          <w:lang w:val="en-GB"/>
        </w:rPr>
        <w:t> </w:t>
      </w:r>
      <w:r w:rsidRPr="0067592C">
        <w:rPr>
          <w:rFonts w:ascii="Times New Roman" w:hAnsi="Times New Roman" w:cs="Times New Roman"/>
          <w:i/>
          <w:iCs/>
          <w:sz w:val="24"/>
          <w:szCs w:val="24"/>
          <w:shd w:val="clear" w:color="auto" w:fill="FFFFFF"/>
          <w:lang w:val="en-GB"/>
        </w:rPr>
        <w:t>Review of Educational Research</w:t>
      </w:r>
      <w:r w:rsidRPr="0067592C">
        <w:rPr>
          <w:rFonts w:ascii="Times New Roman" w:hAnsi="Times New Roman" w:cs="Times New Roman"/>
          <w:sz w:val="24"/>
          <w:szCs w:val="24"/>
          <w:shd w:val="clear" w:color="auto" w:fill="FFFFFF"/>
          <w:lang w:val="en-GB"/>
        </w:rPr>
        <w:t> </w:t>
      </w:r>
      <w:r w:rsidRPr="0067592C">
        <w:rPr>
          <w:rFonts w:ascii="Times New Roman" w:hAnsi="Times New Roman" w:cs="Times New Roman"/>
          <w:iCs/>
          <w:sz w:val="24"/>
          <w:szCs w:val="24"/>
          <w:shd w:val="clear" w:color="auto" w:fill="FFFFFF"/>
          <w:lang w:val="en-GB"/>
        </w:rPr>
        <w:t>73</w:t>
      </w:r>
      <w:r w:rsidR="00BE3DB3" w:rsidRPr="0067592C">
        <w:rPr>
          <w:rFonts w:ascii="Times New Roman" w:hAnsi="Times New Roman" w:cs="Times New Roman"/>
          <w:sz w:val="24"/>
          <w:szCs w:val="24"/>
          <w:shd w:val="clear" w:color="auto" w:fill="FFFFFF"/>
          <w:lang w:val="en-GB"/>
        </w:rPr>
        <w:t xml:space="preserve"> </w:t>
      </w:r>
      <w:r w:rsidRPr="0067592C">
        <w:rPr>
          <w:rFonts w:ascii="Times New Roman" w:hAnsi="Times New Roman" w:cs="Times New Roman"/>
          <w:sz w:val="24"/>
          <w:szCs w:val="24"/>
          <w:shd w:val="clear" w:color="auto" w:fill="FFFFFF"/>
          <w:lang w:val="en-GB"/>
        </w:rPr>
        <w:t>(3)</w:t>
      </w:r>
      <w:r w:rsidR="00BE3DB3" w:rsidRPr="0067592C">
        <w:rPr>
          <w:rFonts w:ascii="Times New Roman" w:hAnsi="Times New Roman" w:cs="Times New Roman"/>
          <w:sz w:val="24"/>
          <w:szCs w:val="24"/>
          <w:shd w:val="clear" w:color="auto" w:fill="FFFFFF"/>
          <w:lang w:val="en-GB"/>
        </w:rPr>
        <w:t>:</w:t>
      </w:r>
      <w:r w:rsidRPr="0067592C">
        <w:rPr>
          <w:rFonts w:ascii="Times New Roman" w:hAnsi="Times New Roman" w:cs="Times New Roman"/>
          <w:sz w:val="24"/>
          <w:szCs w:val="24"/>
          <w:shd w:val="clear" w:color="auto" w:fill="FFFFFF"/>
          <w:lang w:val="en-GB"/>
        </w:rPr>
        <w:t xml:space="preserve"> 321-368. </w:t>
      </w:r>
      <w:proofErr w:type="gramStart"/>
      <w:r w:rsidR="00BE3DB3" w:rsidRPr="0067592C">
        <w:rPr>
          <w:rFonts w:ascii="Times New Roman" w:hAnsi="Times New Roman" w:cs="Times New Roman"/>
          <w:sz w:val="24"/>
          <w:szCs w:val="24"/>
          <w:shd w:val="clear" w:color="auto" w:fill="FFFFFF"/>
          <w:lang w:val="en-GB"/>
        </w:rPr>
        <w:t>doi:</w:t>
      </w:r>
      <w:proofErr w:type="gramEnd"/>
      <w:r w:rsidRPr="0067592C">
        <w:rPr>
          <w:rFonts w:ascii="Times New Roman" w:hAnsi="Times New Roman" w:cs="Times New Roman"/>
          <w:sz w:val="24"/>
          <w:szCs w:val="24"/>
          <w:shd w:val="clear" w:color="auto" w:fill="FFFFFF"/>
          <w:lang w:val="en-GB"/>
        </w:rPr>
        <w:t>10.3102/00346543073003321</w:t>
      </w:r>
      <w:r w:rsidR="009D2427" w:rsidRPr="0067592C">
        <w:rPr>
          <w:rFonts w:ascii="Times New Roman" w:hAnsi="Times New Roman" w:cs="Times New Roman"/>
          <w:sz w:val="24"/>
          <w:szCs w:val="24"/>
          <w:shd w:val="clear" w:color="auto" w:fill="FFFFFF"/>
          <w:lang w:val="en-GB"/>
        </w:rPr>
        <w:t>.</w:t>
      </w:r>
    </w:p>
    <w:p w14:paraId="25CA4A72" w14:textId="144476F1" w:rsidR="00F8163D" w:rsidRPr="001D032F" w:rsidRDefault="00F8163D" w:rsidP="00C03772">
      <w:pPr>
        <w:spacing w:after="0" w:line="480" w:lineRule="auto"/>
        <w:ind w:left="720" w:hanging="720"/>
        <w:rPr>
          <w:rFonts w:ascii="Times New Roman" w:hAnsi="Times New Roman" w:cs="Times New Roman"/>
          <w:sz w:val="24"/>
          <w:szCs w:val="24"/>
          <w:shd w:val="clear" w:color="auto" w:fill="FFFFFF"/>
          <w:lang w:val="en-GB"/>
        </w:rPr>
      </w:pPr>
      <w:r w:rsidRPr="001D032F">
        <w:rPr>
          <w:rFonts w:ascii="Times New Roman" w:hAnsi="Times New Roman" w:cs="Times New Roman"/>
          <w:sz w:val="24"/>
          <w:szCs w:val="24"/>
          <w:shd w:val="clear" w:color="auto" w:fill="FFFFFF"/>
          <w:lang w:val="en-GB"/>
        </w:rPr>
        <w:t xml:space="preserve">Glass, G. V., </w:t>
      </w:r>
      <w:r w:rsidR="00343D29" w:rsidRPr="001D032F">
        <w:rPr>
          <w:rFonts w:ascii="Times New Roman" w:hAnsi="Times New Roman" w:cs="Times New Roman"/>
          <w:sz w:val="24"/>
          <w:szCs w:val="24"/>
          <w:shd w:val="clear" w:color="auto" w:fill="FFFFFF"/>
          <w:lang w:val="en-GB"/>
        </w:rPr>
        <w:t>and</w:t>
      </w:r>
      <w:r w:rsidRPr="001D032F">
        <w:rPr>
          <w:rFonts w:ascii="Times New Roman" w:hAnsi="Times New Roman" w:cs="Times New Roman"/>
          <w:sz w:val="24"/>
          <w:szCs w:val="24"/>
          <w:shd w:val="clear" w:color="auto" w:fill="FFFFFF"/>
          <w:lang w:val="en-GB"/>
        </w:rPr>
        <w:t xml:space="preserve"> </w:t>
      </w:r>
      <w:r w:rsidR="00343D29" w:rsidRPr="001D032F">
        <w:rPr>
          <w:rFonts w:ascii="Times New Roman" w:hAnsi="Times New Roman" w:cs="Times New Roman"/>
          <w:sz w:val="24"/>
          <w:szCs w:val="24"/>
          <w:shd w:val="clear" w:color="auto" w:fill="FFFFFF"/>
          <w:lang w:val="en-GB"/>
        </w:rPr>
        <w:t xml:space="preserve">M. L. </w:t>
      </w:r>
      <w:r w:rsidRPr="001D032F">
        <w:rPr>
          <w:rFonts w:ascii="Times New Roman" w:hAnsi="Times New Roman" w:cs="Times New Roman"/>
          <w:sz w:val="24"/>
          <w:szCs w:val="24"/>
          <w:shd w:val="clear" w:color="auto" w:fill="FFFFFF"/>
          <w:lang w:val="en-GB"/>
        </w:rPr>
        <w:t>Smith</w:t>
      </w:r>
      <w:r w:rsidR="00343D29" w:rsidRPr="001D032F">
        <w:rPr>
          <w:rFonts w:ascii="Times New Roman" w:hAnsi="Times New Roman" w:cs="Times New Roman"/>
          <w:sz w:val="24"/>
          <w:szCs w:val="24"/>
          <w:shd w:val="clear" w:color="auto" w:fill="FFFFFF"/>
          <w:lang w:val="en-GB"/>
        </w:rPr>
        <w:t>. 1979</w:t>
      </w:r>
      <w:r w:rsidRPr="001D032F">
        <w:rPr>
          <w:rFonts w:ascii="Times New Roman" w:hAnsi="Times New Roman" w:cs="Times New Roman"/>
          <w:sz w:val="24"/>
          <w:szCs w:val="24"/>
          <w:shd w:val="clear" w:color="auto" w:fill="FFFFFF"/>
          <w:lang w:val="en-GB"/>
        </w:rPr>
        <w:t xml:space="preserve">. </w:t>
      </w:r>
      <w:r w:rsidR="00343D29" w:rsidRPr="001D032F">
        <w:rPr>
          <w:rFonts w:ascii="Times New Roman" w:hAnsi="Times New Roman" w:cs="Times New Roman"/>
          <w:sz w:val="24"/>
          <w:szCs w:val="24"/>
          <w:shd w:val="clear" w:color="auto" w:fill="FFFFFF"/>
          <w:lang w:val="en-GB"/>
        </w:rPr>
        <w:t>“</w:t>
      </w:r>
      <w:r w:rsidR="001C7959" w:rsidRPr="001C7959">
        <w:rPr>
          <w:rFonts w:ascii="Times New Roman" w:hAnsi="Times New Roman" w:cs="Times New Roman"/>
          <w:sz w:val="24"/>
          <w:szCs w:val="24"/>
          <w:shd w:val="clear" w:color="auto" w:fill="FFFFFF"/>
          <w:lang w:val="en-GB"/>
        </w:rPr>
        <w:t>Meta-Analysis of Research on Class Size and Achievement</w:t>
      </w:r>
      <w:r w:rsidRPr="001D032F">
        <w:rPr>
          <w:rFonts w:ascii="Times New Roman" w:hAnsi="Times New Roman" w:cs="Times New Roman"/>
          <w:sz w:val="24"/>
          <w:szCs w:val="24"/>
          <w:shd w:val="clear" w:color="auto" w:fill="FFFFFF"/>
          <w:lang w:val="en-GB"/>
        </w:rPr>
        <w:t>.</w:t>
      </w:r>
      <w:r w:rsidR="00343D29" w:rsidRPr="001D032F">
        <w:rPr>
          <w:rFonts w:ascii="Times New Roman" w:hAnsi="Times New Roman" w:cs="Times New Roman"/>
          <w:sz w:val="24"/>
          <w:szCs w:val="24"/>
          <w:shd w:val="clear" w:color="auto" w:fill="FFFFFF"/>
          <w:lang w:val="en-GB"/>
        </w:rPr>
        <w:t>”</w:t>
      </w:r>
      <w:r w:rsidRPr="001D032F">
        <w:rPr>
          <w:rFonts w:ascii="Times New Roman" w:hAnsi="Times New Roman" w:cs="Times New Roman"/>
          <w:sz w:val="24"/>
          <w:szCs w:val="24"/>
          <w:shd w:val="clear" w:color="auto" w:fill="FFFFFF"/>
          <w:lang w:val="en-GB"/>
        </w:rPr>
        <w:t> </w:t>
      </w:r>
      <w:r w:rsidR="0088394D">
        <w:rPr>
          <w:rFonts w:ascii="Times New Roman" w:hAnsi="Times New Roman" w:cs="Times New Roman"/>
          <w:i/>
          <w:iCs/>
          <w:sz w:val="24"/>
          <w:szCs w:val="24"/>
          <w:shd w:val="clear" w:color="auto" w:fill="FFFFFF"/>
          <w:lang w:val="en-GB"/>
        </w:rPr>
        <w:t>Educational E</w:t>
      </w:r>
      <w:r w:rsidRPr="001D032F">
        <w:rPr>
          <w:rFonts w:ascii="Times New Roman" w:hAnsi="Times New Roman" w:cs="Times New Roman"/>
          <w:i/>
          <w:iCs/>
          <w:sz w:val="24"/>
          <w:szCs w:val="24"/>
          <w:shd w:val="clear" w:color="auto" w:fill="FFFFFF"/>
          <w:lang w:val="en-GB"/>
        </w:rPr>
        <w:t xml:space="preserve">valuation and </w:t>
      </w:r>
      <w:r w:rsidR="0088394D">
        <w:rPr>
          <w:rFonts w:ascii="Times New Roman" w:hAnsi="Times New Roman" w:cs="Times New Roman"/>
          <w:i/>
          <w:iCs/>
          <w:sz w:val="24"/>
          <w:szCs w:val="24"/>
          <w:shd w:val="clear" w:color="auto" w:fill="FFFFFF"/>
          <w:lang w:val="en-GB"/>
        </w:rPr>
        <w:t>P</w:t>
      </w:r>
      <w:r w:rsidRPr="001D032F">
        <w:rPr>
          <w:rFonts w:ascii="Times New Roman" w:hAnsi="Times New Roman" w:cs="Times New Roman"/>
          <w:i/>
          <w:iCs/>
          <w:sz w:val="24"/>
          <w:szCs w:val="24"/>
          <w:shd w:val="clear" w:color="auto" w:fill="FFFFFF"/>
          <w:lang w:val="en-GB"/>
        </w:rPr>
        <w:t xml:space="preserve">olicy </w:t>
      </w:r>
      <w:r w:rsidR="0088394D">
        <w:rPr>
          <w:rFonts w:ascii="Times New Roman" w:hAnsi="Times New Roman" w:cs="Times New Roman"/>
          <w:i/>
          <w:iCs/>
          <w:sz w:val="24"/>
          <w:szCs w:val="24"/>
          <w:shd w:val="clear" w:color="auto" w:fill="FFFFFF"/>
          <w:lang w:val="en-GB"/>
        </w:rPr>
        <w:t>A</w:t>
      </w:r>
      <w:r w:rsidRPr="001D032F">
        <w:rPr>
          <w:rFonts w:ascii="Times New Roman" w:hAnsi="Times New Roman" w:cs="Times New Roman"/>
          <w:i/>
          <w:iCs/>
          <w:sz w:val="24"/>
          <w:szCs w:val="24"/>
          <w:shd w:val="clear" w:color="auto" w:fill="FFFFFF"/>
          <w:lang w:val="en-GB"/>
        </w:rPr>
        <w:t>nalysis</w:t>
      </w:r>
      <w:r w:rsidRPr="001D032F">
        <w:rPr>
          <w:rFonts w:ascii="Times New Roman" w:hAnsi="Times New Roman" w:cs="Times New Roman"/>
          <w:sz w:val="24"/>
          <w:szCs w:val="24"/>
          <w:shd w:val="clear" w:color="auto" w:fill="FFFFFF"/>
          <w:lang w:val="en-GB"/>
        </w:rPr>
        <w:t> </w:t>
      </w:r>
      <w:r w:rsidRPr="001D032F">
        <w:rPr>
          <w:rFonts w:ascii="Times New Roman" w:hAnsi="Times New Roman" w:cs="Times New Roman"/>
          <w:iCs/>
          <w:sz w:val="24"/>
          <w:szCs w:val="24"/>
          <w:shd w:val="clear" w:color="auto" w:fill="FFFFFF"/>
          <w:lang w:val="en-GB"/>
        </w:rPr>
        <w:t>1</w:t>
      </w:r>
      <w:r w:rsidR="00343D29" w:rsidRPr="001D032F">
        <w:rPr>
          <w:rFonts w:ascii="Times New Roman" w:hAnsi="Times New Roman" w:cs="Times New Roman"/>
          <w:sz w:val="24"/>
          <w:szCs w:val="24"/>
          <w:shd w:val="clear" w:color="auto" w:fill="FFFFFF"/>
          <w:lang w:val="en-GB"/>
        </w:rPr>
        <w:t xml:space="preserve"> </w:t>
      </w:r>
      <w:r w:rsidRPr="001D032F">
        <w:rPr>
          <w:rFonts w:ascii="Times New Roman" w:hAnsi="Times New Roman" w:cs="Times New Roman"/>
          <w:sz w:val="24"/>
          <w:szCs w:val="24"/>
          <w:shd w:val="clear" w:color="auto" w:fill="FFFFFF"/>
          <w:lang w:val="en-GB"/>
        </w:rPr>
        <w:t>(1)</w:t>
      </w:r>
      <w:r w:rsidR="00343D29" w:rsidRPr="001D032F">
        <w:rPr>
          <w:rFonts w:ascii="Times New Roman" w:hAnsi="Times New Roman" w:cs="Times New Roman"/>
          <w:sz w:val="24"/>
          <w:szCs w:val="24"/>
          <w:shd w:val="clear" w:color="auto" w:fill="FFFFFF"/>
          <w:lang w:val="en-GB"/>
        </w:rPr>
        <w:t>:</w:t>
      </w:r>
      <w:r w:rsidRPr="001D032F">
        <w:rPr>
          <w:rFonts w:ascii="Times New Roman" w:hAnsi="Times New Roman" w:cs="Times New Roman"/>
          <w:sz w:val="24"/>
          <w:szCs w:val="24"/>
          <w:shd w:val="clear" w:color="auto" w:fill="FFFFFF"/>
          <w:lang w:val="en-GB"/>
        </w:rPr>
        <w:t xml:space="preserve"> 2-16.</w:t>
      </w:r>
    </w:p>
    <w:p w14:paraId="27F62130" w14:textId="1537E93A" w:rsidR="00E249D1" w:rsidRPr="006122BE" w:rsidRDefault="00E249D1" w:rsidP="00C03772">
      <w:pPr>
        <w:spacing w:after="0" w:line="480" w:lineRule="auto"/>
        <w:ind w:left="720" w:hanging="720"/>
        <w:rPr>
          <w:rFonts w:ascii="Times New Roman" w:hAnsi="Times New Roman" w:cs="Times New Roman"/>
          <w:sz w:val="24"/>
          <w:szCs w:val="24"/>
          <w:shd w:val="clear" w:color="auto" w:fill="FFFFFF"/>
          <w:lang w:val="en-GB"/>
        </w:rPr>
      </w:pPr>
      <w:proofErr w:type="spellStart"/>
      <w:r w:rsidRPr="006122BE">
        <w:rPr>
          <w:rFonts w:ascii="Times New Roman" w:hAnsi="Times New Roman" w:cs="Times New Roman"/>
          <w:sz w:val="24"/>
          <w:szCs w:val="24"/>
          <w:lang w:val="en-GB"/>
        </w:rPr>
        <w:t>Gorard</w:t>
      </w:r>
      <w:proofErr w:type="spellEnd"/>
      <w:r w:rsidRPr="006122BE">
        <w:rPr>
          <w:rFonts w:ascii="Times New Roman" w:hAnsi="Times New Roman" w:cs="Times New Roman"/>
          <w:sz w:val="24"/>
          <w:szCs w:val="24"/>
          <w:lang w:val="en-GB"/>
        </w:rPr>
        <w:t xml:space="preserve">, S., </w:t>
      </w:r>
      <w:r w:rsidR="00B03A08" w:rsidRPr="006122BE">
        <w:rPr>
          <w:rFonts w:ascii="Times New Roman" w:hAnsi="Times New Roman" w:cs="Times New Roman"/>
          <w:sz w:val="24"/>
          <w:szCs w:val="24"/>
          <w:lang w:val="en-GB"/>
        </w:rPr>
        <w:t xml:space="preserve">B. H. </w:t>
      </w:r>
      <w:proofErr w:type="gramStart"/>
      <w:r w:rsidRPr="006122BE">
        <w:rPr>
          <w:rFonts w:ascii="Times New Roman" w:hAnsi="Times New Roman" w:cs="Times New Roman"/>
          <w:sz w:val="24"/>
          <w:szCs w:val="24"/>
          <w:lang w:val="en-GB"/>
        </w:rPr>
        <w:t>Se</w:t>
      </w:r>
      <w:r w:rsidR="00B03A08" w:rsidRPr="006122BE">
        <w:rPr>
          <w:rFonts w:ascii="Times New Roman" w:hAnsi="Times New Roman" w:cs="Times New Roman"/>
          <w:sz w:val="24"/>
          <w:szCs w:val="24"/>
          <w:lang w:val="en-GB"/>
        </w:rPr>
        <w:t>e,</w:t>
      </w:r>
      <w:proofErr w:type="gramEnd"/>
      <w:r w:rsidR="00B03A08" w:rsidRPr="006122BE">
        <w:rPr>
          <w:rFonts w:ascii="Times New Roman" w:hAnsi="Times New Roman" w:cs="Times New Roman"/>
          <w:sz w:val="24"/>
          <w:szCs w:val="24"/>
          <w:lang w:val="en-GB"/>
        </w:rPr>
        <w:t xml:space="preserve"> and P. Davies. 2012</w:t>
      </w:r>
      <w:r w:rsidRPr="006122BE">
        <w:rPr>
          <w:rFonts w:ascii="Times New Roman" w:hAnsi="Times New Roman" w:cs="Times New Roman"/>
          <w:sz w:val="24"/>
          <w:szCs w:val="24"/>
          <w:lang w:val="en-GB"/>
        </w:rPr>
        <w:t>. </w:t>
      </w:r>
      <w:r w:rsidR="00F2491C" w:rsidRPr="00F2491C">
        <w:rPr>
          <w:rFonts w:ascii="Times New Roman" w:hAnsi="Times New Roman" w:cs="Times New Roman"/>
          <w:i/>
          <w:iCs/>
          <w:sz w:val="24"/>
          <w:szCs w:val="24"/>
          <w:lang w:val="en-GB"/>
        </w:rPr>
        <w:t>The Impact of Attitudes and Aspirations on Educational Attainment and Participation</w:t>
      </w:r>
      <w:r w:rsidRPr="006122BE">
        <w:rPr>
          <w:rFonts w:ascii="Times New Roman" w:hAnsi="Times New Roman" w:cs="Times New Roman"/>
          <w:sz w:val="24"/>
          <w:szCs w:val="24"/>
          <w:lang w:val="en-GB"/>
        </w:rPr>
        <w:t xml:space="preserve">. York: Joseph </w:t>
      </w:r>
      <w:r w:rsidR="00870A7B" w:rsidRPr="006122BE">
        <w:rPr>
          <w:rFonts w:ascii="Times New Roman" w:hAnsi="Times New Roman" w:cs="Times New Roman"/>
          <w:sz w:val="24"/>
          <w:szCs w:val="24"/>
          <w:lang w:val="en-GB"/>
        </w:rPr>
        <w:t xml:space="preserve">Rowntree Foundation. </w:t>
      </w:r>
      <w:r w:rsidR="00870A7B" w:rsidRPr="006122BE">
        <w:rPr>
          <w:rFonts w:ascii="Times New Roman" w:hAnsi="Times New Roman" w:cs="Times New Roman"/>
          <w:sz w:val="24"/>
          <w:szCs w:val="24"/>
          <w:lang w:val="en-GB"/>
        </w:rPr>
        <w:lastRenderedPageBreak/>
        <w:t>Retrieved from</w:t>
      </w:r>
      <w:r w:rsidRPr="006122BE">
        <w:rPr>
          <w:rFonts w:ascii="Times New Roman" w:hAnsi="Times New Roman" w:cs="Times New Roman"/>
          <w:sz w:val="24"/>
          <w:szCs w:val="24"/>
          <w:lang w:val="en-GB"/>
        </w:rPr>
        <w:t> https://www.jrf.org.uk/report/impact-attitudes-and-aspirations-educational-attainment-and-participation</w:t>
      </w:r>
    </w:p>
    <w:p w14:paraId="5C96C88F" w14:textId="64742DE3" w:rsidR="00F8163D" w:rsidRPr="00251214" w:rsidRDefault="00F8163D" w:rsidP="00C03772">
      <w:pPr>
        <w:spacing w:after="0" w:line="480" w:lineRule="auto"/>
        <w:ind w:left="720" w:hanging="720"/>
        <w:rPr>
          <w:rFonts w:asciiTheme="majorBidi" w:hAnsiTheme="majorBidi" w:cstheme="majorBidi"/>
          <w:sz w:val="24"/>
          <w:szCs w:val="24"/>
          <w:shd w:val="clear" w:color="auto" w:fill="FFFFFF"/>
          <w:lang w:val="en-GB"/>
        </w:rPr>
      </w:pPr>
      <w:proofErr w:type="spellStart"/>
      <w:r w:rsidRPr="00CF1BD8">
        <w:rPr>
          <w:rFonts w:asciiTheme="majorBidi" w:hAnsiTheme="majorBidi" w:cstheme="majorBidi"/>
          <w:sz w:val="24"/>
          <w:szCs w:val="24"/>
          <w:shd w:val="clear" w:color="auto" w:fill="FFFFFF"/>
          <w:lang w:val="en-GB"/>
        </w:rPr>
        <w:t>Gutman</w:t>
      </w:r>
      <w:proofErr w:type="spellEnd"/>
      <w:r w:rsidRPr="00CF1BD8">
        <w:rPr>
          <w:rFonts w:asciiTheme="majorBidi" w:hAnsiTheme="majorBidi" w:cstheme="majorBidi"/>
          <w:sz w:val="24"/>
          <w:szCs w:val="24"/>
          <w:shd w:val="clear" w:color="auto" w:fill="FFFFFF"/>
          <w:lang w:val="en-GB"/>
        </w:rPr>
        <w:t xml:space="preserve">, L., </w:t>
      </w:r>
      <w:r w:rsidR="00425DC4" w:rsidRPr="00CF1BD8">
        <w:rPr>
          <w:rFonts w:asciiTheme="majorBidi" w:hAnsiTheme="majorBidi" w:cstheme="majorBidi"/>
          <w:sz w:val="24"/>
          <w:szCs w:val="24"/>
          <w:shd w:val="clear" w:color="auto" w:fill="FFFFFF"/>
          <w:lang w:val="en-GB"/>
        </w:rPr>
        <w:t>and</w:t>
      </w:r>
      <w:r w:rsidRPr="00CF1BD8">
        <w:rPr>
          <w:rFonts w:asciiTheme="majorBidi" w:hAnsiTheme="majorBidi" w:cstheme="majorBidi"/>
          <w:sz w:val="24"/>
          <w:szCs w:val="24"/>
          <w:shd w:val="clear" w:color="auto" w:fill="FFFFFF"/>
          <w:lang w:val="en-GB"/>
        </w:rPr>
        <w:t xml:space="preserve"> </w:t>
      </w:r>
      <w:r w:rsidR="00425DC4" w:rsidRPr="00CF1BD8">
        <w:rPr>
          <w:rFonts w:asciiTheme="majorBidi" w:hAnsiTheme="majorBidi" w:cstheme="majorBidi"/>
          <w:sz w:val="24"/>
          <w:szCs w:val="24"/>
          <w:shd w:val="clear" w:color="auto" w:fill="FFFFFF"/>
          <w:lang w:val="en-GB"/>
        </w:rPr>
        <w:t xml:space="preserve">R. </w:t>
      </w:r>
      <w:proofErr w:type="spellStart"/>
      <w:r w:rsidRPr="00CF1BD8">
        <w:rPr>
          <w:rFonts w:asciiTheme="majorBidi" w:hAnsiTheme="majorBidi" w:cstheme="majorBidi"/>
          <w:sz w:val="24"/>
          <w:szCs w:val="24"/>
          <w:shd w:val="clear" w:color="auto" w:fill="FFFFFF"/>
          <w:lang w:val="en-GB"/>
        </w:rPr>
        <w:t>Akerman</w:t>
      </w:r>
      <w:proofErr w:type="spellEnd"/>
      <w:r w:rsidR="00425DC4" w:rsidRPr="00CF1BD8">
        <w:rPr>
          <w:rFonts w:asciiTheme="majorBidi" w:hAnsiTheme="majorBidi" w:cstheme="majorBidi"/>
          <w:sz w:val="24"/>
          <w:szCs w:val="24"/>
          <w:shd w:val="clear" w:color="auto" w:fill="FFFFFF"/>
          <w:lang w:val="en-GB"/>
        </w:rPr>
        <w:t>. 2008</w:t>
      </w:r>
      <w:r w:rsidRPr="00CF1BD8">
        <w:rPr>
          <w:rFonts w:asciiTheme="majorBidi" w:hAnsiTheme="majorBidi" w:cstheme="majorBidi"/>
          <w:sz w:val="24"/>
          <w:szCs w:val="24"/>
          <w:shd w:val="clear" w:color="auto" w:fill="FFFFFF"/>
          <w:lang w:val="en-GB"/>
        </w:rPr>
        <w:t>. </w:t>
      </w:r>
      <w:r w:rsidR="00F16546">
        <w:rPr>
          <w:rFonts w:asciiTheme="majorBidi" w:hAnsiTheme="majorBidi" w:cstheme="majorBidi"/>
          <w:i/>
          <w:iCs/>
          <w:sz w:val="24"/>
          <w:szCs w:val="24"/>
          <w:shd w:val="clear" w:color="auto" w:fill="FFFFFF"/>
          <w:lang w:val="en-GB"/>
        </w:rPr>
        <w:t>Determinants of A</w:t>
      </w:r>
      <w:r w:rsidRPr="00CF1BD8">
        <w:rPr>
          <w:rFonts w:asciiTheme="majorBidi" w:hAnsiTheme="majorBidi" w:cstheme="majorBidi"/>
          <w:i/>
          <w:iCs/>
          <w:sz w:val="24"/>
          <w:szCs w:val="24"/>
          <w:shd w:val="clear" w:color="auto" w:fill="FFFFFF"/>
          <w:lang w:val="en-GB"/>
        </w:rPr>
        <w:t>spirations [</w:t>
      </w:r>
      <w:r w:rsidR="00F16546">
        <w:rPr>
          <w:rFonts w:asciiTheme="majorBidi" w:hAnsiTheme="majorBidi" w:cstheme="majorBidi"/>
          <w:i/>
          <w:iCs/>
          <w:sz w:val="24"/>
          <w:szCs w:val="24"/>
          <w:shd w:val="clear" w:color="auto" w:fill="FFFFFF"/>
          <w:lang w:val="en-GB"/>
        </w:rPr>
        <w:t>W</w:t>
      </w:r>
      <w:r w:rsidRPr="00CF1BD8">
        <w:rPr>
          <w:rFonts w:asciiTheme="majorBidi" w:hAnsiTheme="majorBidi" w:cstheme="majorBidi"/>
          <w:i/>
          <w:iCs/>
          <w:sz w:val="24"/>
          <w:szCs w:val="24"/>
          <w:shd w:val="clear" w:color="auto" w:fill="FFFFFF"/>
          <w:lang w:val="en-GB"/>
        </w:rPr>
        <w:t xml:space="preserve">ider </w:t>
      </w:r>
      <w:r w:rsidR="00F16546">
        <w:rPr>
          <w:rFonts w:asciiTheme="majorBidi" w:hAnsiTheme="majorBidi" w:cstheme="majorBidi"/>
          <w:i/>
          <w:iCs/>
          <w:sz w:val="24"/>
          <w:szCs w:val="24"/>
          <w:shd w:val="clear" w:color="auto" w:fill="FFFFFF"/>
          <w:lang w:val="en-GB"/>
        </w:rPr>
        <w:t>B</w:t>
      </w:r>
      <w:r w:rsidRPr="00CF1BD8">
        <w:rPr>
          <w:rFonts w:asciiTheme="majorBidi" w:hAnsiTheme="majorBidi" w:cstheme="majorBidi"/>
          <w:i/>
          <w:iCs/>
          <w:sz w:val="24"/>
          <w:szCs w:val="24"/>
          <w:shd w:val="clear" w:color="auto" w:fill="FFFFFF"/>
          <w:lang w:val="en-GB"/>
        </w:rPr>
        <w:t xml:space="preserve">enefits of </w:t>
      </w:r>
      <w:r w:rsidR="00F16546">
        <w:rPr>
          <w:rFonts w:asciiTheme="majorBidi" w:hAnsiTheme="majorBidi" w:cstheme="majorBidi"/>
          <w:i/>
          <w:iCs/>
          <w:sz w:val="24"/>
          <w:szCs w:val="24"/>
          <w:shd w:val="clear" w:color="auto" w:fill="FFFFFF"/>
          <w:lang w:val="en-GB"/>
        </w:rPr>
        <w:t>L</w:t>
      </w:r>
      <w:r w:rsidRPr="00CF1BD8">
        <w:rPr>
          <w:rFonts w:asciiTheme="majorBidi" w:hAnsiTheme="majorBidi" w:cstheme="majorBidi"/>
          <w:i/>
          <w:iCs/>
          <w:sz w:val="24"/>
          <w:szCs w:val="24"/>
          <w:shd w:val="clear" w:color="auto" w:fill="FFFFFF"/>
          <w:lang w:val="en-GB"/>
        </w:rPr>
        <w:t xml:space="preserve">earning </w:t>
      </w:r>
      <w:r w:rsidR="00F16546">
        <w:rPr>
          <w:rFonts w:asciiTheme="majorBidi" w:hAnsiTheme="majorBidi" w:cstheme="majorBidi"/>
          <w:i/>
          <w:iCs/>
          <w:sz w:val="24"/>
          <w:szCs w:val="24"/>
          <w:shd w:val="clear" w:color="auto" w:fill="FFFFFF"/>
          <w:lang w:val="en-GB"/>
        </w:rPr>
        <w:t>R</w:t>
      </w:r>
      <w:r w:rsidRPr="00CF1BD8">
        <w:rPr>
          <w:rFonts w:asciiTheme="majorBidi" w:hAnsiTheme="majorBidi" w:cstheme="majorBidi"/>
          <w:i/>
          <w:iCs/>
          <w:sz w:val="24"/>
          <w:szCs w:val="24"/>
          <w:shd w:val="clear" w:color="auto" w:fill="FFFFFF"/>
          <w:lang w:val="en-GB"/>
        </w:rPr>
        <w:t xml:space="preserve">esearch </w:t>
      </w:r>
      <w:r w:rsidR="00F16546">
        <w:rPr>
          <w:rFonts w:asciiTheme="majorBidi" w:hAnsiTheme="majorBidi" w:cstheme="majorBidi"/>
          <w:i/>
          <w:iCs/>
          <w:sz w:val="24"/>
          <w:szCs w:val="24"/>
          <w:shd w:val="clear" w:color="auto" w:fill="FFFFFF"/>
          <w:lang w:val="en-GB"/>
        </w:rPr>
        <w:t>R</w:t>
      </w:r>
      <w:r w:rsidRPr="00CF1BD8">
        <w:rPr>
          <w:rFonts w:asciiTheme="majorBidi" w:hAnsiTheme="majorBidi" w:cstheme="majorBidi"/>
          <w:i/>
          <w:iCs/>
          <w:sz w:val="24"/>
          <w:szCs w:val="24"/>
          <w:shd w:val="clear" w:color="auto" w:fill="FFFFFF"/>
          <w:lang w:val="en-GB"/>
        </w:rPr>
        <w:t xml:space="preserve">eport </w:t>
      </w:r>
      <w:r w:rsidR="00F16546">
        <w:rPr>
          <w:rFonts w:asciiTheme="majorBidi" w:hAnsiTheme="majorBidi" w:cstheme="majorBidi"/>
          <w:i/>
          <w:iCs/>
          <w:sz w:val="24"/>
          <w:szCs w:val="24"/>
          <w:shd w:val="clear" w:color="auto" w:fill="FFFFFF"/>
          <w:lang w:val="en-GB"/>
        </w:rPr>
        <w:t>N</w:t>
      </w:r>
      <w:r w:rsidRPr="00CF1BD8">
        <w:rPr>
          <w:rFonts w:asciiTheme="majorBidi" w:hAnsiTheme="majorBidi" w:cstheme="majorBidi"/>
          <w:i/>
          <w:iCs/>
          <w:sz w:val="24"/>
          <w:szCs w:val="24"/>
          <w:shd w:val="clear" w:color="auto" w:fill="FFFFFF"/>
          <w:lang w:val="en-GB"/>
        </w:rPr>
        <w:t>o. 27]</w:t>
      </w:r>
      <w:r w:rsidRPr="00CF1BD8">
        <w:rPr>
          <w:rFonts w:asciiTheme="majorBidi" w:hAnsiTheme="majorBidi" w:cstheme="majorBidi"/>
          <w:sz w:val="24"/>
          <w:szCs w:val="24"/>
          <w:shd w:val="clear" w:color="auto" w:fill="FFFFFF"/>
          <w:lang w:val="en-GB"/>
        </w:rPr>
        <w:t xml:space="preserve">. </w:t>
      </w:r>
      <w:r w:rsidR="00155884" w:rsidRPr="00CF1BD8">
        <w:rPr>
          <w:rFonts w:asciiTheme="majorBidi" w:hAnsiTheme="majorBidi" w:cstheme="majorBidi"/>
          <w:sz w:val="24"/>
          <w:szCs w:val="24"/>
          <w:shd w:val="clear" w:color="auto" w:fill="FFFFFF"/>
          <w:lang w:val="en-GB"/>
        </w:rPr>
        <w:t xml:space="preserve">London: </w:t>
      </w:r>
      <w:r w:rsidRPr="00CF1BD8">
        <w:rPr>
          <w:rFonts w:asciiTheme="majorBidi" w:hAnsiTheme="majorBidi" w:cstheme="majorBidi"/>
          <w:sz w:val="24"/>
          <w:szCs w:val="24"/>
          <w:shd w:val="clear" w:color="auto" w:fill="FFFFFF"/>
          <w:lang w:val="en-GB"/>
        </w:rPr>
        <w:t xml:space="preserve">Centre for Research on the Wider Benefits of Learning, Institute </w:t>
      </w:r>
      <w:r w:rsidRPr="00251214">
        <w:rPr>
          <w:rFonts w:asciiTheme="majorBidi" w:hAnsiTheme="majorBidi" w:cstheme="majorBidi"/>
          <w:sz w:val="24"/>
          <w:szCs w:val="24"/>
          <w:shd w:val="clear" w:color="auto" w:fill="FFFFFF"/>
          <w:lang w:val="en-GB"/>
        </w:rPr>
        <w:t>of Education, University of London.</w:t>
      </w:r>
    </w:p>
    <w:p w14:paraId="1F990B4A" w14:textId="5583EEA0" w:rsidR="00F8163D" w:rsidRPr="00251214" w:rsidRDefault="00F8163D" w:rsidP="00C03772">
      <w:pPr>
        <w:spacing w:after="0" w:line="480" w:lineRule="auto"/>
        <w:ind w:left="720" w:hanging="720"/>
        <w:rPr>
          <w:rFonts w:asciiTheme="majorBidi" w:hAnsiTheme="majorBidi" w:cstheme="majorBidi"/>
          <w:sz w:val="24"/>
          <w:szCs w:val="24"/>
          <w:shd w:val="clear" w:color="auto" w:fill="FFFFFF"/>
          <w:lang w:val="en-GB"/>
        </w:rPr>
      </w:pPr>
      <w:r w:rsidRPr="00251214">
        <w:rPr>
          <w:rFonts w:asciiTheme="majorBidi" w:hAnsiTheme="majorBidi" w:cstheme="majorBidi"/>
          <w:sz w:val="24"/>
          <w:szCs w:val="24"/>
          <w:shd w:val="clear" w:color="auto" w:fill="FFFFFF"/>
          <w:lang w:val="en-GB"/>
        </w:rPr>
        <w:t xml:space="preserve">Haller, A. O., </w:t>
      </w:r>
      <w:r w:rsidR="005A6896" w:rsidRPr="00251214">
        <w:rPr>
          <w:rFonts w:asciiTheme="majorBidi" w:hAnsiTheme="majorBidi" w:cstheme="majorBidi"/>
          <w:sz w:val="24"/>
          <w:szCs w:val="24"/>
          <w:shd w:val="clear" w:color="auto" w:fill="FFFFFF"/>
          <w:lang w:val="en-GB"/>
        </w:rPr>
        <w:t>and</w:t>
      </w:r>
      <w:r w:rsidRPr="00251214">
        <w:rPr>
          <w:rFonts w:asciiTheme="majorBidi" w:hAnsiTheme="majorBidi" w:cstheme="majorBidi"/>
          <w:sz w:val="24"/>
          <w:szCs w:val="24"/>
          <w:shd w:val="clear" w:color="auto" w:fill="FFFFFF"/>
          <w:lang w:val="en-GB"/>
        </w:rPr>
        <w:t xml:space="preserve"> </w:t>
      </w:r>
      <w:r w:rsidR="005A6896" w:rsidRPr="00251214">
        <w:rPr>
          <w:rFonts w:asciiTheme="majorBidi" w:hAnsiTheme="majorBidi" w:cstheme="majorBidi"/>
          <w:sz w:val="24"/>
          <w:szCs w:val="24"/>
          <w:shd w:val="clear" w:color="auto" w:fill="FFFFFF"/>
          <w:lang w:val="en-GB"/>
        </w:rPr>
        <w:t xml:space="preserve">A. </w:t>
      </w:r>
      <w:proofErr w:type="spellStart"/>
      <w:r w:rsidRPr="00251214">
        <w:rPr>
          <w:rFonts w:asciiTheme="majorBidi" w:hAnsiTheme="majorBidi" w:cstheme="majorBidi"/>
          <w:sz w:val="24"/>
          <w:szCs w:val="24"/>
          <w:shd w:val="clear" w:color="auto" w:fill="FFFFFF"/>
          <w:lang w:val="en-GB"/>
        </w:rPr>
        <w:t>Portes</w:t>
      </w:r>
      <w:proofErr w:type="spellEnd"/>
      <w:r w:rsidR="005A6896" w:rsidRPr="00251214">
        <w:rPr>
          <w:rFonts w:asciiTheme="majorBidi" w:hAnsiTheme="majorBidi" w:cstheme="majorBidi"/>
          <w:sz w:val="24"/>
          <w:szCs w:val="24"/>
          <w:shd w:val="clear" w:color="auto" w:fill="FFFFFF"/>
          <w:lang w:val="en-GB"/>
        </w:rPr>
        <w:t>. 1973</w:t>
      </w:r>
      <w:r w:rsidRPr="00251214">
        <w:rPr>
          <w:rFonts w:asciiTheme="majorBidi" w:hAnsiTheme="majorBidi" w:cstheme="majorBidi"/>
          <w:sz w:val="24"/>
          <w:szCs w:val="24"/>
          <w:shd w:val="clear" w:color="auto" w:fill="FFFFFF"/>
          <w:lang w:val="en-GB"/>
        </w:rPr>
        <w:t xml:space="preserve">. </w:t>
      </w:r>
      <w:r w:rsidR="005A6896" w:rsidRPr="00251214">
        <w:rPr>
          <w:rFonts w:asciiTheme="majorBidi" w:hAnsiTheme="majorBidi" w:cstheme="majorBidi"/>
          <w:sz w:val="24"/>
          <w:szCs w:val="24"/>
          <w:shd w:val="clear" w:color="auto" w:fill="FFFFFF"/>
          <w:lang w:val="en-GB"/>
        </w:rPr>
        <w:t>“</w:t>
      </w:r>
      <w:r w:rsidR="004C6AA7">
        <w:rPr>
          <w:rFonts w:asciiTheme="majorBidi" w:hAnsiTheme="majorBidi" w:cstheme="majorBidi"/>
          <w:sz w:val="24"/>
          <w:szCs w:val="24"/>
          <w:shd w:val="clear" w:color="auto" w:fill="FFFFFF"/>
          <w:lang w:val="en-GB"/>
        </w:rPr>
        <w:t>Status A</w:t>
      </w:r>
      <w:r w:rsidRPr="00251214">
        <w:rPr>
          <w:rFonts w:asciiTheme="majorBidi" w:hAnsiTheme="majorBidi" w:cstheme="majorBidi"/>
          <w:sz w:val="24"/>
          <w:szCs w:val="24"/>
          <w:shd w:val="clear" w:color="auto" w:fill="FFFFFF"/>
          <w:lang w:val="en-GB"/>
        </w:rPr>
        <w:t xml:space="preserve">ttainment </w:t>
      </w:r>
      <w:r w:rsidR="004C6AA7">
        <w:rPr>
          <w:rFonts w:asciiTheme="majorBidi" w:hAnsiTheme="majorBidi" w:cstheme="majorBidi"/>
          <w:sz w:val="24"/>
          <w:szCs w:val="24"/>
          <w:shd w:val="clear" w:color="auto" w:fill="FFFFFF"/>
          <w:lang w:val="en-GB"/>
        </w:rPr>
        <w:t>P</w:t>
      </w:r>
      <w:r w:rsidRPr="00251214">
        <w:rPr>
          <w:rFonts w:asciiTheme="majorBidi" w:hAnsiTheme="majorBidi" w:cstheme="majorBidi"/>
          <w:sz w:val="24"/>
          <w:szCs w:val="24"/>
          <w:shd w:val="clear" w:color="auto" w:fill="FFFFFF"/>
          <w:lang w:val="en-GB"/>
        </w:rPr>
        <w:t>rocesses.</w:t>
      </w:r>
      <w:r w:rsidR="005A6896" w:rsidRPr="00251214">
        <w:rPr>
          <w:rFonts w:asciiTheme="majorBidi" w:hAnsiTheme="majorBidi" w:cstheme="majorBidi"/>
          <w:sz w:val="24"/>
          <w:szCs w:val="24"/>
          <w:shd w:val="clear" w:color="auto" w:fill="FFFFFF"/>
          <w:lang w:val="en-GB"/>
        </w:rPr>
        <w:t>”</w:t>
      </w:r>
      <w:r w:rsidRPr="00251214">
        <w:rPr>
          <w:rFonts w:asciiTheme="majorBidi" w:hAnsiTheme="majorBidi" w:cstheme="majorBidi"/>
          <w:sz w:val="24"/>
          <w:szCs w:val="24"/>
          <w:shd w:val="clear" w:color="auto" w:fill="FFFFFF"/>
          <w:lang w:val="en-GB"/>
        </w:rPr>
        <w:t> </w:t>
      </w:r>
      <w:r w:rsidRPr="00251214">
        <w:rPr>
          <w:rFonts w:asciiTheme="majorBidi" w:hAnsiTheme="majorBidi" w:cstheme="majorBidi"/>
          <w:i/>
          <w:iCs/>
          <w:sz w:val="24"/>
          <w:szCs w:val="24"/>
          <w:shd w:val="clear" w:color="auto" w:fill="FFFFFF"/>
          <w:lang w:val="en-GB"/>
        </w:rPr>
        <w:t xml:space="preserve">Sociology of </w:t>
      </w:r>
      <w:r w:rsidR="004C6AA7">
        <w:rPr>
          <w:rFonts w:asciiTheme="majorBidi" w:hAnsiTheme="majorBidi" w:cstheme="majorBidi"/>
          <w:i/>
          <w:iCs/>
          <w:sz w:val="24"/>
          <w:szCs w:val="24"/>
          <w:shd w:val="clear" w:color="auto" w:fill="FFFFFF"/>
          <w:lang w:val="en-GB"/>
        </w:rPr>
        <w:t>E</w:t>
      </w:r>
      <w:r w:rsidRPr="00251214">
        <w:rPr>
          <w:rFonts w:asciiTheme="majorBidi" w:hAnsiTheme="majorBidi" w:cstheme="majorBidi"/>
          <w:i/>
          <w:iCs/>
          <w:sz w:val="24"/>
          <w:szCs w:val="24"/>
          <w:shd w:val="clear" w:color="auto" w:fill="FFFFFF"/>
          <w:lang w:val="en-GB"/>
        </w:rPr>
        <w:t>ducation</w:t>
      </w:r>
      <w:r w:rsidRPr="00251214">
        <w:rPr>
          <w:rFonts w:asciiTheme="majorBidi" w:hAnsiTheme="majorBidi" w:cstheme="majorBidi"/>
          <w:sz w:val="24"/>
          <w:szCs w:val="24"/>
          <w:shd w:val="clear" w:color="auto" w:fill="FFFFFF"/>
          <w:lang w:val="en-GB"/>
        </w:rPr>
        <w:t xml:space="preserve"> </w:t>
      </w:r>
      <w:r w:rsidRPr="00251214">
        <w:rPr>
          <w:rFonts w:asciiTheme="majorBidi" w:hAnsiTheme="majorBidi" w:cstheme="majorBidi"/>
          <w:iCs/>
          <w:sz w:val="24"/>
          <w:szCs w:val="24"/>
          <w:shd w:val="clear" w:color="auto" w:fill="FFFFFF"/>
          <w:lang w:val="en-GB"/>
        </w:rPr>
        <w:t>46</w:t>
      </w:r>
      <w:r w:rsidR="005A6896" w:rsidRPr="00251214">
        <w:rPr>
          <w:rFonts w:asciiTheme="majorBidi" w:hAnsiTheme="majorBidi" w:cstheme="majorBidi"/>
          <w:sz w:val="24"/>
          <w:szCs w:val="24"/>
          <w:shd w:val="clear" w:color="auto" w:fill="FFFFFF"/>
          <w:lang w:val="en-GB"/>
        </w:rPr>
        <w:t xml:space="preserve"> </w:t>
      </w:r>
      <w:r w:rsidRPr="00251214">
        <w:rPr>
          <w:rFonts w:asciiTheme="majorBidi" w:hAnsiTheme="majorBidi" w:cstheme="majorBidi"/>
          <w:sz w:val="24"/>
          <w:szCs w:val="24"/>
          <w:shd w:val="clear" w:color="auto" w:fill="FFFFFF"/>
          <w:lang w:val="en-GB"/>
        </w:rPr>
        <w:t>(1)</w:t>
      </w:r>
      <w:r w:rsidR="005A6896" w:rsidRPr="00251214">
        <w:rPr>
          <w:rFonts w:asciiTheme="majorBidi" w:hAnsiTheme="majorBidi" w:cstheme="majorBidi"/>
          <w:sz w:val="24"/>
          <w:szCs w:val="24"/>
          <w:shd w:val="clear" w:color="auto" w:fill="FFFFFF"/>
          <w:lang w:val="en-GB"/>
        </w:rPr>
        <w:t>:</w:t>
      </w:r>
      <w:r w:rsidRPr="00251214">
        <w:rPr>
          <w:rFonts w:asciiTheme="majorBidi" w:hAnsiTheme="majorBidi" w:cstheme="majorBidi"/>
          <w:sz w:val="24"/>
          <w:szCs w:val="24"/>
          <w:shd w:val="clear" w:color="auto" w:fill="FFFFFF"/>
          <w:lang w:val="en-GB"/>
        </w:rPr>
        <w:t xml:space="preserve"> 51-91.</w:t>
      </w:r>
    </w:p>
    <w:p w14:paraId="4D52DA97" w14:textId="044CE8BF" w:rsidR="00F8163D" w:rsidRPr="00FB25E5" w:rsidRDefault="00954121" w:rsidP="00C03772">
      <w:pPr>
        <w:spacing w:after="0" w:line="480" w:lineRule="auto"/>
        <w:ind w:left="720" w:hanging="720"/>
        <w:rPr>
          <w:rFonts w:asciiTheme="majorBidi" w:hAnsiTheme="majorBidi" w:cstheme="majorBidi"/>
          <w:sz w:val="24"/>
          <w:szCs w:val="24"/>
          <w:shd w:val="clear" w:color="auto" w:fill="FFFFFF"/>
          <w:lang w:val="en-GB"/>
        </w:rPr>
      </w:pPr>
      <w:r w:rsidRPr="00FB25E5">
        <w:rPr>
          <w:rStyle w:val="Emphasis"/>
          <w:rFonts w:asciiTheme="majorBidi" w:hAnsiTheme="majorBidi" w:cstheme="majorBidi"/>
          <w:i w:val="0"/>
          <w:iCs w:val="0"/>
          <w:sz w:val="24"/>
          <w:szCs w:val="24"/>
          <w:shd w:val="clear" w:color="auto" w:fill="FFFFFF"/>
          <w:lang w:val="en-GB"/>
        </w:rPr>
        <w:t>Hanson, S. L. 1994</w:t>
      </w:r>
      <w:r w:rsidR="00F8163D" w:rsidRPr="00FB25E5">
        <w:rPr>
          <w:rStyle w:val="Emphasis"/>
          <w:rFonts w:asciiTheme="majorBidi" w:hAnsiTheme="majorBidi" w:cstheme="majorBidi"/>
          <w:i w:val="0"/>
          <w:iCs w:val="0"/>
          <w:sz w:val="24"/>
          <w:szCs w:val="24"/>
          <w:shd w:val="clear" w:color="auto" w:fill="FFFFFF"/>
          <w:lang w:val="en-GB"/>
        </w:rPr>
        <w:t xml:space="preserve">. </w:t>
      </w:r>
      <w:r w:rsidRPr="00FB25E5">
        <w:rPr>
          <w:rStyle w:val="Emphasis"/>
          <w:rFonts w:asciiTheme="majorBidi" w:hAnsiTheme="majorBidi" w:cstheme="majorBidi"/>
          <w:i w:val="0"/>
          <w:iCs w:val="0"/>
          <w:sz w:val="24"/>
          <w:szCs w:val="24"/>
          <w:shd w:val="clear" w:color="auto" w:fill="FFFFFF"/>
          <w:lang w:val="en-GB"/>
        </w:rPr>
        <w:t>“</w:t>
      </w:r>
      <w:r w:rsidR="004F0FA8" w:rsidRPr="004F0FA8">
        <w:rPr>
          <w:rStyle w:val="Emphasis"/>
          <w:rFonts w:asciiTheme="majorBidi" w:hAnsiTheme="majorBidi" w:cstheme="majorBidi"/>
          <w:i w:val="0"/>
          <w:iCs w:val="0"/>
          <w:sz w:val="24"/>
          <w:szCs w:val="24"/>
          <w:shd w:val="clear" w:color="auto" w:fill="FFFFFF"/>
          <w:lang w:val="en-GB"/>
        </w:rPr>
        <w:t xml:space="preserve">Lost Talent: Unrealized Educational Aspirations and Expectations </w:t>
      </w:r>
      <w:proofErr w:type="gramStart"/>
      <w:r w:rsidR="004F0FA8" w:rsidRPr="004F0FA8">
        <w:rPr>
          <w:rStyle w:val="Emphasis"/>
          <w:rFonts w:asciiTheme="majorBidi" w:hAnsiTheme="majorBidi" w:cstheme="majorBidi"/>
          <w:i w:val="0"/>
          <w:iCs w:val="0"/>
          <w:sz w:val="24"/>
          <w:szCs w:val="24"/>
          <w:shd w:val="clear" w:color="auto" w:fill="FFFFFF"/>
          <w:lang w:val="en-GB"/>
        </w:rPr>
        <w:t>Among</w:t>
      </w:r>
      <w:proofErr w:type="gramEnd"/>
      <w:r w:rsidR="004F0FA8" w:rsidRPr="004F0FA8">
        <w:rPr>
          <w:rStyle w:val="Emphasis"/>
          <w:rFonts w:asciiTheme="majorBidi" w:hAnsiTheme="majorBidi" w:cstheme="majorBidi"/>
          <w:i w:val="0"/>
          <w:iCs w:val="0"/>
          <w:sz w:val="24"/>
          <w:szCs w:val="24"/>
          <w:shd w:val="clear" w:color="auto" w:fill="FFFFFF"/>
          <w:lang w:val="en-GB"/>
        </w:rPr>
        <w:t xml:space="preserve"> U.S. Youths</w:t>
      </w:r>
      <w:r w:rsidR="00F8163D" w:rsidRPr="00FB25E5">
        <w:rPr>
          <w:rStyle w:val="Emphasis"/>
          <w:rFonts w:asciiTheme="majorBidi" w:hAnsiTheme="majorBidi" w:cstheme="majorBidi"/>
          <w:i w:val="0"/>
          <w:iCs w:val="0"/>
          <w:sz w:val="24"/>
          <w:szCs w:val="24"/>
          <w:shd w:val="clear" w:color="auto" w:fill="FFFFFF"/>
          <w:lang w:val="en-GB"/>
        </w:rPr>
        <w:t>.</w:t>
      </w:r>
      <w:r w:rsidRPr="00FB25E5">
        <w:rPr>
          <w:rStyle w:val="Emphasis"/>
          <w:rFonts w:asciiTheme="majorBidi" w:hAnsiTheme="majorBidi" w:cstheme="majorBidi"/>
          <w:i w:val="0"/>
          <w:iCs w:val="0"/>
          <w:sz w:val="24"/>
          <w:szCs w:val="24"/>
          <w:shd w:val="clear" w:color="auto" w:fill="FFFFFF"/>
          <w:lang w:val="en-GB"/>
        </w:rPr>
        <w:t>”</w:t>
      </w:r>
      <w:r w:rsidR="00F8163D" w:rsidRPr="00FB25E5">
        <w:rPr>
          <w:rStyle w:val="Emphasis"/>
          <w:rFonts w:asciiTheme="majorBidi" w:hAnsiTheme="majorBidi" w:cstheme="majorBidi"/>
          <w:i w:val="0"/>
          <w:iCs w:val="0"/>
          <w:sz w:val="24"/>
          <w:szCs w:val="24"/>
          <w:shd w:val="clear" w:color="auto" w:fill="FFFFFF"/>
          <w:lang w:val="en-GB"/>
        </w:rPr>
        <w:t xml:space="preserve"> </w:t>
      </w:r>
      <w:r w:rsidR="00F8163D" w:rsidRPr="00FB25E5">
        <w:rPr>
          <w:rStyle w:val="Emphasis"/>
          <w:rFonts w:asciiTheme="majorBidi" w:hAnsiTheme="majorBidi" w:cstheme="majorBidi"/>
          <w:sz w:val="24"/>
          <w:szCs w:val="24"/>
          <w:shd w:val="clear" w:color="auto" w:fill="FFFFFF"/>
          <w:lang w:val="en-GB"/>
        </w:rPr>
        <w:t>Sociology of Education</w:t>
      </w:r>
      <w:r w:rsidR="00F8163D" w:rsidRPr="00FB25E5">
        <w:rPr>
          <w:rFonts w:asciiTheme="majorBidi" w:hAnsiTheme="majorBidi" w:cstheme="majorBidi"/>
          <w:sz w:val="24"/>
          <w:szCs w:val="24"/>
          <w:shd w:val="clear" w:color="auto" w:fill="FFFFFF"/>
          <w:lang w:val="en-GB"/>
        </w:rPr>
        <w:t xml:space="preserve"> </w:t>
      </w:r>
      <w:r w:rsidR="00F8163D" w:rsidRPr="00FB25E5">
        <w:rPr>
          <w:rFonts w:asciiTheme="majorBidi" w:hAnsiTheme="majorBidi" w:cstheme="majorBidi"/>
          <w:iCs/>
          <w:sz w:val="24"/>
          <w:szCs w:val="24"/>
          <w:shd w:val="clear" w:color="auto" w:fill="FFFFFF"/>
          <w:lang w:val="en-GB"/>
        </w:rPr>
        <w:t>67</w:t>
      </w:r>
      <w:r w:rsidRPr="00FB25E5">
        <w:rPr>
          <w:rFonts w:asciiTheme="majorBidi" w:hAnsiTheme="majorBidi" w:cstheme="majorBidi"/>
          <w:sz w:val="24"/>
          <w:szCs w:val="24"/>
          <w:shd w:val="clear" w:color="auto" w:fill="FFFFFF"/>
          <w:lang w:val="en-GB"/>
        </w:rPr>
        <w:t xml:space="preserve"> </w:t>
      </w:r>
      <w:r w:rsidR="00F8163D" w:rsidRPr="00FB25E5">
        <w:rPr>
          <w:rFonts w:asciiTheme="majorBidi" w:hAnsiTheme="majorBidi" w:cstheme="majorBidi"/>
          <w:sz w:val="24"/>
          <w:szCs w:val="24"/>
          <w:shd w:val="clear" w:color="auto" w:fill="FFFFFF"/>
          <w:lang w:val="en-GB"/>
        </w:rPr>
        <w:t>(3)</w:t>
      </w:r>
      <w:r w:rsidRPr="00FB25E5">
        <w:rPr>
          <w:rFonts w:asciiTheme="majorBidi" w:hAnsiTheme="majorBidi" w:cstheme="majorBidi"/>
          <w:sz w:val="24"/>
          <w:szCs w:val="24"/>
          <w:shd w:val="clear" w:color="auto" w:fill="FFFFFF"/>
          <w:lang w:val="en-GB"/>
        </w:rPr>
        <w:t>:</w:t>
      </w:r>
      <w:r w:rsidR="00F8163D" w:rsidRPr="00FB25E5">
        <w:rPr>
          <w:rFonts w:asciiTheme="majorBidi" w:hAnsiTheme="majorBidi" w:cstheme="majorBidi"/>
          <w:sz w:val="24"/>
          <w:szCs w:val="24"/>
          <w:shd w:val="clear" w:color="auto" w:fill="FFFFFF"/>
          <w:lang w:val="en-GB"/>
        </w:rPr>
        <w:t xml:space="preserve"> 159-183. </w:t>
      </w:r>
      <w:proofErr w:type="gramStart"/>
      <w:r w:rsidRPr="00FB25E5">
        <w:rPr>
          <w:rFonts w:asciiTheme="majorBidi" w:hAnsiTheme="majorBidi" w:cstheme="majorBidi"/>
          <w:sz w:val="24"/>
          <w:szCs w:val="24"/>
          <w:shd w:val="clear" w:color="auto" w:fill="FFFFFF"/>
          <w:lang w:val="en-GB"/>
        </w:rPr>
        <w:t>doi:</w:t>
      </w:r>
      <w:proofErr w:type="gramEnd"/>
      <w:r w:rsidR="00F8163D" w:rsidRPr="00FB25E5">
        <w:rPr>
          <w:rFonts w:asciiTheme="majorBidi" w:hAnsiTheme="majorBidi" w:cstheme="majorBidi"/>
          <w:sz w:val="24"/>
          <w:szCs w:val="24"/>
          <w:shd w:val="clear" w:color="auto" w:fill="FFFFFF"/>
          <w:lang w:val="en-GB"/>
        </w:rPr>
        <w:t>10.2307/2112789</w:t>
      </w:r>
      <w:r w:rsidR="00FB25E5" w:rsidRPr="00FB25E5">
        <w:rPr>
          <w:rFonts w:asciiTheme="majorBidi" w:hAnsiTheme="majorBidi" w:cstheme="majorBidi"/>
          <w:sz w:val="24"/>
          <w:szCs w:val="24"/>
          <w:shd w:val="clear" w:color="auto" w:fill="FFFFFF"/>
          <w:lang w:val="en-GB"/>
        </w:rPr>
        <w:t>.</w:t>
      </w:r>
    </w:p>
    <w:p w14:paraId="7E98C258" w14:textId="2F703C81" w:rsidR="00F8163D" w:rsidRPr="005C29EA" w:rsidRDefault="00F8163D" w:rsidP="00C03772">
      <w:pPr>
        <w:spacing w:after="0" w:line="480" w:lineRule="auto"/>
        <w:ind w:left="720" w:hanging="720"/>
        <w:rPr>
          <w:rFonts w:ascii="Times New Roman" w:hAnsi="Times New Roman" w:cs="Times New Roman"/>
          <w:sz w:val="24"/>
          <w:szCs w:val="24"/>
          <w:lang w:val="en-GB"/>
        </w:rPr>
      </w:pPr>
      <w:proofErr w:type="spellStart"/>
      <w:r w:rsidRPr="005C29EA">
        <w:rPr>
          <w:rFonts w:ascii="Times New Roman" w:hAnsi="Times New Roman" w:cs="Times New Roman"/>
          <w:sz w:val="24"/>
          <w:szCs w:val="24"/>
          <w:shd w:val="clear" w:color="auto" w:fill="FFFFFF"/>
          <w:lang w:val="en-GB"/>
        </w:rPr>
        <w:t>Hanushek</w:t>
      </w:r>
      <w:proofErr w:type="spellEnd"/>
      <w:r w:rsidRPr="005C29EA">
        <w:rPr>
          <w:rFonts w:ascii="Times New Roman" w:hAnsi="Times New Roman" w:cs="Times New Roman"/>
          <w:sz w:val="24"/>
          <w:szCs w:val="24"/>
          <w:shd w:val="clear" w:color="auto" w:fill="FFFFFF"/>
          <w:lang w:val="en-GB"/>
        </w:rPr>
        <w:t xml:space="preserve">, E. A., </w:t>
      </w:r>
      <w:r w:rsidR="00770DD2" w:rsidRPr="005C29EA">
        <w:rPr>
          <w:rFonts w:ascii="Times New Roman" w:hAnsi="Times New Roman" w:cs="Times New Roman"/>
          <w:sz w:val="24"/>
          <w:szCs w:val="24"/>
          <w:shd w:val="clear" w:color="auto" w:fill="FFFFFF"/>
          <w:lang w:val="en-GB"/>
        </w:rPr>
        <w:t xml:space="preserve">J. F. </w:t>
      </w:r>
      <w:proofErr w:type="spellStart"/>
      <w:r w:rsidRPr="005C29EA">
        <w:rPr>
          <w:rFonts w:ascii="Times New Roman" w:hAnsi="Times New Roman" w:cs="Times New Roman"/>
          <w:sz w:val="24"/>
          <w:szCs w:val="24"/>
          <w:shd w:val="clear" w:color="auto" w:fill="FFFFFF"/>
          <w:lang w:val="en-GB"/>
        </w:rPr>
        <w:t>Kain</w:t>
      </w:r>
      <w:proofErr w:type="spellEnd"/>
      <w:r w:rsidRPr="005C29EA">
        <w:rPr>
          <w:rFonts w:ascii="Times New Roman" w:hAnsi="Times New Roman" w:cs="Times New Roman"/>
          <w:sz w:val="24"/>
          <w:szCs w:val="24"/>
          <w:shd w:val="clear" w:color="auto" w:fill="FFFFFF"/>
          <w:lang w:val="en-GB"/>
        </w:rPr>
        <w:t xml:space="preserve">, </w:t>
      </w:r>
      <w:r w:rsidR="00770DD2" w:rsidRPr="005C29EA">
        <w:rPr>
          <w:rFonts w:ascii="Times New Roman" w:hAnsi="Times New Roman" w:cs="Times New Roman"/>
          <w:sz w:val="24"/>
          <w:szCs w:val="24"/>
          <w:shd w:val="clear" w:color="auto" w:fill="FFFFFF"/>
          <w:lang w:val="en-GB"/>
        </w:rPr>
        <w:t xml:space="preserve">J. M. </w:t>
      </w:r>
      <w:proofErr w:type="spellStart"/>
      <w:r w:rsidRPr="005C29EA">
        <w:rPr>
          <w:rFonts w:ascii="Times New Roman" w:hAnsi="Times New Roman" w:cs="Times New Roman"/>
          <w:sz w:val="24"/>
          <w:szCs w:val="24"/>
          <w:shd w:val="clear" w:color="auto" w:fill="FFFFFF"/>
          <w:lang w:val="en-GB"/>
        </w:rPr>
        <w:t>Markman</w:t>
      </w:r>
      <w:proofErr w:type="spellEnd"/>
      <w:r w:rsidRPr="005C29EA">
        <w:rPr>
          <w:rFonts w:ascii="Times New Roman" w:hAnsi="Times New Roman" w:cs="Times New Roman"/>
          <w:sz w:val="24"/>
          <w:szCs w:val="24"/>
          <w:shd w:val="clear" w:color="auto" w:fill="FFFFFF"/>
          <w:lang w:val="en-GB"/>
        </w:rPr>
        <w:t xml:space="preserve">, </w:t>
      </w:r>
      <w:r w:rsidR="00770DD2" w:rsidRPr="005C29EA">
        <w:rPr>
          <w:rFonts w:ascii="Times New Roman" w:hAnsi="Times New Roman" w:cs="Times New Roman"/>
          <w:sz w:val="24"/>
          <w:szCs w:val="24"/>
          <w:shd w:val="clear" w:color="auto" w:fill="FFFFFF"/>
          <w:lang w:val="en-GB"/>
        </w:rPr>
        <w:t>and</w:t>
      </w:r>
      <w:r w:rsidRPr="005C29EA">
        <w:rPr>
          <w:rFonts w:ascii="Times New Roman" w:hAnsi="Times New Roman" w:cs="Times New Roman"/>
          <w:sz w:val="24"/>
          <w:szCs w:val="24"/>
          <w:shd w:val="clear" w:color="auto" w:fill="FFFFFF"/>
          <w:lang w:val="en-GB"/>
        </w:rPr>
        <w:t xml:space="preserve"> </w:t>
      </w:r>
      <w:r w:rsidR="00770DD2" w:rsidRPr="005C29EA">
        <w:rPr>
          <w:rFonts w:ascii="Times New Roman" w:hAnsi="Times New Roman" w:cs="Times New Roman"/>
          <w:sz w:val="24"/>
          <w:szCs w:val="24"/>
          <w:shd w:val="clear" w:color="auto" w:fill="FFFFFF"/>
          <w:lang w:val="en-GB"/>
        </w:rPr>
        <w:t xml:space="preserve">S. G. </w:t>
      </w:r>
      <w:proofErr w:type="spellStart"/>
      <w:r w:rsidRPr="005C29EA">
        <w:rPr>
          <w:rFonts w:ascii="Times New Roman" w:hAnsi="Times New Roman" w:cs="Times New Roman"/>
          <w:sz w:val="24"/>
          <w:szCs w:val="24"/>
          <w:shd w:val="clear" w:color="auto" w:fill="FFFFFF"/>
          <w:lang w:val="en-GB"/>
        </w:rPr>
        <w:t>Rivkin</w:t>
      </w:r>
      <w:proofErr w:type="spellEnd"/>
      <w:r w:rsidR="00770DD2" w:rsidRPr="005C29EA">
        <w:rPr>
          <w:rFonts w:ascii="Times New Roman" w:hAnsi="Times New Roman" w:cs="Times New Roman"/>
          <w:sz w:val="24"/>
          <w:szCs w:val="24"/>
          <w:shd w:val="clear" w:color="auto" w:fill="FFFFFF"/>
          <w:lang w:val="en-GB"/>
        </w:rPr>
        <w:t>. 2003</w:t>
      </w:r>
      <w:r w:rsidRPr="005C29EA">
        <w:rPr>
          <w:rFonts w:ascii="Times New Roman" w:hAnsi="Times New Roman" w:cs="Times New Roman"/>
          <w:sz w:val="24"/>
          <w:szCs w:val="24"/>
          <w:shd w:val="clear" w:color="auto" w:fill="FFFFFF"/>
          <w:lang w:val="en-GB"/>
        </w:rPr>
        <w:t xml:space="preserve">. </w:t>
      </w:r>
      <w:r w:rsidR="00770DD2" w:rsidRPr="005C29EA">
        <w:rPr>
          <w:rFonts w:ascii="Times New Roman" w:hAnsi="Times New Roman" w:cs="Times New Roman"/>
          <w:sz w:val="24"/>
          <w:szCs w:val="24"/>
          <w:shd w:val="clear" w:color="auto" w:fill="FFFFFF"/>
          <w:lang w:val="en-GB"/>
        </w:rPr>
        <w:t>“</w:t>
      </w:r>
      <w:r w:rsidR="00694B25" w:rsidRPr="00694B25">
        <w:rPr>
          <w:rFonts w:ascii="Times New Roman" w:hAnsi="Times New Roman" w:cs="Times New Roman"/>
          <w:sz w:val="24"/>
          <w:szCs w:val="24"/>
          <w:shd w:val="clear" w:color="auto" w:fill="FFFFFF"/>
          <w:lang w:val="en-GB"/>
        </w:rPr>
        <w:t>Does Peer Ability Affect Student Achievement?</w:t>
      </w:r>
      <w:r w:rsidR="00770DD2" w:rsidRPr="005C29EA">
        <w:rPr>
          <w:rFonts w:ascii="Times New Roman" w:hAnsi="Times New Roman" w:cs="Times New Roman"/>
          <w:sz w:val="24"/>
          <w:szCs w:val="24"/>
          <w:shd w:val="clear" w:color="auto" w:fill="FFFFFF"/>
          <w:lang w:val="en-GB"/>
        </w:rPr>
        <w:t>”</w:t>
      </w:r>
      <w:r w:rsidRPr="005C29EA">
        <w:rPr>
          <w:rFonts w:ascii="Times New Roman" w:hAnsi="Times New Roman" w:cs="Times New Roman"/>
          <w:sz w:val="24"/>
          <w:szCs w:val="24"/>
          <w:shd w:val="clear" w:color="auto" w:fill="FFFFFF"/>
          <w:lang w:val="en-GB"/>
        </w:rPr>
        <w:t> </w:t>
      </w:r>
      <w:r w:rsidR="00FF4057">
        <w:rPr>
          <w:rFonts w:ascii="Times New Roman" w:hAnsi="Times New Roman" w:cs="Times New Roman"/>
          <w:i/>
          <w:iCs/>
          <w:sz w:val="24"/>
          <w:szCs w:val="24"/>
          <w:shd w:val="clear" w:color="auto" w:fill="FFFFFF"/>
          <w:lang w:val="en-GB"/>
        </w:rPr>
        <w:t>Journal of A</w:t>
      </w:r>
      <w:r w:rsidRPr="005C29EA">
        <w:rPr>
          <w:rFonts w:ascii="Times New Roman" w:hAnsi="Times New Roman" w:cs="Times New Roman"/>
          <w:i/>
          <w:iCs/>
          <w:sz w:val="24"/>
          <w:szCs w:val="24"/>
          <w:shd w:val="clear" w:color="auto" w:fill="FFFFFF"/>
          <w:lang w:val="en-GB"/>
        </w:rPr>
        <w:t xml:space="preserve">pplied </w:t>
      </w:r>
      <w:r w:rsidR="00FF4057">
        <w:rPr>
          <w:rFonts w:ascii="Times New Roman" w:hAnsi="Times New Roman" w:cs="Times New Roman"/>
          <w:i/>
          <w:iCs/>
          <w:sz w:val="24"/>
          <w:szCs w:val="24"/>
          <w:shd w:val="clear" w:color="auto" w:fill="FFFFFF"/>
          <w:lang w:val="en-GB"/>
        </w:rPr>
        <w:t>E</w:t>
      </w:r>
      <w:r w:rsidRPr="005C29EA">
        <w:rPr>
          <w:rFonts w:ascii="Times New Roman" w:hAnsi="Times New Roman" w:cs="Times New Roman"/>
          <w:i/>
          <w:iCs/>
          <w:sz w:val="24"/>
          <w:szCs w:val="24"/>
          <w:shd w:val="clear" w:color="auto" w:fill="FFFFFF"/>
          <w:lang w:val="en-GB"/>
        </w:rPr>
        <w:t>conometrics</w:t>
      </w:r>
      <w:r w:rsidRPr="005C29EA">
        <w:rPr>
          <w:rFonts w:ascii="Times New Roman" w:hAnsi="Times New Roman" w:cs="Times New Roman"/>
          <w:sz w:val="24"/>
          <w:szCs w:val="24"/>
          <w:shd w:val="clear" w:color="auto" w:fill="FFFFFF"/>
          <w:lang w:val="en-GB"/>
        </w:rPr>
        <w:t> </w:t>
      </w:r>
      <w:r w:rsidRPr="005C29EA">
        <w:rPr>
          <w:rFonts w:ascii="Times New Roman" w:hAnsi="Times New Roman" w:cs="Times New Roman"/>
          <w:iCs/>
          <w:sz w:val="24"/>
          <w:szCs w:val="24"/>
          <w:shd w:val="clear" w:color="auto" w:fill="FFFFFF"/>
          <w:lang w:val="en-GB"/>
        </w:rPr>
        <w:t>18</w:t>
      </w:r>
      <w:r w:rsidR="00770DD2" w:rsidRPr="005C29EA">
        <w:rPr>
          <w:rFonts w:ascii="Times New Roman" w:hAnsi="Times New Roman" w:cs="Times New Roman"/>
          <w:sz w:val="24"/>
          <w:szCs w:val="24"/>
          <w:shd w:val="clear" w:color="auto" w:fill="FFFFFF"/>
          <w:lang w:val="en-GB"/>
        </w:rPr>
        <w:t xml:space="preserve"> </w:t>
      </w:r>
      <w:r w:rsidRPr="005C29EA">
        <w:rPr>
          <w:rFonts w:ascii="Times New Roman" w:hAnsi="Times New Roman" w:cs="Times New Roman"/>
          <w:sz w:val="24"/>
          <w:szCs w:val="24"/>
          <w:shd w:val="clear" w:color="auto" w:fill="FFFFFF"/>
          <w:lang w:val="en-GB"/>
        </w:rPr>
        <w:t>(5)</w:t>
      </w:r>
      <w:r w:rsidR="00770DD2" w:rsidRPr="005C29EA">
        <w:rPr>
          <w:rFonts w:ascii="Times New Roman" w:hAnsi="Times New Roman" w:cs="Times New Roman"/>
          <w:sz w:val="24"/>
          <w:szCs w:val="24"/>
          <w:shd w:val="clear" w:color="auto" w:fill="FFFFFF"/>
          <w:lang w:val="en-GB"/>
        </w:rPr>
        <w:t>:</w:t>
      </w:r>
      <w:r w:rsidRPr="005C29EA">
        <w:rPr>
          <w:rFonts w:ascii="Times New Roman" w:hAnsi="Times New Roman" w:cs="Times New Roman"/>
          <w:sz w:val="24"/>
          <w:szCs w:val="24"/>
          <w:shd w:val="clear" w:color="auto" w:fill="FFFFFF"/>
          <w:lang w:val="en-GB"/>
        </w:rPr>
        <w:t xml:space="preserve"> 527-544.</w:t>
      </w:r>
    </w:p>
    <w:p w14:paraId="4564B4F6" w14:textId="1F1BE0E6" w:rsidR="00F8163D" w:rsidRPr="00E9307C" w:rsidRDefault="00F8163D" w:rsidP="00C03772">
      <w:pPr>
        <w:spacing w:after="0" w:line="480" w:lineRule="auto"/>
        <w:ind w:left="720" w:hanging="720"/>
        <w:rPr>
          <w:rFonts w:asciiTheme="majorBidi" w:hAnsiTheme="majorBidi" w:cstheme="majorBidi"/>
          <w:sz w:val="24"/>
          <w:szCs w:val="24"/>
          <w:lang w:val="en-GB"/>
        </w:rPr>
      </w:pPr>
      <w:r w:rsidRPr="00E9307C">
        <w:rPr>
          <w:rFonts w:asciiTheme="majorBidi" w:hAnsiTheme="majorBidi" w:cstheme="majorBidi"/>
          <w:sz w:val="24"/>
          <w:szCs w:val="24"/>
          <w:lang w:val="en-GB"/>
        </w:rPr>
        <w:t xml:space="preserve">Heck, R. H., </w:t>
      </w:r>
      <w:r w:rsidR="00E9307C" w:rsidRPr="00E9307C">
        <w:rPr>
          <w:rFonts w:asciiTheme="majorBidi" w:hAnsiTheme="majorBidi" w:cstheme="majorBidi"/>
          <w:sz w:val="24"/>
          <w:szCs w:val="24"/>
          <w:lang w:val="en-GB"/>
        </w:rPr>
        <w:t xml:space="preserve">S. </w:t>
      </w:r>
      <w:r w:rsidRPr="00E9307C">
        <w:rPr>
          <w:rFonts w:asciiTheme="majorBidi" w:hAnsiTheme="majorBidi" w:cstheme="majorBidi"/>
          <w:sz w:val="24"/>
          <w:szCs w:val="24"/>
          <w:lang w:val="en-GB"/>
        </w:rPr>
        <w:t xml:space="preserve">Thomas, </w:t>
      </w:r>
      <w:r w:rsidR="00E9307C" w:rsidRPr="00E9307C">
        <w:rPr>
          <w:rFonts w:asciiTheme="majorBidi" w:hAnsiTheme="majorBidi" w:cstheme="majorBidi"/>
          <w:sz w:val="24"/>
          <w:szCs w:val="24"/>
          <w:lang w:val="en-GB"/>
        </w:rPr>
        <w:t>and L.</w:t>
      </w:r>
      <w:r w:rsidRPr="00E9307C">
        <w:rPr>
          <w:rFonts w:asciiTheme="majorBidi" w:hAnsiTheme="majorBidi" w:cstheme="majorBidi"/>
          <w:sz w:val="24"/>
          <w:szCs w:val="24"/>
          <w:lang w:val="en-GB"/>
        </w:rPr>
        <w:t xml:space="preserve"> </w:t>
      </w:r>
      <w:proofErr w:type="spellStart"/>
      <w:r w:rsidRPr="00E9307C">
        <w:rPr>
          <w:rFonts w:asciiTheme="majorBidi" w:hAnsiTheme="majorBidi" w:cstheme="majorBidi"/>
          <w:sz w:val="24"/>
          <w:szCs w:val="24"/>
          <w:lang w:val="en-GB"/>
        </w:rPr>
        <w:t>Tabata</w:t>
      </w:r>
      <w:proofErr w:type="spellEnd"/>
      <w:r w:rsidR="00E9307C" w:rsidRPr="00E9307C">
        <w:rPr>
          <w:rFonts w:asciiTheme="majorBidi" w:hAnsiTheme="majorBidi" w:cstheme="majorBidi"/>
          <w:sz w:val="24"/>
          <w:szCs w:val="24"/>
          <w:lang w:val="en-GB"/>
        </w:rPr>
        <w:t>. 2013</w:t>
      </w:r>
      <w:r w:rsidRPr="00E9307C">
        <w:rPr>
          <w:rFonts w:asciiTheme="majorBidi" w:hAnsiTheme="majorBidi" w:cstheme="majorBidi"/>
          <w:sz w:val="24"/>
          <w:szCs w:val="24"/>
          <w:lang w:val="en-GB"/>
        </w:rPr>
        <w:t xml:space="preserve">. </w:t>
      </w:r>
      <w:r w:rsidR="000B38A7" w:rsidRPr="000B38A7">
        <w:rPr>
          <w:rFonts w:asciiTheme="majorBidi" w:hAnsiTheme="majorBidi" w:cstheme="majorBidi"/>
          <w:i/>
          <w:sz w:val="24"/>
          <w:szCs w:val="24"/>
          <w:lang w:val="en-GB"/>
        </w:rPr>
        <w:t xml:space="preserve">Multilevel </w:t>
      </w:r>
      <w:proofErr w:type="spellStart"/>
      <w:r w:rsidR="000B38A7" w:rsidRPr="000B38A7">
        <w:rPr>
          <w:rFonts w:asciiTheme="majorBidi" w:hAnsiTheme="majorBidi" w:cstheme="majorBidi"/>
          <w:i/>
          <w:sz w:val="24"/>
          <w:szCs w:val="24"/>
          <w:lang w:val="en-GB"/>
        </w:rPr>
        <w:t>Modeling</w:t>
      </w:r>
      <w:proofErr w:type="spellEnd"/>
      <w:r w:rsidR="000B38A7" w:rsidRPr="000B38A7">
        <w:rPr>
          <w:rFonts w:asciiTheme="majorBidi" w:hAnsiTheme="majorBidi" w:cstheme="majorBidi"/>
          <w:i/>
          <w:sz w:val="24"/>
          <w:szCs w:val="24"/>
          <w:lang w:val="en-GB"/>
        </w:rPr>
        <w:t xml:space="preserve"> of Categorical Outcomes Using IBM SPSS</w:t>
      </w:r>
      <w:r w:rsidRPr="00E9307C">
        <w:rPr>
          <w:rFonts w:asciiTheme="majorBidi" w:hAnsiTheme="majorBidi" w:cstheme="majorBidi"/>
          <w:sz w:val="24"/>
          <w:szCs w:val="24"/>
          <w:lang w:val="en-GB"/>
        </w:rPr>
        <w:t>. New York: Routledge.</w:t>
      </w:r>
    </w:p>
    <w:p w14:paraId="437F191C" w14:textId="1DD80B62" w:rsidR="00F8163D" w:rsidRPr="00953501" w:rsidRDefault="009B37C0" w:rsidP="00C03772">
      <w:pPr>
        <w:spacing w:after="0" w:line="480" w:lineRule="auto"/>
        <w:ind w:left="720" w:hanging="720"/>
        <w:rPr>
          <w:rFonts w:asciiTheme="majorBidi" w:hAnsiTheme="majorBidi" w:cstheme="majorBidi"/>
          <w:sz w:val="24"/>
          <w:szCs w:val="24"/>
          <w:shd w:val="clear" w:color="auto" w:fill="FFFFFF"/>
          <w:lang w:val="en-GB"/>
        </w:rPr>
      </w:pPr>
      <w:proofErr w:type="spellStart"/>
      <w:r w:rsidRPr="00953501">
        <w:rPr>
          <w:rFonts w:asciiTheme="majorBidi" w:hAnsiTheme="majorBidi" w:cstheme="majorBidi"/>
          <w:sz w:val="24"/>
          <w:szCs w:val="24"/>
          <w:shd w:val="clear" w:color="auto" w:fill="FFFFFF"/>
          <w:lang w:val="en-GB"/>
        </w:rPr>
        <w:t>Howley</w:t>
      </w:r>
      <w:proofErr w:type="spellEnd"/>
      <w:r w:rsidRPr="00953501">
        <w:rPr>
          <w:rFonts w:asciiTheme="majorBidi" w:hAnsiTheme="majorBidi" w:cstheme="majorBidi"/>
          <w:sz w:val="24"/>
          <w:szCs w:val="24"/>
          <w:shd w:val="clear" w:color="auto" w:fill="FFFFFF"/>
          <w:lang w:val="en-GB"/>
        </w:rPr>
        <w:t>, C. 1996</w:t>
      </w:r>
      <w:r w:rsidR="00F8163D" w:rsidRPr="00953501">
        <w:rPr>
          <w:rFonts w:asciiTheme="majorBidi" w:hAnsiTheme="majorBidi" w:cstheme="majorBidi"/>
          <w:sz w:val="24"/>
          <w:szCs w:val="24"/>
          <w:shd w:val="clear" w:color="auto" w:fill="FFFFFF"/>
          <w:lang w:val="en-GB"/>
        </w:rPr>
        <w:t xml:space="preserve">. </w:t>
      </w:r>
      <w:r w:rsidRPr="00953501">
        <w:rPr>
          <w:rFonts w:asciiTheme="majorBidi" w:hAnsiTheme="majorBidi" w:cstheme="majorBidi"/>
          <w:sz w:val="24"/>
          <w:szCs w:val="24"/>
          <w:shd w:val="clear" w:color="auto" w:fill="FFFFFF"/>
          <w:lang w:val="en-GB"/>
        </w:rPr>
        <w:t>“</w:t>
      </w:r>
      <w:r w:rsidR="000576FA" w:rsidRPr="000576FA">
        <w:rPr>
          <w:rFonts w:asciiTheme="majorBidi" w:hAnsiTheme="majorBidi" w:cstheme="majorBidi"/>
          <w:sz w:val="24"/>
          <w:szCs w:val="24"/>
          <w:shd w:val="clear" w:color="auto" w:fill="FFFFFF"/>
          <w:lang w:val="en-GB"/>
        </w:rPr>
        <w:t>Compounding Disadvantage: The Effects of School and District Size on Student Achievement in West Virginia</w:t>
      </w:r>
      <w:r w:rsidR="00F8163D" w:rsidRPr="00953501">
        <w:rPr>
          <w:rFonts w:asciiTheme="majorBidi" w:hAnsiTheme="majorBidi" w:cstheme="majorBidi"/>
          <w:sz w:val="24"/>
          <w:szCs w:val="24"/>
          <w:shd w:val="clear" w:color="auto" w:fill="FFFFFF"/>
          <w:lang w:val="en-GB"/>
        </w:rPr>
        <w:t>.</w:t>
      </w:r>
      <w:r w:rsidRPr="00953501">
        <w:rPr>
          <w:rFonts w:asciiTheme="majorBidi" w:hAnsiTheme="majorBidi" w:cstheme="majorBidi"/>
          <w:sz w:val="24"/>
          <w:szCs w:val="24"/>
          <w:shd w:val="clear" w:color="auto" w:fill="FFFFFF"/>
          <w:lang w:val="en-GB"/>
        </w:rPr>
        <w:t>”</w:t>
      </w:r>
      <w:r w:rsidR="00F8163D" w:rsidRPr="00953501">
        <w:rPr>
          <w:rFonts w:asciiTheme="majorBidi" w:hAnsiTheme="majorBidi" w:cstheme="majorBidi"/>
          <w:sz w:val="24"/>
          <w:szCs w:val="24"/>
          <w:shd w:val="clear" w:color="auto" w:fill="FFFFFF"/>
          <w:lang w:val="en-GB"/>
        </w:rPr>
        <w:t> </w:t>
      </w:r>
      <w:r w:rsidR="00F8163D" w:rsidRPr="00953501">
        <w:rPr>
          <w:rFonts w:asciiTheme="majorBidi" w:hAnsiTheme="majorBidi" w:cstheme="majorBidi"/>
          <w:i/>
          <w:iCs/>
          <w:sz w:val="24"/>
          <w:szCs w:val="24"/>
          <w:shd w:val="clear" w:color="auto" w:fill="FFFFFF"/>
          <w:lang w:val="en-GB"/>
        </w:rPr>
        <w:t>Journal of Research in Rural Education</w:t>
      </w:r>
      <w:r w:rsidR="00F8163D" w:rsidRPr="00953501">
        <w:rPr>
          <w:rFonts w:asciiTheme="majorBidi" w:hAnsiTheme="majorBidi" w:cstheme="majorBidi"/>
          <w:sz w:val="24"/>
          <w:szCs w:val="24"/>
          <w:shd w:val="clear" w:color="auto" w:fill="FFFFFF"/>
          <w:lang w:val="en-GB"/>
        </w:rPr>
        <w:t> </w:t>
      </w:r>
      <w:r w:rsidR="00F8163D" w:rsidRPr="00953501">
        <w:rPr>
          <w:rFonts w:asciiTheme="majorBidi" w:hAnsiTheme="majorBidi" w:cstheme="majorBidi"/>
          <w:iCs/>
          <w:sz w:val="24"/>
          <w:szCs w:val="24"/>
          <w:shd w:val="clear" w:color="auto" w:fill="FFFFFF"/>
          <w:lang w:val="en-GB"/>
        </w:rPr>
        <w:t>12</w:t>
      </w:r>
      <w:r w:rsidRPr="00953501">
        <w:rPr>
          <w:rFonts w:asciiTheme="majorBidi" w:hAnsiTheme="majorBidi" w:cstheme="majorBidi"/>
          <w:sz w:val="24"/>
          <w:szCs w:val="24"/>
          <w:shd w:val="clear" w:color="auto" w:fill="FFFFFF"/>
          <w:lang w:val="en-GB"/>
        </w:rPr>
        <w:t>:</w:t>
      </w:r>
      <w:r w:rsidR="00F8163D" w:rsidRPr="00953501">
        <w:rPr>
          <w:rFonts w:asciiTheme="majorBidi" w:hAnsiTheme="majorBidi" w:cstheme="majorBidi"/>
          <w:sz w:val="24"/>
          <w:szCs w:val="24"/>
          <w:shd w:val="clear" w:color="auto" w:fill="FFFFFF"/>
          <w:lang w:val="en-GB"/>
        </w:rPr>
        <w:t xml:space="preserve"> 25-32.</w:t>
      </w:r>
    </w:p>
    <w:p w14:paraId="7DF3158B" w14:textId="787FCD97" w:rsidR="00F8163D" w:rsidRPr="00193816" w:rsidRDefault="00F8163D" w:rsidP="00C03772">
      <w:pPr>
        <w:spacing w:after="0" w:line="480" w:lineRule="auto"/>
        <w:ind w:left="720" w:hanging="720"/>
        <w:rPr>
          <w:rFonts w:asciiTheme="majorBidi" w:hAnsiTheme="majorBidi" w:cstheme="majorBidi"/>
          <w:sz w:val="24"/>
          <w:szCs w:val="24"/>
          <w:shd w:val="clear" w:color="auto" w:fill="FFFFFF"/>
          <w:lang w:val="en-GB"/>
        </w:rPr>
      </w:pPr>
      <w:proofErr w:type="spellStart"/>
      <w:r w:rsidRPr="00193816">
        <w:rPr>
          <w:rFonts w:asciiTheme="majorBidi" w:hAnsiTheme="majorBidi" w:cstheme="majorBidi"/>
          <w:sz w:val="24"/>
          <w:szCs w:val="24"/>
          <w:shd w:val="clear" w:color="auto" w:fill="FFFFFF"/>
          <w:lang w:val="en-GB"/>
        </w:rPr>
        <w:t>Hox</w:t>
      </w:r>
      <w:proofErr w:type="spellEnd"/>
      <w:r w:rsidRPr="00193816">
        <w:rPr>
          <w:rFonts w:asciiTheme="majorBidi" w:hAnsiTheme="majorBidi" w:cstheme="majorBidi"/>
          <w:sz w:val="24"/>
          <w:szCs w:val="24"/>
          <w:shd w:val="clear" w:color="auto" w:fill="FFFFFF"/>
          <w:lang w:val="en-GB"/>
        </w:rPr>
        <w:t xml:space="preserve">, J. J., </w:t>
      </w:r>
      <w:r w:rsidR="003D4573" w:rsidRPr="00193816">
        <w:rPr>
          <w:rFonts w:asciiTheme="majorBidi" w:hAnsiTheme="majorBidi" w:cstheme="majorBidi"/>
          <w:sz w:val="24"/>
          <w:szCs w:val="24"/>
          <w:shd w:val="clear" w:color="auto" w:fill="FFFFFF"/>
          <w:lang w:val="en-GB"/>
        </w:rPr>
        <w:t xml:space="preserve">M. </w:t>
      </w:r>
      <w:proofErr w:type="spellStart"/>
      <w:r w:rsidRPr="00193816">
        <w:rPr>
          <w:rFonts w:asciiTheme="majorBidi" w:hAnsiTheme="majorBidi" w:cstheme="majorBidi"/>
          <w:sz w:val="24"/>
          <w:szCs w:val="24"/>
          <w:shd w:val="clear" w:color="auto" w:fill="FFFFFF"/>
          <w:lang w:val="en-GB"/>
        </w:rPr>
        <w:t>Moerbeek</w:t>
      </w:r>
      <w:proofErr w:type="spellEnd"/>
      <w:r w:rsidRPr="00193816">
        <w:rPr>
          <w:rFonts w:asciiTheme="majorBidi" w:hAnsiTheme="majorBidi" w:cstheme="majorBidi"/>
          <w:sz w:val="24"/>
          <w:szCs w:val="24"/>
          <w:shd w:val="clear" w:color="auto" w:fill="FFFFFF"/>
          <w:lang w:val="en-GB"/>
        </w:rPr>
        <w:t xml:space="preserve">, </w:t>
      </w:r>
      <w:r w:rsidR="003D4573" w:rsidRPr="00193816">
        <w:rPr>
          <w:rFonts w:asciiTheme="majorBidi" w:hAnsiTheme="majorBidi" w:cstheme="majorBidi"/>
          <w:sz w:val="24"/>
          <w:szCs w:val="24"/>
          <w:shd w:val="clear" w:color="auto" w:fill="FFFFFF"/>
          <w:lang w:val="en-GB"/>
        </w:rPr>
        <w:t>and</w:t>
      </w:r>
      <w:r w:rsidRPr="00193816">
        <w:rPr>
          <w:rFonts w:asciiTheme="majorBidi" w:hAnsiTheme="majorBidi" w:cstheme="majorBidi"/>
          <w:sz w:val="24"/>
          <w:szCs w:val="24"/>
          <w:shd w:val="clear" w:color="auto" w:fill="FFFFFF"/>
          <w:lang w:val="en-GB"/>
        </w:rPr>
        <w:t xml:space="preserve"> </w:t>
      </w:r>
      <w:r w:rsidR="003D4573" w:rsidRPr="00193816">
        <w:rPr>
          <w:rFonts w:asciiTheme="majorBidi" w:hAnsiTheme="majorBidi" w:cstheme="majorBidi"/>
          <w:sz w:val="24"/>
          <w:szCs w:val="24"/>
          <w:shd w:val="clear" w:color="auto" w:fill="FFFFFF"/>
          <w:lang w:val="en-GB"/>
        </w:rPr>
        <w:t xml:space="preserve">R. </w:t>
      </w:r>
      <w:r w:rsidRPr="00193816">
        <w:rPr>
          <w:rFonts w:asciiTheme="majorBidi" w:hAnsiTheme="majorBidi" w:cstheme="majorBidi"/>
          <w:sz w:val="24"/>
          <w:szCs w:val="24"/>
          <w:shd w:val="clear" w:color="auto" w:fill="FFFFFF"/>
          <w:lang w:val="en-GB"/>
        </w:rPr>
        <w:t xml:space="preserve">Van de </w:t>
      </w:r>
      <w:proofErr w:type="spellStart"/>
      <w:r w:rsidRPr="00193816">
        <w:rPr>
          <w:rFonts w:asciiTheme="majorBidi" w:hAnsiTheme="majorBidi" w:cstheme="majorBidi"/>
          <w:sz w:val="24"/>
          <w:szCs w:val="24"/>
          <w:shd w:val="clear" w:color="auto" w:fill="FFFFFF"/>
          <w:lang w:val="en-GB"/>
        </w:rPr>
        <w:t>Schoot</w:t>
      </w:r>
      <w:proofErr w:type="spellEnd"/>
      <w:r w:rsidR="003D4573" w:rsidRPr="00193816">
        <w:rPr>
          <w:rFonts w:asciiTheme="majorBidi" w:hAnsiTheme="majorBidi" w:cstheme="majorBidi"/>
          <w:sz w:val="24"/>
          <w:szCs w:val="24"/>
          <w:shd w:val="clear" w:color="auto" w:fill="FFFFFF"/>
          <w:lang w:val="en-GB"/>
        </w:rPr>
        <w:t>. 2017</w:t>
      </w:r>
      <w:r w:rsidRPr="00193816">
        <w:rPr>
          <w:rFonts w:asciiTheme="majorBidi" w:hAnsiTheme="majorBidi" w:cstheme="majorBidi"/>
          <w:sz w:val="24"/>
          <w:szCs w:val="24"/>
          <w:shd w:val="clear" w:color="auto" w:fill="FFFFFF"/>
          <w:lang w:val="en-GB"/>
        </w:rPr>
        <w:t>. </w:t>
      </w:r>
      <w:r w:rsidR="009957CA">
        <w:rPr>
          <w:rFonts w:asciiTheme="majorBidi" w:hAnsiTheme="majorBidi" w:cstheme="majorBidi"/>
          <w:i/>
          <w:iCs/>
          <w:sz w:val="24"/>
          <w:szCs w:val="24"/>
          <w:shd w:val="clear" w:color="auto" w:fill="FFFFFF"/>
          <w:lang w:val="en-GB"/>
        </w:rPr>
        <w:t>Multilevel A</w:t>
      </w:r>
      <w:r w:rsidRPr="00193816">
        <w:rPr>
          <w:rFonts w:asciiTheme="majorBidi" w:hAnsiTheme="majorBidi" w:cstheme="majorBidi"/>
          <w:i/>
          <w:iCs/>
          <w:sz w:val="24"/>
          <w:szCs w:val="24"/>
          <w:shd w:val="clear" w:color="auto" w:fill="FFFFFF"/>
          <w:lang w:val="en-GB"/>
        </w:rPr>
        <w:t xml:space="preserve">nalysis: Techniques and </w:t>
      </w:r>
      <w:r w:rsidR="009957CA">
        <w:rPr>
          <w:rFonts w:asciiTheme="majorBidi" w:hAnsiTheme="majorBidi" w:cstheme="majorBidi"/>
          <w:i/>
          <w:iCs/>
          <w:sz w:val="24"/>
          <w:szCs w:val="24"/>
          <w:shd w:val="clear" w:color="auto" w:fill="FFFFFF"/>
          <w:lang w:val="en-GB"/>
        </w:rPr>
        <w:t>A</w:t>
      </w:r>
      <w:r w:rsidRPr="00193816">
        <w:rPr>
          <w:rFonts w:asciiTheme="majorBidi" w:hAnsiTheme="majorBidi" w:cstheme="majorBidi"/>
          <w:i/>
          <w:iCs/>
          <w:sz w:val="24"/>
          <w:szCs w:val="24"/>
          <w:shd w:val="clear" w:color="auto" w:fill="FFFFFF"/>
          <w:lang w:val="en-GB"/>
        </w:rPr>
        <w:t>pplications</w:t>
      </w:r>
      <w:r w:rsidRPr="00193816">
        <w:rPr>
          <w:rFonts w:asciiTheme="majorBidi" w:hAnsiTheme="majorBidi" w:cstheme="majorBidi"/>
          <w:sz w:val="24"/>
          <w:szCs w:val="24"/>
          <w:shd w:val="clear" w:color="auto" w:fill="FFFFFF"/>
          <w:lang w:val="en-GB"/>
        </w:rPr>
        <w:t xml:space="preserve">. </w:t>
      </w:r>
      <w:r w:rsidR="00316B44" w:rsidRPr="00193816">
        <w:rPr>
          <w:rFonts w:asciiTheme="majorBidi" w:hAnsiTheme="majorBidi" w:cstheme="majorBidi"/>
          <w:sz w:val="24"/>
          <w:szCs w:val="24"/>
          <w:shd w:val="clear" w:color="auto" w:fill="FFFFFF"/>
          <w:lang w:val="en-GB"/>
        </w:rPr>
        <w:t xml:space="preserve">London: </w:t>
      </w:r>
      <w:r w:rsidRPr="00193816">
        <w:rPr>
          <w:rFonts w:asciiTheme="majorBidi" w:hAnsiTheme="majorBidi" w:cstheme="majorBidi"/>
          <w:sz w:val="24"/>
          <w:szCs w:val="24"/>
          <w:shd w:val="clear" w:color="auto" w:fill="FFFFFF"/>
          <w:lang w:val="en-GB"/>
        </w:rPr>
        <w:t>Routledge.</w:t>
      </w:r>
    </w:p>
    <w:p w14:paraId="718E758C" w14:textId="0D3E844E" w:rsidR="00F8163D" w:rsidRPr="003808BF" w:rsidRDefault="00C60FB6" w:rsidP="00C03772">
      <w:pPr>
        <w:spacing w:after="0" w:line="480" w:lineRule="auto"/>
        <w:ind w:left="720" w:hanging="720"/>
        <w:rPr>
          <w:rFonts w:asciiTheme="majorBidi" w:hAnsiTheme="majorBidi" w:cstheme="majorBidi"/>
          <w:sz w:val="24"/>
          <w:szCs w:val="24"/>
          <w:lang w:val="en-GB"/>
        </w:rPr>
      </w:pPr>
      <w:r w:rsidRPr="003808BF">
        <w:rPr>
          <w:rFonts w:asciiTheme="majorBidi" w:hAnsiTheme="majorBidi" w:cstheme="majorBidi"/>
          <w:sz w:val="24"/>
          <w:szCs w:val="24"/>
          <w:shd w:val="clear" w:color="auto" w:fill="FFFFFF"/>
          <w:lang w:val="en-GB"/>
        </w:rPr>
        <w:t>Huang, F. L. 2018</w:t>
      </w:r>
      <w:r w:rsidR="00F8163D" w:rsidRPr="003808BF">
        <w:rPr>
          <w:rFonts w:asciiTheme="majorBidi" w:hAnsiTheme="majorBidi" w:cstheme="majorBidi"/>
          <w:sz w:val="24"/>
          <w:szCs w:val="24"/>
          <w:shd w:val="clear" w:color="auto" w:fill="FFFFFF"/>
          <w:lang w:val="en-GB"/>
        </w:rPr>
        <w:t xml:space="preserve">. </w:t>
      </w:r>
      <w:r w:rsidRPr="003808BF">
        <w:rPr>
          <w:rFonts w:asciiTheme="majorBidi" w:hAnsiTheme="majorBidi" w:cstheme="majorBidi"/>
          <w:sz w:val="24"/>
          <w:szCs w:val="24"/>
          <w:shd w:val="clear" w:color="auto" w:fill="FFFFFF"/>
          <w:lang w:val="en-GB"/>
        </w:rPr>
        <w:t>“</w:t>
      </w:r>
      <w:r w:rsidR="00F8163D" w:rsidRPr="003808BF">
        <w:rPr>
          <w:rFonts w:asciiTheme="majorBidi" w:hAnsiTheme="majorBidi" w:cstheme="majorBidi"/>
          <w:sz w:val="24"/>
          <w:szCs w:val="24"/>
          <w:shd w:val="clear" w:color="auto" w:fill="FFFFFF"/>
          <w:lang w:val="en-GB"/>
        </w:rPr>
        <w:t xml:space="preserve">Multilevel </w:t>
      </w:r>
      <w:proofErr w:type="spellStart"/>
      <w:r w:rsidR="00F97924">
        <w:rPr>
          <w:rFonts w:asciiTheme="majorBidi" w:hAnsiTheme="majorBidi" w:cstheme="majorBidi"/>
          <w:sz w:val="24"/>
          <w:szCs w:val="24"/>
          <w:shd w:val="clear" w:color="auto" w:fill="FFFFFF"/>
          <w:lang w:val="en-GB"/>
        </w:rPr>
        <w:t>M</w:t>
      </w:r>
      <w:r w:rsidR="00F8163D" w:rsidRPr="003808BF">
        <w:rPr>
          <w:rFonts w:asciiTheme="majorBidi" w:hAnsiTheme="majorBidi" w:cstheme="majorBidi"/>
          <w:sz w:val="24"/>
          <w:szCs w:val="24"/>
          <w:shd w:val="clear" w:color="auto" w:fill="FFFFFF"/>
          <w:lang w:val="en-GB"/>
        </w:rPr>
        <w:t>odeling</w:t>
      </w:r>
      <w:proofErr w:type="spellEnd"/>
      <w:r w:rsidR="00F8163D" w:rsidRPr="003808BF">
        <w:rPr>
          <w:rFonts w:asciiTheme="majorBidi" w:hAnsiTheme="majorBidi" w:cstheme="majorBidi"/>
          <w:sz w:val="24"/>
          <w:szCs w:val="24"/>
          <w:shd w:val="clear" w:color="auto" w:fill="FFFFFF"/>
          <w:lang w:val="en-GB"/>
        </w:rPr>
        <w:t xml:space="preserve"> </w:t>
      </w:r>
      <w:r w:rsidR="00F97924">
        <w:rPr>
          <w:rFonts w:asciiTheme="majorBidi" w:hAnsiTheme="majorBidi" w:cstheme="majorBidi"/>
          <w:sz w:val="24"/>
          <w:szCs w:val="24"/>
          <w:shd w:val="clear" w:color="auto" w:fill="FFFFFF"/>
          <w:lang w:val="en-GB"/>
        </w:rPr>
        <w:t>M</w:t>
      </w:r>
      <w:r w:rsidR="00F8163D" w:rsidRPr="003808BF">
        <w:rPr>
          <w:rFonts w:asciiTheme="majorBidi" w:hAnsiTheme="majorBidi" w:cstheme="majorBidi"/>
          <w:sz w:val="24"/>
          <w:szCs w:val="24"/>
          <w:shd w:val="clear" w:color="auto" w:fill="FFFFFF"/>
          <w:lang w:val="en-GB"/>
        </w:rPr>
        <w:t>yths.</w:t>
      </w:r>
      <w:r w:rsidRPr="003808BF">
        <w:rPr>
          <w:rFonts w:asciiTheme="majorBidi" w:hAnsiTheme="majorBidi" w:cstheme="majorBidi"/>
          <w:sz w:val="24"/>
          <w:szCs w:val="24"/>
          <w:shd w:val="clear" w:color="auto" w:fill="FFFFFF"/>
          <w:lang w:val="en-GB"/>
        </w:rPr>
        <w:t>”</w:t>
      </w:r>
      <w:r w:rsidR="00F8163D" w:rsidRPr="003808BF">
        <w:rPr>
          <w:rFonts w:asciiTheme="majorBidi" w:hAnsiTheme="majorBidi" w:cstheme="majorBidi"/>
          <w:sz w:val="24"/>
          <w:szCs w:val="24"/>
          <w:shd w:val="clear" w:color="auto" w:fill="FFFFFF"/>
          <w:lang w:val="en-GB"/>
        </w:rPr>
        <w:t> </w:t>
      </w:r>
      <w:r w:rsidR="00F8163D" w:rsidRPr="003808BF">
        <w:rPr>
          <w:rFonts w:asciiTheme="majorBidi" w:hAnsiTheme="majorBidi" w:cstheme="majorBidi"/>
          <w:i/>
          <w:iCs/>
          <w:sz w:val="24"/>
          <w:szCs w:val="24"/>
          <w:shd w:val="clear" w:color="auto" w:fill="FFFFFF"/>
          <w:lang w:val="en-GB"/>
        </w:rPr>
        <w:t>School Psychology Quarterly</w:t>
      </w:r>
      <w:r w:rsidR="00F8163D" w:rsidRPr="003808BF">
        <w:rPr>
          <w:rFonts w:asciiTheme="majorBidi" w:hAnsiTheme="majorBidi" w:cstheme="majorBidi"/>
          <w:sz w:val="24"/>
          <w:szCs w:val="24"/>
          <w:shd w:val="clear" w:color="auto" w:fill="FFFFFF"/>
          <w:lang w:val="en-GB"/>
        </w:rPr>
        <w:t> </w:t>
      </w:r>
      <w:r w:rsidR="00F8163D" w:rsidRPr="003808BF">
        <w:rPr>
          <w:rFonts w:asciiTheme="majorBidi" w:hAnsiTheme="majorBidi" w:cstheme="majorBidi"/>
          <w:iCs/>
          <w:sz w:val="24"/>
          <w:szCs w:val="24"/>
          <w:shd w:val="clear" w:color="auto" w:fill="FFFFFF"/>
          <w:lang w:val="en-GB"/>
        </w:rPr>
        <w:t>33</w:t>
      </w:r>
      <w:r w:rsidRPr="003808BF">
        <w:rPr>
          <w:rFonts w:asciiTheme="majorBidi" w:hAnsiTheme="majorBidi" w:cstheme="majorBidi"/>
          <w:sz w:val="24"/>
          <w:szCs w:val="24"/>
          <w:shd w:val="clear" w:color="auto" w:fill="FFFFFF"/>
          <w:lang w:val="en-GB"/>
        </w:rPr>
        <w:t xml:space="preserve"> </w:t>
      </w:r>
      <w:r w:rsidR="00F8163D" w:rsidRPr="003808BF">
        <w:rPr>
          <w:rFonts w:asciiTheme="majorBidi" w:hAnsiTheme="majorBidi" w:cstheme="majorBidi"/>
          <w:sz w:val="24"/>
          <w:szCs w:val="24"/>
          <w:shd w:val="clear" w:color="auto" w:fill="FFFFFF"/>
          <w:lang w:val="en-GB"/>
        </w:rPr>
        <w:t>(3)</w:t>
      </w:r>
      <w:r w:rsidRPr="003808BF">
        <w:rPr>
          <w:rFonts w:asciiTheme="majorBidi" w:hAnsiTheme="majorBidi" w:cstheme="majorBidi"/>
          <w:sz w:val="24"/>
          <w:szCs w:val="24"/>
          <w:shd w:val="clear" w:color="auto" w:fill="FFFFFF"/>
          <w:lang w:val="en-GB"/>
        </w:rPr>
        <w:t>:</w:t>
      </w:r>
      <w:r w:rsidR="00F8163D" w:rsidRPr="003808BF">
        <w:rPr>
          <w:rFonts w:asciiTheme="majorBidi" w:hAnsiTheme="majorBidi" w:cstheme="majorBidi"/>
          <w:sz w:val="24"/>
          <w:szCs w:val="24"/>
          <w:shd w:val="clear" w:color="auto" w:fill="FFFFFF"/>
          <w:lang w:val="en-GB"/>
        </w:rPr>
        <w:t xml:space="preserve"> 492-499. </w:t>
      </w:r>
      <w:proofErr w:type="gramStart"/>
      <w:r w:rsidRPr="003808BF">
        <w:rPr>
          <w:rFonts w:asciiTheme="majorBidi" w:hAnsiTheme="majorBidi" w:cstheme="majorBidi"/>
          <w:sz w:val="24"/>
          <w:szCs w:val="24"/>
          <w:shd w:val="clear" w:color="auto" w:fill="FFFFFF"/>
          <w:lang w:val="en-GB"/>
        </w:rPr>
        <w:t>doi:</w:t>
      </w:r>
      <w:proofErr w:type="gramEnd"/>
      <w:r w:rsidR="00F8163D" w:rsidRPr="003808BF">
        <w:rPr>
          <w:rFonts w:asciiTheme="majorBidi" w:hAnsiTheme="majorBidi" w:cstheme="majorBidi"/>
          <w:sz w:val="24"/>
          <w:szCs w:val="24"/>
          <w:shd w:val="clear" w:color="auto" w:fill="FFFFFF"/>
          <w:lang w:val="en-GB"/>
        </w:rPr>
        <w:t>10.1037/spq0000272</w:t>
      </w:r>
      <w:r w:rsidR="003808BF" w:rsidRPr="003808BF">
        <w:rPr>
          <w:rFonts w:asciiTheme="majorBidi" w:hAnsiTheme="majorBidi" w:cstheme="majorBidi"/>
          <w:sz w:val="24"/>
          <w:szCs w:val="24"/>
          <w:shd w:val="clear" w:color="auto" w:fill="FFFFFF"/>
          <w:lang w:val="en-GB"/>
        </w:rPr>
        <w:t>.</w:t>
      </w:r>
    </w:p>
    <w:p w14:paraId="01406609" w14:textId="5A60B027" w:rsidR="00F8163D" w:rsidRPr="00BF685D" w:rsidRDefault="00F8163D" w:rsidP="00C03772">
      <w:pPr>
        <w:spacing w:after="0" w:line="480" w:lineRule="auto"/>
        <w:ind w:left="720" w:hanging="720"/>
        <w:rPr>
          <w:rFonts w:asciiTheme="majorBidi" w:hAnsiTheme="majorBidi" w:cstheme="majorBidi"/>
          <w:sz w:val="24"/>
          <w:szCs w:val="24"/>
          <w:lang w:val="en-GB"/>
        </w:rPr>
      </w:pPr>
      <w:r w:rsidRPr="00BF685D">
        <w:rPr>
          <w:rFonts w:asciiTheme="majorBidi" w:hAnsiTheme="majorBidi" w:cstheme="majorBidi"/>
          <w:sz w:val="24"/>
          <w:szCs w:val="24"/>
          <w:lang w:val="en-GB"/>
        </w:rPr>
        <w:t>IBM</w:t>
      </w:r>
      <w:r w:rsidR="008976CC" w:rsidRPr="00BF685D">
        <w:rPr>
          <w:rFonts w:asciiTheme="majorBidi" w:hAnsiTheme="majorBidi" w:cstheme="majorBidi"/>
          <w:sz w:val="24"/>
          <w:szCs w:val="24"/>
          <w:lang w:val="en-GB"/>
        </w:rPr>
        <w:t>. 2013</w:t>
      </w:r>
      <w:r w:rsidRPr="00BF685D">
        <w:rPr>
          <w:rFonts w:asciiTheme="majorBidi" w:hAnsiTheme="majorBidi" w:cstheme="majorBidi"/>
          <w:sz w:val="24"/>
          <w:szCs w:val="24"/>
          <w:lang w:val="en-GB"/>
        </w:rPr>
        <w:t xml:space="preserve">. </w:t>
      </w:r>
      <w:r w:rsidRPr="00BF685D">
        <w:rPr>
          <w:rFonts w:asciiTheme="majorBidi" w:hAnsiTheme="majorBidi" w:cstheme="majorBidi"/>
          <w:i/>
          <w:iCs/>
          <w:sz w:val="24"/>
          <w:szCs w:val="24"/>
          <w:lang w:val="en-GB"/>
        </w:rPr>
        <w:t>IBM SP</w:t>
      </w:r>
      <w:r w:rsidR="00DC4743">
        <w:rPr>
          <w:rFonts w:asciiTheme="majorBidi" w:hAnsiTheme="majorBidi" w:cstheme="majorBidi"/>
          <w:i/>
          <w:iCs/>
          <w:sz w:val="24"/>
          <w:szCs w:val="24"/>
          <w:lang w:val="en-GB"/>
        </w:rPr>
        <w:t>SS Statistics for Windows, 22 [C</w:t>
      </w:r>
      <w:r w:rsidRPr="00BF685D">
        <w:rPr>
          <w:rFonts w:asciiTheme="majorBidi" w:hAnsiTheme="majorBidi" w:cstheme="majorBidi"/>
          <w:i/>
          <w:iCs/>
          <w:sz w:val="24"/>
          <w:szCs w:val="24"/>
          <w:lang w:val="en-GB"/>
        </w:rPr>
        <w:t xml:space="preserve">omputer </w:t>
      </w:r>
      <w:r w:rsidR="00DC4743">
        <w:rPr>
          <w:rFonts w:asciiTheme="majorBidi" w:hAnsiTheme="majorBidi" w:cstheme="majorBidi"/>
          <w:i/>
          <w:iCs/>
          <w:sz w:val="24"/>
          <w:szCs w:val="24"/>
          <w:lang w:val="en-GB"/>
        </w:rPr>
        <w:t>S</w:t>
      </w:r>
      <w:r w:rsidRPr="00BF685D">
        <w:rPr>
          <w:rFonts w:asciiTheme="majorBidi" w:hAnsiTheme="majorBidi" w:cstheme="majorBidi"/>
          <w:i/>
          <w:iCs/>
          <w:sz w:val="24"/>
          <w:szCs w:val="24"/>
          <w:lang w:val="en-GB"/>
        </w:rPr>
        <w:t>oftware]</w:t>
      </w:r>
      <w:r w:rsidRPr="00BF685D">
        <w:rPr>
          <w:rFonts w:asciiTheme="majorBidi" w:hAnsiTheme="majorBidi" w:cstheme="majorBidi"/>
          <w:sz w:val="24"/>
          <w:szCs w:val="24"/>
          <w:lang w:val="en-GB"/>
        </w:rPr>
        <w:t>. Armonk, NY: IBM.</w:t>
      </w:r>
    </w:p>
    <w:p w14:paraId="1E972995" w14:textId="0193ADB2" w:rsidR="00F8163D" w:rsidRPr="00222C8D" w:rsidRDefault="00F8163D" w:rsidP="00C03772">
      <w:pPr>
        <w:spacing w:after="0" w:line="480" w:lineRule="auto"/>
        <w:ind w:left="720" w:hanging="720"/>
        <w:rPr>
          <w:rFonts w:asciiTheme="majorBidi" w:hAnsiTheme="majorBidi" w:cstheme="majorBidi"/>
          <w:sz w:val="24"/>
          <w:szCs w:val="24"/>
          <w:shd w:val="clear" w:color="auto" w:fill="FFFFFF"/>
          <w:lang w:val="en-GB"/>
        </w:rPr>
      </w:pPr>
      <w:r w:rsidRPr="00222C8D">
        <w:rPr>
          <w:rFonts w:asciiTheme="majorBidi" w:hAnsiTheme="majorBidi" w:cstheme="majorBidi"/>
          <w:sz w:val="24"/>
          <w:szCs w:val="24"/>
          <w:shd w:val="clear" w:color="auto" w:fill="FFFFFF"/>
          <w:lang w:val="en-GB"/>
        </w:rPr>
        <w:t xml:space="preserve">Jencks, C., </w:t>
      </w:r>
      <w:r w:rsidR="00A74E4C" w:rsidRPr="00222C8D">
        <w:rPr>
          <w:rFonts w:asciiTheme="majorBidi" w:hAnsiTheme="majorBidi" w:cstheme="majorBidi"/>
          <w:sz w:val="24"/>
          <w:szCs w:val="24"/>
          <w:shd w:val="clear" w:color="auto" w:fill="FFFFFF"/>
          <w:lang w:val="en-GB"/>
        </w:rPr>
        <w:t xml:space="preserve">J. </w:t>
      </w:r>
      <w:r w:rsidRPr="00222C8D">
        <w:rPr>
          <w:rFonts w:asciiTheme="majorBidi" w:hAnsiTheme="majorBidi" w:cstheme="majorBidi"/>
          <w:sz w:val="24"/>
          <w:szCs w:val="24"/>
          <w:shd w:val="clear" w:color="auto" w:fill="FFFFFF"/>
          <w:lang w:val="en-GB"/>
        </w:rPr>
        <w:t xml:space="preserve">Crouse, </w:t>
      </w:r>
      <w:r w:rsidR="00A74E4C" w:rsidRPr="00222C8D">
        <w:rPr>
          <w:rFonts w:asciiTheme="majorBidi" w:hAnsiTheme="majorBidi" w:cstheme="majorBidi"/>
          <w:sz w:val="24"/>
          <w:szCs w:val="24"/>
          <w:shd w:val="clear" w:color="auto" w:fill="FFFFFF"/>
          <w:lang w:val="en-GB"/>
        </w:rPr>
        <w:t>and</w:t>
      </w:r>
      <w:r w:rsidRPr="00222C8D">
        <w:rPr>
          <w:rFonts w:asciiTheme="majorBidi" w:hAnsiTheme="majorBidi" w:cstheme="majorBidi"/>
          <w:sz w:val="24"/>
          <w:szCs w:val="24"/>
          <w:shd w:val="clear" w:color="auto" w:fill="FFFFFF"/>
          <w:lang w:val="en-GB"/>
        </w:rPr>
        <w:t xml:space="preserve"> </w:t>
      </w:r>
      <w:r w:rsidR="00A74E4C" w:rsidRPr="00222C8D">
        <w:rPr>
          <w:rFonts w:asciiTheme="majorBidi" w:hAnsiTheme="majorBidi" w:cstheme="majorBidi"/>
          <w:sz w:val="24"/>
          <w:szCs w:val="24"/>
          <w:shd w:val="clear" w:color="auto" w:fill="FFFFFF"/>
          <w:lang w:val="en-GB"/>
        </w:rPr>
        <w:t xml:space="preserve">P. </w:t>
      </w:r>
      <w:proofErr w:type="spellStart"/>
      <w:r w:rsidRPr="00222C8D">
        <w:rPr>
          <w:rFonts w:asciiTheme="majorBidi" w:hAnsiTheme="majorBidi" w:cstheme="majorBidi"/>
          <w:sz w:val="24"/>
          <w:szCs w:val="24"/>
          <w:shd w:val="clear" w:color="auto" w:fill="FFFFFF"/>
          <w:lang w:val="en-GB"/>
        </w:rPr>
        <w:t>Mueser</w:t>
      </w:r>
      <w:proofErr w:type="spellEnd"/>
      <w:r w:rsidR="00A74E4C" w:rsidRPr="00222C8D">
        <w:rPr>
          <w:rFonts w:asciiTheme="majorBidi" w:hAnsiTheme="majorBidi" w:cstheme="majorBidi"/>
          <w:sz w:val="24"/>
          <w:szCs w:val="24"/>
          <w:shd w:val="clear" w:color="auto" w:fill="FFFFFF"/>
          <w:lang w:val="en-GB"/>
        </w:rPr>
        <w:t>. 1983</w:t>
      </w:r>
      <w:r w:rsidRPr="00222C8D">
        <w:rPr>
          <w:rFonts w:asciiTheme="majorBidi" w:hAnsiTheme="majorBidi" w:cstheme="majorBidi"/>
          <w:sz w:val="24"/>
          <w:szCs w:val="24"/>
          <w:shd w:val="clear" w:color="auto" w:fill="FFFFFF"/>
          <w:lang w:val="en-GB"/>
        </w:rPr>
        <w:t xml:space="preserve">. </w:t>
      </w:r>
      <w:r w:rsidR="00A74E4C" w:rsidRPr="00222C8D">
        <w:rPr>
          <w:rFonts w:asciiTheme="majorBidi" w:hAnsiTheme="majorBidi" w:cstheme="majorBidi"/>
          <w:sz w:val="24"/>
          <w:szCs w:val="24"/>
          <w:shd w:val="clear" w:color="auto" w:fill="FFFFFF"/>
          <w:lang w:val="en-GB"/>
        </w:rPr>
        <w:t>“</w:t>
      </w:r>
      <w:r w:rsidR="00B32C1D" w:rsidRPr="00B32C1D">
        <w:rPr>
          <w:rFonts w:asciiTheme="majorBidi" w:hAnsiTheme="majorBidi" w:cstheme="majorBidi"/>
          <w:sz w:val="24"/>
          <w:szCs w:val="24"/>
          <w:shd w:val="clear" w:color="auto" w:fill="FFFFFF"/>
          <w:lang w:val="en-GB"/>
        </w:rPr>
        <w:t xml:space="preserve">The Wisconsin Model of Status Attainment: A National Replication </w:t>
      </w:r>
      <w:r w:rsidR="00D95C82" w:rsidRPr="00B32C1D">
        <w:rPr>
          <w:rFonts w:asciiTheme="majorBidi" w:hAnsiTheme="majorBidi" w:cstheme="majorBidi"/>
          <w:sz w:val="24"/>
          <w:szCs w:val="24"/>
          <w:shd w:val="clear" w:color="auto" w:fill="FFFFFF"/>
          <w:lang w:val="en-GB"/>
        </w:rPr>
        <w:t>with</w:t>
      </w:r>
      <w:r w:rsidR="00B32C1D" w:rsidRPr="00B32C1D">
        <w:rPr>
          <w:rFonts w:asciiTheme="majorBidi" w:hAnsiTheme="majorBidi" w:cstheme="majorBidi"/>
          <w:sz w:val="24"/>
          <w:szCs w:val="24"/>
          <w:shd w:val="clear" w:color="auto" w:fill="FFFFFF"/>
          <w:lang w:val="en-GB"/>
        </w:rPr>
        <w:t xml:space="preserve"> Improved Measures of Ability and Aspiration</w:t>
      </w:r>
      <w:r w:rsidRPr="00222C8D">
        <w:rPr>
          <w:rFonts w:asciiTheme="majorBidi" w:hAnsiTheme="majorBidi" w:cstheme="majorBidi"/>
          <w:sz w:val="24"/>
          <w:szCs w:val="24"/>
          <w:shd w:val="clear" w:color="auto" w:fill="FFFFFF"/>
          <w:lang w:val="en-GB"/>
        </w:rPr>
        <w:t>.</w:t>
      </w:r>
      <w:r w:rsidR="00A74E4C" w:rsidRPr="00222C8D">
        <w:rPr>
          <w:rFonts w:asciiTheme="majorBidi" w:hAnsiTheme="majorBidi" w:cstheme="majorBidi"/>
          <w:sz w:val="24"/>
          <w:szCs w:val="24"/>
          <w:shd w:val="clear" w:color="auto" w:fill="FFFFFF"/>
          <w:lang w:val="en-GB"/>
        </w:rPr>
        <w:t>”</w:t>
      </w:r>
      <w:r w:rsidRPr="00222C8D">
        <w:rPr>
          <w:rFonts w:asciiTheme="majorBidi" w:hAnsiTheme="majorBidi" w:cstheme="majorBidi"/>
          <w:sz w:val="24"/>
          <w:szCs w:val="24"/>
          <w:shd w:val="clear" w:color="auto" w:fill="FFFFFF"/>
          <w:lang w:val="en-GB"/>
        </w:rPr>
        <w:t> </w:t>
      </w:r>
      <w:r w:rsidRPr="00222C8D">
        <w:rPr>
          <w:rFonts w:asciiTheme="majorBidi" w:hAnsiTheme="majorBidi" w:cstheme="majorBidi"/>
          <w:i/>
          <w:iCs/>
          <w:sz w:val="24"/>
          <w:szCs w:val="24"/>
          <w:shd w:val="clear" w:color="auto" w:fill="FFFFFF"/>
          <w:lang w:val="en-GB"/>
        </w:rPr>
        <w:t>Sociology of Education</w:t>
      </w:r>
      <w:r w:rsidRPr="00222C8D">
        <w:rPr>
          <w:rFonts w:asciiTheme="majorBidi" w:hAnsiTheme="majorBidi" w:cstheme="majorBidi"/>
          <w:sz w:val="24"/>
          <w:szCs w:val="24"/>
          <w:shd w:val="clear" w:color="auto" w:fill="FFFFFF"/>
          <w:lang w:val="en-GB"/>
        </w:rPr>
        <w:t xml:space="preserve"> </w:t>
      </w:r>
      <w:r w:rsidR="00031D6E" w:rsidRPr="00222C8D">
        <w:rPr>
          <w:rFonts w:asciiTheme="majorBidi" w:hAnsiTheme="majorBidi" w:cstheme="majorBidi"/>
          <w:sz w:val="24"/>
          <w:szCs w:val="24"/>
          <w:shd w:val="clear" w:color="auto" w:fill="FFFFFF"/>
          <w:lang w:val="en-GB"/>
        </w:rPr>
        <w:t xml:space="preserve">56: </w:t>
      </w:r>
      <w:r w:rsidRPr="00222C8D">
        <w:rPr>
          <w:rFonts w:asciiTheme="majorBidi" w:hAnsiTheme="majorBidi" w:cstheme="majorBidi"/>
          <w:sz w:val="24"/>
          <w:szCs w:val="24"/>
          <w:shd w:val="clear" w:color="auto" w:fill="FFFFFF"/>
          <w:lang w:val="en-GB"/>
        </w:rPr>
        <w:t>3-19.</w:t>
      </w:r>
    </w:p>
    <w:p w14:paraId="5DA3D3ED" w14:textId="364F187F" w:rsidR="00E93890" w:rsidRPr="0014000A" w:rsidRDefault="00E93890" w:rsidP="00C03772">
      <w:pPr>
        <w:spacing w:line="480" w:lineRule="auto"/>
        <w:ind w:left="720" w:hanging="720"/>
        <w:rPr>
          <w:rFonts w:ascii="Times New Roman" w:hAnsi="Times New Roman" w:cs="Times New Roman"/>
          <w:sz w:val="24"/>
          <w:szCs w:val="24"/>
          <w:lang w:val="en-GB"/>
        </w:rPr>
      </w:pPr>
      <w:proofErr w:type="spellStart"/>
      <w:r w:rsidRPr="0014000A">
        <w:rPr>
          <w:rFonts w:ascii="Times New Roman" w:hAnsi="Times New Roman" w:cs="Times New Roman"/>
          <w:sz w:val="24"/>
          <w:szCs w:val="24"/>
          <w:lang w:val="en-GB"/>
        </w:rPr>
        <w:lastRenderedPageBreak/>
        <w:t>Jokić</w:t>
      </w:r>
      <w:proofErr w:type="spellEnd"/>
      <w:r w:rsidRPr="0014000A">
        <w:rPr>
          <w:rFonts w:ascii="Times New Roman" w:hAnsi="Times New Roman" w:cs="Times New Roman"/>
          <w:sz w:val="24"/>
          <w:szCs w:val="24"/>
          <w:lang w:val="en-GB"/>
        </w:rPr>
        <w:t xml:space="preserve">, B., </w:t>
      </w:r>
      <w:r w:rsidR="001F5710" w:rsidRPr="0014000A">
        <w:rPr>
          <w:rFonts w:ascii="Times New Roman" w:hAnsi="Times New Roman" w:cs="Times New Roman"/>
          <w:sz w:val="24"/>
          <w:szCs w:val="24"/>
          <w:lang w:val="en-GB"/>
        </w:rPr>
        <w:t xml:space="preserve">B. </w:t>
      </w:r>
      <w:proofErr w:type="spellStart"/>
      <w:r w:rsidRPr="0014000A">
        <w:rPr>
          <w:rFonts w:ascii="Times New Roman" w:hAnsi="Times New Roman" w:cs="Times New Roman"/>
          <w:sz w:val="24"/>
          <w:szCs w:val="24"/>
          <w:lang w:val="en-GB"/>
        </w:rPr>
        <w:t>Baranović</w:t>
      </w:r>
      <w:proofErr w:type="spellEnd"/>
      <w:r w:rsidRPr="0014000A">
        <w:rPr>
          <w:rFonts w:ascii="Times New Roman" w:hAnsi="Times New Roman" w:cs="Times New Roman"/>
          <w:sz w:val="24"/>
          <w:szCs w:val="24"/>
          <w:lang w:val="en-GB"/>
        </w:rPr>
        <w:t xml:space="preserve">, </w:t>
      </w:r>
      <w:r w:rsidR="001F5710" w:rsidRPr="0014000A">
        <w:rPr>
          <w:rFonts w:ascii="Times New Roman" w:hAnsi="Times New Roman" w:cs="Times New Roman"/>
          <w:sz w:val="24"/>
          <w:szCs w:val="24"/>
          <w:lang w:val="en-GB"/>
        </w:rPr>
        <w:t xml:space="preserve">P. </w:t>
      </w:r>
      <w:proofErr w:type="spellStart"/>
      <w:r w:rsidRPr="0014000A">
        <w:rPr>
          <w:rFonts w:ascii="Times New Roman" w:hAnsi="Times New Roman" w:cs="Times New Roman"/>
          <w:sz w:val="24"/>
          <w:szCs w:val="24"/>
          <w:lang w:val="en-GB"/>
        </w:rPr>
        <w:t>Bezinović</w:t>
      </w:r>
      <w:proofErr w:type="spellEnd"/>
      <w:r w:rsidRPr="0014000A">
        <w:rPr>
          <w:rFonts w:ascii="Times New Roman" w:hAnsi="Times New Roman" w:cs="Times New Roman"/>
          <w:sz w:val="24"/>
          <w:szCs w:val="24"/>
          <w:lang w:val="en-GB"/>
        </w:rPr>
        <w:t xml:space="preserve">, </w:t>
      </w:r>
      <w:r w:rsidR="001F5710" w:rsidRPr="0014000A">
        <w:rPr>
          <w:rFonts w:ascii="Times New Roman" w:hAnsi="Times New Roman" w:cs="Times New Roman"/>
          <w:sz w:val="24"/>
          <w:szCs w:val="24"/>
          <w:lang w:val="en-GB"/>
        </w:rPr>
        <w:t xml:space="preserve">D. </w:t>
      </w:r>
      <w:proofErr w:type="spellStart"/>
      <w:r w:rsidRPr="0014000A">
        <w:rPr>
          <w:rFonts w:ascii="Times New Roman" w:hAnsi="Times New Roman" w:cs="Times New Roman"/>
          <w:sz w:val="24"/>
          <w:szCs w:val="24"/>
          <w:lang w:val="en-GB"/>
        </w:rPr>
        <w:t>Dolenec</w:t>
      </w:r>
      <w:proofErr w:type="spellEnd"/>
      <w:r w:rsidRPr="0014000A">
        <w:rPr>
          <w:rFonts w:ascii="Times New Roman" w:hAnsi="Times New Roman" w:cs="Times New Roman"/>
          <w:sz w:val="24"/>
          <w:szCs w:val="24"/>
          <w:lang w:val="en-GB"/>
        </w:rPr>
        <w:t xml:space="preserve">, </w:t>
      </w:r>
      <w:r w:rsidR="001F5710" w:rsidRPr="0014000A">
        <w:rPr>
          <w:rFonts w:ascii="Times New Roman" w:hAnsi="Times New Roman" w:cs="Times New Roman"/>
          <w:sz w:val="24"/>
          <w:szCs w:val="24"/>
          <w:lang w:val="en-GB"/>
        </w:rPr>
        <w:t xml:space="preserve">V. </w:t>
      </w:r>
      <w:proofErr w:type="spellStart"/>
      <w:r w:rsidRPr="0014000A">
        <w:rPr>
          <w:rFonts w:ascii="Times New Roman" w:hAnsi="Times New Roman" w:cs="Times New Roman"/>
          <w:sz w:val="24"/>
          <w:szCs w:val="24"/>
          <w:lang w:val="en-GB"/>
        </w:rPr>
        <w:t>Domović</w:t>
      </w:r>
      <w:proofErr w:type="spellEnd"/>
      <w:r w:rsidRPr="0014000A">
        <w:rPr>
          <w:rFonts w:ascii="Times New Roman" w:hAnsi="Times New Roman" w:cs="Times New Roman"/>
          <w:sz w:val="24"/>
          <w:szCs w:val="24"/>
          <w:lang w:val="en-GB"/>
        </w:rPr>
        <w:t xml:space="preserve">, </w:t>
      </w:r>
      <w:r w:rsidR="001F5710" w:rsidRPr="0014000A">
        <w:rPr>
          <w:rFonts w:ascii="Times New Roman" w:hAnsi="Times New Roman" w:cs="Times New Roman"/>
          <w:sz w:val="24"/>
          <w:szCs w:val="24"/>
          <w:lang w:val="en-GB"/>
        </w:rPr>
        <w:t xml:space="preserve">I. </w:t>
      </w:r>
      <w:proofErr w:type="spellStart"/>
      <w:r w:rsidRPr="0014000A">
        <w:rPr>
          <w:rFonts w:ascii="Times New Roman" w:hAnsi="Times New Roman" w:cs="Times New Roman"/>
          <w:sz w:val="24"/>
          <w:szCs w:val="24"/>
          <w:lang w:val="en-GB"/>
        </w:rPr>
        <w:t>Marušić</w:t>
      </w:r>
      <w:proofErr w:type="spellEnd"/>
      <w:r w:rsidRPr="0014000A">
        <w:rPr>
          <w:rFonts w:ascii="Times New Roman" w:hAnsi="Times New Roman" w:cs="Times New Roman"/>
          <w:sz w:val="24"/>
          <w:szCs w:val="24"/>
          <w:lang w:val="en-GB"/>
        </w:rPr>
        <w:t xml:space="preserve">, </w:t>
      </w:r>
      <w:r w:rsidR="001F5710" w:rsidRPr="0014000A">
        <w:rPr>
          <w:rFonts w:ascii="Times New Roman" w:hAnsi="Times New Roman" w:cs="Times New Roman"/>
          <w:sz w:val="24"/>
          <w:szCs w:val="24"/>
          <w:lang w:val="en-GB"/>
        </w:rPr>
        <w:t xml:space="preserve">T. </w:t>
      </w:r>
      <w:proofErr w:type="spellStart"/>
      <w:r w:rsidRPr="0014000A">
        <w:rPr>
          <w:rFonts w:ascii="Times New Roman" w:hAnsi="Times New Roman" w:cs="Times New Roman"/>
          <w:sz w:val="24"/>
          <w:szCs w:val="24"/>
          <w:lang w:val="en-GB"/>
        </w:rPr>
        <w:t>Pavin</w:t>
      </w:r>
      <w:proofErr w:type="spellEnd"/>
      <w:r w:rsidRPr="0014000A">
        <w:rPr>
          <w:rFonts w:ascii="Times New Roman" w:hAnsi="Times New Roman" w:cs="Times New Roman"/>
          <w:sz w:val="24"/>
          <w:szCs w:val="24"/>
          <w:lang w:val="en-GB"/>
        </w:rPr>
        <w:t xml:space="preserve"> </w:t>
      </w:r>
      <w:proofErr w:type="spellStart"/>
      <w:r w:rsidRPr="0014000A">
        <w:rPr>
          <w:rFonts w:ascii="Times New Roman" w:hAnsi="Times New Roman" w:cs="Times New Roman"/>
          <w:sz w:val="24"/>
          <w:szCs w:val="24"/>
          <w:lang w:val="en-GB"/>
        </w:rPr>
        <w:t>Ivanec</w:t>
      </w:r>
      <w:proofErr w:type="spellEnd"/>
      <w:r w:rsidRPr="0014000A">
        <w:rPr>
          <w:rFonts w:ascii="Times New Roman" w:hAnsi="Times New Roman" w:cs="Times New Roman"/>
          <w:sz w:val="24"/>
          <w:szCs w:val="24"/>
          <w:lang w:val="en-GB"/>
        </w:rPr>
        <w:t xml:space="preserve">, </w:t>
      </w:r>
      <w:r w:rsidR="001F5710" w:rsidRPr="0014000A">
        <w:rPr>
          <w:rFonts w:ascii="Times New Roman" w:hAnsi="Times New Roman" w:cs="Times New Roman"/>
          <w:sz w:val="24"/>
          <w:szCs w:val="24"/>
          <w:lang w:val="en-GB"/>
        </w:rPr>
        <w:t xml:space="preserve">D. </w:t>
      </w:r>
      <w:proofErr w:type="spellStart"/>
      <w:r w:rsidRPr="0014000A">
        <w:rPr>
          <w:rFonts w:ascii="Times New Roman" w:hAnsi="Times New Roman" w:cs="Times New Roman"/>
          <w:sz w:val="24"/>
          <w:szCs w:val="24"/>
          <w:lang w:val="en-GB"/>
        </w:rPr>
        <w:t>Rist</w:t>
      </w:r>
      <w:r w:rsidR="00DF1F25" w:rsidRPr="0014000A">
        <w:rPr>
          <w:rFonts w:ascii="Times New Roman" w:hAnsi="Times New Roman" w:cs="Times New Roman"/>
          <w:sz w:val="24"/>
          <w:szCs w:val="24"/>
          <w:lang w:val="en-GB"/>
        </w:rPr>
        <w:t>er</w:t>
      </w:r>
      <w:proofErr w:type="spellEnd"/>
      <w:r w:rsidR="00DF1F25" w:rsidRPr="0014000A">
        <w:rPr>
          <w:rFonts w:ascii="Times New Roman" w:hAnsi="Times New Roman" w:cs="Times New Roman"/>
          <w:sz w:val="24"/>
          <w:szCs w:val="24"/>
          <w:lang w:val="en-GB"/>
        </w:rPr>
        <w:t xml:space="preserve">, </w:t>
      </w:r>
      <w:r w:rsidR="001F5710" w:rsidRPr="0014000A">
        <w:rPr>
          <w:rFonts w:ascii="Times New Roman" w:hAnsi="Times New Roman" w:cs="Times New Roman"/>
          <w:sz w:val="24"/>
          <w:szCs w:val="24"/>
          <w:lang w:val="en-GB"/>
        </w:rPr>
        <w:t>and</w:t>
      </w:r>
      <w:r w:rsidR="00DF1F25" w:rsidRPr="0014000A">
        <w:rPr>
          <w:rFonts w:ascii="Times New Roman" w:hAnsi="Times New Roman" w:cs="Times New Roman"/>
          <w:sz w:val="24"/>
          <w:szCs w:val="24"/>
          <w:lang w:val="en-GB"/>
        </w:rPr>
        <w:t xml:space="preserve"> </w:t>
      </w:r>
      <w:r w:rsidR="001F5710" w:rsidRPr="0014000A">
        <w:rPr>
          <w:rFonts w:ascii="Times New Roman" w:hAnsi="Times New Roman" w:cs="Times New Roman"/>
          <w:sz w:val="24"/>
          <w:szCs w:val="24"/>
          <w:lang w:val="en-GB"/>
        </w:rPr>
        <w:t xml:space="preserve">Z. </w:t>
      </w:r>
      <w:proofErr w:type="spellStart"/>
      <w:r w:rsidR="00DF1F25" w:rsidRPr="0014000A">
        <w:rPr>
          <w:rFonts w:ascii="Times New Roman" w:hAnsi="Times New Roman" w:cs="Times New Roman"/>
          <w:sz w:val="24"/>
          <w:szCs w:val="24"/>
          <w:lang w:val="en-GB"/>
        </w:rPr>
        <w:t>Ristić</w:t>
      </w:r>
      <w:proofErr w:type="spellEnd"/>
      <w:r w:rsidR="00DF1F25" w:rsidRPr="0014000A">
        <w:rPr>
          <w:rFonts w:ascii="Times New Roman" w:hAnsi="Times New Roman" w:cs="Times New Roman"/>
          <w:sz w:val="24"/>
          <w:szCs w:val="24"/>
          <w:lang w:val="en-GB"/>
        </w:rPr>
        <w:t xml:space="preserve"> </w:t>
      </w:r>
      <w:proofErr w:type="spellStart"/>
      <w:r w:rsidR="00DF1F25" w:rsidRPr="0014000A">
        <w:rPr>
          <w:rFonts w:ascii="Times New Roman" w:hAnsi="Times New Roman" w:cs="Times New Roman"/>
          <w:sz w:val="24"/>
          <w:szCs w:val="24"/>
          <w:lang w:val="en-GB"/>
        </w:rPr>
        <w:t>Dedić</w:t>
      </w:r>
      <w:proofErr w:type="spellEnd"/>
      <w:r w:rsidR="001F5710" w:rsidRPr="0014000A">
        <w:rPr>
          <w:rFonts w:ascii="Times New Roman" w:hAnsi="Times New Roman" w:cs="Times New Roman"/>
          <w:sz w:val="24"/>
          <w:szCs w:val="24"/>
          <w:lang w:val="en-GB"/>
        </w:rPr>
        <w:t>. 2007</w:t>
      </w:r>
      <w:r w:rsidR="00DF1F25" w:rsidRPr="0014000A">
        <w:rPr>
          <w:rFonts w:ascii="Times New Roman" w:hAnsi="Times New Roman" w:cs="Times New Roman"/>
          <w:sz w:val="24"/>
          <w:szCs w:val="24"/>
          <w:lang w:val="en-GB"/>
        </w:rPr>
        <w:t>.</w:t>
      </w:r>
      <w:r w:rsidRPr="0014000A">
        <w:rPr>
          <w:rFonts w:ascii="Times New Roman" w:hAnsi="Times New Roman" w:cs="Times New Roman"/>
          <w:sz w:val="24"/>
          <w:szCs w:val="24"/>
          <w:lang w:val="en-GB"/>
        </w:rPr>
        <w:t xml:space="preserve"> </w:t>
      </w:r>
      <w:r w:rsidRPr="0014000A">
        <w:rPr>
          <w:rFonts w:ascii="Times New Roman" w:hAnsi="Times New Roman" w:cs="Times New Roman"/>
          <w:i/>
          <w:sz w:val="24"/>
          <w:szCs w:val="24"/>
          <w:lang w:val="en-GB"/>
        </w:rPr>
        <w:t>Key Competences ‘Learning to Learn’ and ‘Entrepreneurship’ in Croatian Elementary Education</w:t>
      </w:r>
      <w:r w:rsidR="00DA03EC" w:rsidRPr="0014000A">
        <w:rPr>
          <w:rFonts w:ascii="Times New Roman" w:hAnsi="Times New Roman" w:cs="Times New Roman"/>
          <w:sz w:val="24"/>
          <w:szCs w:val="24"/>
          <w:lang w:val="en-GB"/>
        </w:rPr>
        <w:t>.</w:t>
      </w:r>
      <w:r w:rsidRPr="0014000A">
        <w:rPr>
          <w:rFonts w:ascii="Times New Roman" w:hAnsi="Times New Roman" w:cs="Times New Roman"/>
          <w:sz w:val="24"/>
          <w:szCs w:val="24"/>
          <w:lang w:val="en-GB"/>
        </w:rPr>
        <w:t xml:space="preserve"> </w:t>
      </w:r>
      <w:r w:rsidR="00DF1F25" w:rsidRPr="0014000A">
        <w:rPr>
          <w:rFonts w:ascii="Times New Roman" w:hAnsi="Times New Roman" w:cs="Times New Roman"/>
          <w:sz w:val="24"/>
          <w:szCs w:val="24"/>
          <w:lang w:val="en-GB"/>
        </w:rPr>
        <w:t xml:space="preserve">Torino, Italy: </w:t>
      </w:r>
      <w:r w:rsidR="00B702AC">
        <w:rPr>
          <w:rFonts w:ascii="Times New Roman" w:hAnsi="Times New Roman" w:cs="Times New Roman"/>
          <w:sz w:val="24"/>
          <w:szCs w:val="24"/>
          <w:lang w:val="en-GB"/>
        </w:rPr>
        <w:t>European Training Foundation.</w:t>
      </w:r>
    </w:p>
    <w:p w14:paraId="28230974" w14:textId="7F25BC56" w:rsidR="00F8163D" w:rsidRPr="00BF0688" w:rsidRDefault="00F8163D" w:rsidP="00C03772">
      <w:pPr>
        <w:spacing w:after="0" w:line="480" w:lineRule="auto"/>
        <w:ind w:left="720" w:hanging="720"/>
        <w:rPr>
          <w:rFonts w:ascii="Times New Roman" w:hAnsi="Times New Roman" w:cs="Times New Roman"/>
          <w:sz w:val="24"/>
          <w:szCs w:val="24"/>
          <w:shd w:val="clear" w:color="auto" w:fill="FFFFFF"/>
          <w:lang w:val="en-GB"/>
        </w:rPr>
      </w:pPr>
      <w:proofErr w:type="spellStart"/>
      <w:r w:rsidRPr="00BF0688">
        <w:rPr>
          <w:rFonts w:ascii="Times New Roman" w:hAnsi="Times New Roman" w:cs="Times New Roman"/>
          <w:sz w:val="24"/>
          <w:szCs w:val="24"/>
          <w:shd w:val="clear" w:color="auto" w:fill="FFFFFF"/>
          <w:lang w:val="en-GB"/>
        </w:rPr>
        <w:t>Jokić</w:t>
      </w:r>
      <w:proofErr w:type="spellEnd"/>
      <w:r w:rsidRPr="00BF0688">
        <w:rPr>
          <w:rFonts w:ascii="Times New Roman" w:hAnsi="Times New Roman" w:cs="Times New Roman"/>
          <w:sz w:val="24"/>
          <w:szCs w:val="24"/>
          <w:shd w:val="clear" w:color="auto" w:fill="FFFFFF"/>
          <w:lang w:val="en-GB"/>
        </w:rPr>
        <w:t xml:space="preserve">, B., </w:t>
      </w:r>
      <w:r w:rsidR="00B702AC" w:rsidRPr="00BF0688">
        <w:rPr>
          <w:rFonts w:ascii="Times New Roman" w:hAnsi="Times New Roman" w:cs="Times New Roman"/>
          <w:sz w:val="24"/>
          <w:szCs w:val="24"/>
          <w:shd w:val="clear" w:color="auto" w:fill="FFFFFF"/>
          <w:lang w:val="en-GB"/>
        </w:rPr>
        <w:t>and</w:t>
      </w:r>
      <w:r w:rsidRPr="00BF0688">
        <w:rPr>
          <w:rFonts w:ascii="Times New Roman" w:hAnsi="Times New Roman" w:cs="Times New Roman"/>
          <w:sz w:val="24"/>
          <w:szCs w:val="24"/>
          <w:shd w:val="clear" w:color="auto" w:fill="FFFFFF"/>
          <w:lang w:val="en-GB"/>
        </w:rPr>
        <w:t xml:space="preserve"> </w:t>
      </w:r>
      <w:r w:rsidR="00B702AC" w:rsidRPr="00BF0688">
        <w:rPr>
          <w:rFonts w:ascii="Times New Roman" w:hAnsi="Times New Roman" w:cs="Times New Roman"/>
          <w:sz w:val="24"/>
          <w:szCs w:val="24"/>
          <w:shd w:val="clear" w:color="auto" w:fill="FFFFFF"/>
          <w:lang w:val="en-GB"/>
        </w:rPr>
        <w:t xml:space="preserve">Z. </w:t>
      </w:r>
      <w:proofErr w:type="spellStart"/>
      <w:r w:rsidRPr="00BF0688">
        <w:rPr>
          <w:rFonts w:ascii="Times New Roman" w:hAnsi="Times New Roman" w:cs="Times New Roman"/>
          <w:sz w:val="24"/>
          <w:szCs w:val="24"/>
          <w:shd w:val="clear" w:color="auto" w:fill="FFFFFF"/>
          <w:lang w:val="en-GB"/>
        </w:rPr>
        <w:t>Ristić</w:t>
      </w:r>
      <w:proofErr w:type="spellEnd"/>
      <w:r w:rsidRPr="00BF0688">
        <w:rPr>
          <w:rFonts w:ascii="Times New Roman" w:hAnsi="Times New Roman" w:cs="Times New Roman"/>
          <w:sz w:val="24"/>
          <w:szCs w:val="24"/>
          <w:shd w:val="clear" w:color="auto" w:fill="FFFFFF"/>
          <w:lang w:val="en-GB"/>
        </w:rPr>
        <w:t xml:space="preserve"> </w:t>
      </w:r>
      <w:proofErr w:type="spellStart"/>
      <w:r w:rsidRPr="00BF0688">
        <w:rPr>
          <w:rFonts w:ascii="Times New Roman" w:hAnsi="Times New Roman" w:cs="Times New Roman"/>
          <w:sz w:val="24"/>
          <w:szCs w:val="24"/>
          <w:shd w:val="clear" w:color="auto" w:fill="FFFFFF"/>
          <w:lang w:val="en-GB"/>
        </w:rPr>
        <w:t>Dedić</w:t>
      </w:r>
      <w:proofErr w:type="spellEnd"/>
      <w:r w:rsidR="00B702AC" w:rsidRPr="00BF0688">
        <w:rPr>
          <w:rFonts w:ascii="Times New Roman" w:hAnsi="Times New Roman" w:cs="Times New Roman"/>
          <w:sz w:val="24"/>
          <w:szCs w:val="24"/>
          <w:shd w:val="clear" w:color="auto" w:fill="FFFFFF"/>
          <w:lang w:val="en-GB"/>
        </w:rPr>
        <w:t>. 2014</w:t>
      </w:r>
      <w:r w:rsidRPr="00BF0688">
        <w:rPr>
          <w:rFonts w:ascii="Times New Roman" w:hAnsi="Times New Roman" w:cs="Times New Roman"/>
          <w:sz w:val="24"/>
          <w:szCs w:val="24"/>
          <w:shd w:val="clear" w:color="auto" w:fill="FFFFFF"/>
          <w:lang w:val="en-GB"/>
        </w:rPr>
        <w:t xml:space="preserve">. </w:t>
      </w:r>
      <w:proofErr w:type="spellStart"/>
      <w:r w:rsidRPr="00BF0688">
        <w:rPr>
          <w:rFonts w:ascii="Times New Roman" w:hAnsi="Times New Roman" w:cs="Times New Roman"/>
          <w:i/>
          <w:sz w:val="24"/>
          <w:szCs w:val="24"/>
          <w:shd w:val="clear" w:color="auto" w:fill="FFFFFF"/>
          <w:lang w:val="en-GB"/>
        </w:rPr>
        <w:t>Postati</w:t>
      </w:r>
      <w:proofErr w:type="spellEnd"/>
      <w:r w:rsidRPr="00BF0688">
        <w:rPr>
          <w:rFonts w:ascii="Times New Roman" w:hAnsi="Times New Roman" w:cs="Times New Roman"/>
          <w:i/>
          <w:sz w:val="24"/>
          <w:szCs w:val="24"/>
          <w:shd w:val="clear" w:color="auto" w:fill="FFFFFF"/>
          <w:lang w:val="en-GB"/>
        </w:rPr>
        <w:t xml:space="preserve"> student u </w:t>
      </w:r>
      <w:proofErr w:type="spellStart"/>
      <w:r w:rsidRPr="00BF0688">
        <w:rPr>
          <w:rFonts w:ascii="Times New Roman" w:hAnsi="Times New Roman" w:cs="Times New Roman"/>
          <w:i/>
          <w:sz w:val="24"/>
          <w:szCs w:val="24"/>
          <w:shd w:val="clear" w:color="auto" w:fill="FFFFFF"/>
          <w:lang w:val="en-GB"/>
        </w:rPr>
        <w:t>Hrvatskoj</w:t>
      </w:r>
      <w:proofErr w:type="spellEnd"/>
      <w:r w:rsidRPr="00BF0688">
        <w:rPr>
          <w:rFonts w:ascii="Times New Roman" w:hAnsi="Times New Roman" w:cs="Times New Roman"/>
          <w:i/>
          <w:sz w:val="24"/>
          <w:szCs w:val="24"/>
          <w:shd w:val="clear" w:color="auto" w:fill="FFFFFF"/>
          <w:lang w:val="en-GB"/>
        </w:rPr>
        <w:t xml:space="preserve"> </w:t>
      </w:r>
      <w:r w:rsidRPr="00BF0688">
        <w:rPr>
          <w:rFonts w:ascii="Times New Roman" w:hAnsi="Times New Roman" w:cs="Times New Roman"/>
          <w:sz w:val="24"/>
          <w:szCs w:val="24"/>
          <w:shd w:val="clear" w:color="auto" w:fill="FFFFFF"/>
          <w:lang w:val="en-GB"/>
        </w:rPr>
        <w:t>[Become a Student in Croatia]. Zagreb: The Agency for Science and Higher Education.</w:t>
      </w:r>
    </w:p>
    <w:p w14:paraId="4F312637" w14:textId="15879FD3" w:rsidR="0013093D" w:rsidRPr="00A374D3" w:rsidRDefault="00923ACF" w:rsidP="00C03772">
      <w:pPr>
        <w:spacing w:after="0" w:line="480" w:lineRule="auto"/>
        <w:ind w:left="720" w:hanging="720"/>
        <w:rPr>
          <w:rFonts w:ascii="Times New Roman" w:hAnsi="Times New Roman" w:cs="Times New Roman"/>
          <w:sz w:val="24"/>
          <w:szCs w:val="24"/>
          <w:lang w:val="en-GB"/>
        </w:rPr>
      </w:pPr>
      <w:proofErr w:type="spellStart"/>
      <w:r w:rsidRPr="00A374D3">
        <w:rPr>
          <w:rFonts w:ascii="Times New Roman" w:hAnsi="Times New Roman" w:cs="Times New Roman"/>
          <w:sz w:val="24"/>
          <w:szCs w:val="24"/>
          <w:lang w:val="en-GB"/>
        </w:rPr>
        <w:t>Jurviste</w:t>
      </w:r>
      <w:proofErr w:type="spellEnd"/>
      <w:r w:rsidRPr="00A374D3">
        <w:rPr>
          <w:rFonts w:ascii="Times New Roman" w:hAnsi="Times New Roman" w:cs="Times New Roman"/>
          <w:sz w:val="24"/>
          <w:szCs w:val="24"/>
          <w:lang w:val="en-GB"/>
        </w:rPr>
        <w:t xml:space="preserve">, U., </w:t>
      </w:r>
      <w:r w:rsidR="00335FBA" w:rsidRPr="00A374D3">
        <w:rPr>
          <w:rFonts w:ascii="Times New Roman" w:hAnsi="Times New Roman" w:cs="Times New Roman"/>
          <w:sz w:val="24"/>
          <w:szCs w:val="24"/>
          <w:lang w:val="en-GB"/>
        </w:rPr>
        <w:t xml:space="preserve">M. </w:t>
      </w:r>
      <w:proofErr w:type="spellStart"/>
      <w:r w:rsidRPr="00A374D3">
        <w:rPr>
          <w:rFonts w:ascii="Times New Roman" w:hAnsi="Times New Roman" w:cs="Times New Roman"/>
          <w:sz w:val="24"/>
          <w:szCs w:val="24"/>
          <w:lang w:val="en-GB"/>
        </w:rPr>
        <w:t>Prpić</w:t>
      </w:r>
      <w:proofErr w:type="spellEnd"/>
      <w:r w:rsidR="0013093D" w:rsidRPr="00A374D3">
        <w:rPr>
          <w:rFonts w:ascii="Times New Roman" w:hAnsi="Times New Roman" w:cs="Times New Roman"/>
          <w:sz w:val="24"/>
          <w:szCs w:val="24"/>
          <w:lang w:val="en-GB"/>
        </w:rPr>
        <w:t xml:space="preserve">, </w:t>
      </w:r>
      <w:r w:rsidR="00335FBA" w:rsidRPr="00A374D3">
        <w:rPr>
          <w:rFonts w:ascii="Times New Roman" w:hAnsi="Times New Roman" w:cs="Times New Roman"/>
          <w:sz w:val="24"/>
          <w:szCs w:val="24"/>
          <w:lang w:val="en-GB"/>
        </w:rPr>
        <w:t>and</w:t>
      </w:r>
      <w:r w:rsidR="0013093D" w:rsidRPr="00A374D3">
        <w:rPr>
          <w:rFonts w:ascii="Times New Roman" w:hAnsi="Times New Roman" w:cs="Times New Roman"/>
          <w:sz w:val="24"/>
          <w:szCs w:val="24"/>
          <w:lang w:val="en-GB"/>
        </w:rPr>
        <w:t xml:space="preserve"> </w:t>
      </w:r>
      <w:r w:rsidR="00335FBA" w:rsidRPr="00A374D3">
        <w:rPr>
          <w:rFonts w:ascii="Times New Roman" w:hAnsi="Times New Roman" w:cs="Times New Roman"/>
          <w:sz w:val="24"/>
          <w:szCs w:val="24"/>
          <w:lang w:val="en-GB"/>
        </w:rPr>
        <w:t xml:space="preserve">E. </w:t>
      </w:r>
      <w:r w:rsidR="0013093D" w:rsidRPr="00A374D3">
        <w:rPr>
          <w:rFonts w:ascii="Times New Roman" w:hAnsi="Times New Roman" w:cs="Times New Roman"/>
          <w:sz w:val="24"/>
          <w:szCs w:val="24"/>
          <w:lang w:val="en-GB"/>
        </w:rPr>
        <w:t>Claros</w:t>
      </w:r>
      <w:r w:rsidR="00335FBA" w:rsidRPr="00A374D3">
        <w:rPr>
          <w:rFonts w:ascii="Times New Roman" w:hAnsi="Times New Roman" w:cs="Times New Roman"/>
          <w:sz w:val="24"/>
          <w:szCs w:val="24"/>
          <w:lang w:val="en-GB"/>
        </w:rPr>
        <w:t>. 2015</w:t>
      </w:r>
      <w:r w:rsidR="0013093D" w:rsidRPr="00A374D3">
        <w:rPr>
          <w:rFonts w:ascii="Times New Roman" w:hAnsi="Times New Roman" w:cs="Times New Roman"/>
          <w:sz w:val="24"/>
          <w:szCs w:val="24"/>
          <w:lang w:val="en-GB"/>
        </w:rPr>
        <w:t xml:space="preserve">. </w:t>
      </w:r>
      <w:r w:rsidR="00AD33BB">
        <w:rPr>
          <w:rFonts w:ascii="Times New Roman" w:hAnsi="Times New Roman" w:cs="Times New Roman"/>
          <w:i/>
          <w:iCs/>
          <w:sz w:val="24"/>
          <w:szCs w:val="24"/>
          <w:lang w:val="en-GB"/>
        </w:rPr>
        <w:t>Women and E</w:t>
      </w:r>
      <w:r w:rsidR="0013093D" w:rsidRPr="00A374D3">
        <w:rPr>
          <w:rFonts w:ascii="Times New Roman" w:hAnsi="Times New Roman" w:cs="Times New Roman"/>
          <w:i/>
          <w:iCs/>
          <w:sz w:val="24"/>
          <w:szCs w:val="24"/>
          <w:lang w:val="en-GB"/>
        </w:rPr>
        <w:t>ducation in the EU</w:t>
      </w:r>
      <w:r w:rsidR="0013093D" w:rsidRPr="00A374D3">
        <w:rPr>
          <w:rFonts w:ascii="Times New Roman" w:hAnsi="Times New Roman" w:cs="Times New Roman"/>
          <w:sz w:val="24"/>
          <w:szCs w:val="24"/>
          <w:lang w:val="en-GB"/>
        </w:rPr>
        <w:t xml:space="preserve">. </w:t>
      </w:r>
      <w:r w:rsidR="00335FBA" w:rsidRPr="00A374D3">
        <w:rPr>
          <w:rFonts w:ascii="Times New Roman" w:hAnsi="Times New Roman" w:cs="Times New Roman"/>
          <w:sz w:val="24"/>
          <w:szCs w:val="24"/>
          <w:lang w:val="en-GB"/>
        </w:rPr>
        <w:t>Brussels:</w:t>
      </w:r>
      <w:r w:rsidR="009E3573" w:rsidRPr="00A374D3">
        <w:rPr>
          <w:rFonts w:ascii="Times New Roman" w:hAnsi="Times New Roman" w:cs="Times New Roman"/>
          <w:sz w:val="24"/>
          <w:szCs w:val="24"/>
          <w:lang w:val="en-GB"/>
        </w:rPr>
        <w:t xml:space="preserve"> </w:t>
      </w:r>
      <w:r w:rsidR="0013093D" w:rsidRPr="00A374D3">
        <w:rPr>
          <w:rFonts w:ascii="Times New Roman" w:hAnsi="Times New Roman" w:cs="Times New Roman"/>
          <w:sz w:val="24"/>
          <w:szCs w:val="24"/>
          <w:lang w:val="en-GB"/>
        </w:rPr>
        <w:t>European</w:t>
      </w:r>
      <w:r w:rsidR="00335FBA" w:rsidRPr="00A374D3">
        <w:rPr>
          <w:rFonts w:ascii="Times New Roman" w:hAnsi="Times New Roman" w:cs="Times New Roman"/>
          <w:sz w:val="24"/>
          <w:szCs w:val="24"/>
          <w:lang w:val="en-GB"/>
        </w:rPr>
        <w:t xml:space="preserve"> </w:t>
      </w:r>
      <w:r w:rsidR="0013093D" w:rsidRPr="00A374D3">
        <w:rPr>
          <w:rFonts w:ascii="Times New Roman" w:hAnsi="Times New Roman" w:cs="Times New Roman"/>
          <w:sz w:val="24"/>
          <w:szCs w:val="24"/>
          <w:lang w:val="en-GB"/>
        </w:rPr>
        <w:t>Parliamentary Research Service.</w:t>
      </w:r>
    </w:p>
    <w:p w14:paraId="632E81B1" w14:textId="647CB83B" w:rsidR="00F8163D" w:rsidRPr="001350E7" w:rsidRDefault="00F8163D" w:rsidP="00C03772">
      <w:pPr>
        <w:spacing w:after="0" w:line="480" w:lineRule="auto"/>
        <w:ind w:left="720" w:hanging="720"/>
        <w:rPr>
          <w:rFonts w:asciiTheme="majorBidi" w:hAnsiTheme="majorBidi" w:cstheme="majorBidi"/>
          <w:sz w:val="24"/>
          <w:szCs w:val="24"/>
          <w:lang w:val="en-GB"/>
        </w:rPr>
      </w:pPr>
      <w:proofErr w:type="spellStart"/>
      <w:r w:rsidRPr="001350E7">
        <w:rPr>
          <w:rFonts w:asciiTheme="majorBidi" w:hAnsiTheme="majorBidi" w:cstheme="majorBidi"/>
          <w:sz w:val="24"/>
          <w:szCs w:val="24"/>
          <w:shd w:val="clear" w:color="auto" w:fill="FFFFFF"/>
          <w:lang w:val="en-GB"/>
        </w:rPr>
        <w:t>Kandel</w:t>
      </w:r>
      <w:proofErr w:type="spellEnd"/>
      <w:r w:rsidRPr="001350E7">
        <w:rPr>
          <w:rFonts w:asciiTheme="majorBidi" w:hAnsiTheme="majorBidi" w:cstheme="majorBidi"/>
          <w:sz w:val="24"/>
          <w:szCs w:val="24"/>
          <w:shd w:val="clear" w:color="auto" w:fill="FFFFFF"/>
          <w:lang w:val="en-GB"/>
        </w:rPr>
        <w:t xml:space="preserve">, W., </w:t>
      </w:r>
      <w:r w:rsidR="00FA32F1" w:rsidRPr="001350E7">
        <w:rPr>
          <w:rFonts w:asciiTheme="majorBidi" w:hAnsiTheme="majorBidi" w:cstheme="majorBidi"/>
          <w:sz w:val="24"/>
          <w:szCs w:val="24"/>
          <w:shd w:val="clear" w:color="auto" w:fill="FFFFFF"/>
          <w:lang w:val="en-GB"/>
        </w:rPr>
        <w:t>and</w:t>
      </w:r>
      <w:r w:rsidRPr="001350E7">
        <w:rPr>
          <w:rFonts w:asciiTheme="majorBidi" w:hAnsiTheme="majorBidi" w:cstheme="majorBidi"/>
          <w:sz w:val="24"/>
          <w:szCs w:val="24"/>
          <w:shd w:val="clear" w:color="auto" w:fill="FFFFFF"/>
          <w:lang w:val="en-GB"/>
        </w:rPr>
        <w:t xml:space="preserve"> </w:t>
      </w:r>
      <w:r w:rsidR="00FA32F1" w:rsidRPr="001350E7">
        <w:rPr>
          <w:rFonts w:asciiTheme="majorBidi" w:hAnsiTheme="majorBidi" w:cstheme="majorBidi"/>
          <w:sz w:val="24"/>
          <w:szCs w:val="24"/>
          <w:shd w:val="clear" w:color="auto" w:fill="FFFFFF"/>
          <w:lang w:val="en-GB"/>
        </w:rPr>
        <w:t xml:space="preserve">G. </w:t>
      </w:r>
      <w:r w:rsidRPr="001350E7">
        <w:rPr>
          <w:rFonts w:asciiTheme="majorBidi" w:hAnsiTheme="majorBidi" w:cstheme="majorBidi"/>
          <w:sz w:val="24"/>
          <w:szCs w:val="24"/>
          <w:shd w:val="clear" w:color="auto" w:fill="FFFFFF"/>
          <w:lang w:val="en-GB"/>
        </w:rPr>
        <w:t>Kao</w:t>
      </w:r>
      <w:r w:rsidR="00FA32F1" w:rsidRPr="001350E7">
        <w:rPr>
          <w:rFonts w:asciiTheme="majorBidi" w:hAnsiTheme="majorBidi" w:cstheme="majorBidi"/>
          <w:sz w:val="24"/>
          <w:szCs w:val="24"/>
          <w:shd w:val="clear" w:color="auto" w:fill="FFFFFF"/>
          <w:lang w:val="en-GB"/>
        </w:rPr>
        <w:t>. 2001</w:t>
      </w:r>
      <w:r w:rsidRPr="001350E7">
        <w:rPr>
          <w:rFonts w:asciiTheme="majorBidi" w:hAnsiTheme="majorBidi" w:cstheme="majorBidi"/>
          <w:sz w:val="24"/>
          <w:szCs w:val="24"/>
          <w:shd w:val="clear" w:color="auto" w:fill="FFFFFF"/>
          <w:lang w:val="en-GB"/>
        </w:rPr>
        <w:t xml:space="preserve">. </w:t>
      </w:r>
      <w:r w:rsidR="00FA32F1" w:rsidRPr="001350E7">
        <w:rPr>
          <w:rFonts w:asciiTheme="majorBidi" w:hAnsiTheme="majorBidi" w:cstheme="majorBidi"/>
          <w:sz w:val="24"/>
          <w:szCs w:val="24"/>
          <w:shd w:val="clear" w:color="auto" w:fill="FFFFFF"/>
          <w:lang w:val="en-GB"/>
        </w:rPr>
        <w:t>“</w:t>
      </w:r>
      <w:r w:rsidRPr="001350E7">
        <w:rPr>
          <w:rFonts w:asciiTheme="majorBidi" w:hAnsiTheme="majorBidi" w:cstheme="majorBidi"/>
          <w:sz w:val="24"/>
          <w:szCs w:val="24"/>
          <w:shd w:val="clear" w:color="auto" w:fill="FFFFFF"/>
          <w:lang w:val="en-GB"/>
        </w:rPr>
        <w:t xml:space="preserve">The Impact of Temporary </w:t>
      </w:r>
      <w:proofErr w:type="spellStart"/>
      <w:r w:rsidRPr="001350E7">
        <w:rPr>
          <w:rFonts w:asciiTheme="majorBidi" w:hAnsiTheme="majorBidi" w:cstheme="majorBidi"/>
          <w:sz w:val="24"/>
          <w:szCs w:val="24"/>
          <w:shd w:val="clear" w:color="auto" w:fill="FFFFFF"/>
          <w:lang w:val="en-GB"/>
        </w:rPr>
        <w:t>Labor</w:t>
      </w:r>
      <w:proofErr w:type="spellEnd"/>
      <w:r w:rsidRPr="001350E7">
        <w:rPr>
          <w:rFonts w:asciiTheme="majorBidi" w:hAnsiTheme="majorBidi" w:cstheme="majorBidi"/>
          <w:sz w:val="24"/>
          <w:szCs w:val="24"/>
          <w:shd w:val="clear" w:color="auto" w:fill="FFFFFF"/>
          <w:lang w:val="en-GB"/>
        </w:rPr>
        <w:t xml:space="preserve"> Migration on Mexican Children's Education</w:t>
      </w:r>
      <w:r w:rsidR="00816DB7" w:rsidRPr="001350E7">
        <w:rPr>
          <w:rFonts w:asciiTheme="majorBidi" w:hAnsiTheme="majorBidi" w:cstheme="majorBidi"/>
          <w:sz w:val="24"/>
          <w:szCs w:val="24"/>
          <w:shd w:val="clear" w:color="auto" w:fill="FFFFFF"/>
          <w:lang w:val="en-GB"/>
        </w:rPr>
        <w:t>al Aspirations and Performance</w:t>
      </w:r>
      <w:r w:rsidRPr="001350E7">
        <w:rPr>
          <w:rFonts w:asciiTheme="majorBidi" w:hAnsiTheme="majorBidi" w:cstheme="majorBidi"/>
          <w:sz w:val="24"/>
          <w:szCs w:val="24"/>
          <w:shd w:val="clear" w:color="auto" w:fill="FFFFFF"/>
          <w:lang w:val="en-GB"/>
        </w:rPr>
        <w:t>.</w:t>
      </w:r>
      <w:r w:rsidR="00FA32F1" w:rsidRPr="001350E7">
        <w:rPr>
          <w:rFonts w:asciiTheme="majorBidi" w:hAnsiTheme="majorBidi" w:cstheme="majorBidi"/>
          <w:sz w:val="24"/>
          <w:szCs w:val="24"/>
          <w:shd w:val="clear" w:color="auto" w:fill="FFFFFF"/>
          <w:lang w:val="en-GB"/>
        </w:rPr>
        <w:t>”</w:t>
      </w:r>
      <w:r w:rsidRPr="001350E7">
        <w:rPr>
          <w:rFonts w:asciiTheme="majorBidi" w:hAnsiTheme="majorBidi" w:cstheme="majorBidi"/>
          <w:sz w:val="24"/>
          <w:szCs w:val="24"/>
          <w:shd w:val="clear" w:color="auto" w:fill="FFFFFF"/>
          <w:lang w:val="en-GB"/>
        </w:rPr>
        <w:t> </w:t>
      </w:r>
      <w:r w:rsidRPr="001350E7">
        <w:rPr>
          <w:rFonts w:asciiTheme="majorBidi" w:hAnsiTheme="majorBidi" w:cstheme="majorBidi"/>
          <w:i/>
          <w:iCs/>
          <w:sz w:val="24"/>
          <w:szCs w:val="24"/>
          <w:shd w:val="clear" w:color="auto" w:fill="FFFFFF"/>
          <w:lang w:val="en-GB"/>
        </w:rPr>
        <w:t>International Migration Review</w:t>
      </w:r>
      <w:r w:rsidRPr="001350E7">
        <w:rPr>
          <w:rFonts w:asciiTheme="majorBidi" w:hAnsiTheme="majorBidi" w:cstheme="majorBidi"/>
          <w:sz w:val="24"/>
          <w:szCs w:val="24"/>
          <w:shd w:val="clear" w:color="auto" w:fill="FFFFFF"/>
          <w:lang w:val="en-GB"/>
        </w:rPr>
        <w:t> </w:t>
      </w:r>
      <w:r w:rsidRPr="001350E7">
        <w:rPr>
          <w:rFonts w:asciiTheme="majorBidi" w:hAnsiTheme="majorBidi" w:cstheme="majorBidi"/>
          <w:iCs/>
          <w:sz w:val="24"/>
          <w:szCs w:val="24"/>
          <w:shd w:val="clear" w:color="auto" w:fill="FFFFFF"/>
          <w:lang w:val="en-GB"/>
        </w:rPr>
        <w:t>35</w:t>
      </w:r>
      <w:r w:rsidR="00FA32F1" w:rsidRPr="001350E7">
        <w:rPr>
          <w:rFonts w:asciiTheme="majorBidi" w:hAnsiTheme="majorBidi" w:cstheme="majorBidi"/>
          <w:sz w:val="24"/>
          <w:szCs w:val="24"/>
          <w:shd w:val="clear" w:color="auto" w:fill="FFFFFF"/>
          <w:lang w:val="en-GB"/>
        </w:rPr>
        <w:t xml:space="preserve"> </w:t>
      </w:r>
      <w:r w:rsidRPr="001350E7">
        <w:rPr>
          <w:rFonts w:asciiTheme="majorBidi" w:hAnsiTheme="majorBidi" w:cstheme="majorBidi"/>
          <w:sz w:val="24"/>
          <w:szCs w:val="24"/>
          <w:shd w:val="clear" w:color="auto" w:fill="FFFFFF"/>
          <w:lang w:val="en-GB"/>
        </w:rPr>
        <w:t>(4)</w:t>
      </w:r>
      <w:r w:rsidR="00FA32F1" w:rsidRPr="001350E7">
        <w:rPr>
          <w:rFonts w:asciiTheme="majorBidi" w:hAnsiTheme="majorBidi" w:cstheme="majorBidi"/>
          <w:sz w:val="24"/>
          <w:szCs w:val="24"/>
          <w:shd w:val="clear" w:color="auto" w:fill="FFFFFF"/>
          <w:lang w:val="en-GB"/>
        </w:rPr>
        <w:t>:</w:t>
      </w:r>
      <w:r w:rsidRPr="001350E7">
        <w:rPr>
          <w:rFonts w:asciiTheme="majorBidi" w:hAnsiTheme="majorBidi" w:cstheme="majorBidi"/>
          <w:sz w:val="24"/>
          <w:szCs w:val="24"/>
          <w:shd w:val="clear" w:color="auto" w:fill="FFFFFF"/>
          <w:lang w:val="en-GB"/>
        </w:rPr>
        <w:t xml:space="preserve"> 1205-1231.</w:t>
      </w:r>
    </w:p>
    <w:p w14:paraId="0A323DA1" w14:textId="5163CF55" w:rsidR="00F8163D" w:rsidRPr="00F473F0" w:rsidRDefault="00F8163D" w:rsidP="00C03772">
      <w:pPr>
        <w:spacing w:after="0" w:line="480" w:lineRule="auto"/>
        <w:ind w:left="720" w:hanging="720"/>
        <w:rPr>
          <w:rFonts w:asciiTheme="majorBidi" w:hAnsiTheme="majorBidi" w:cstheme="majorBidi"/>
          <w:sz w:val="24"/>
          <w:szCs w:val="24"/>
          <w:shd w:val="clear" w:color="auto" w:fill="FFFFFF"/>
          <w:lang w:val="en-GB"/>
        </w:rPr>
      </w:pPr>
      <w:r w:rsidRPr="00F473F0">
        <w:rPr>
          <w:rFonts w:asciiTheme="majorBidi" w:hAnsiTheme="majorBidi" w:cstheme="majorBidi"/>
          <w:sz w:val="24"/>
          <w:szCs w:val="24"/>
          <w:shd w:val="clear" w:color="auto" w:fill="FFFFFF"/>
          <w:lang w:val="en-GB"/>
        </w:rPr>
        <w:t xml:space="preserve">Kao, G., </w:t>
      </w:r>
      <w:r w:rsidR="00776F80" w:rsidRPr="00F473F0">
        <w:rPr>
          <w:rFonts w:asciiTheme="majorBidi" w:hAnsiTheme="majorBidi" w:cstheme="majorBidi"/>
          <w:sz w:val="24"/>
          <w:szCs w:val="24"/>
          <w:shd w:val="clear" w:color="auto" w:fill="FFFFFF"/>
          <w:lang w:val="en-GB"/>
        </w:rPr>
        <w:t>and</w:t>
      </w:r>
      <w:r w:rsidRPr="00F473F0">
        <w:rPr>
          <w:rFonts w:asciiTheme="majorBidi" w:hAnsiTheme="majorBidi" w:cstheme="majorBidi"/>
          <w:sz w:val="24"/>
          <w:szCs w:val="24"/>
          <w:shd w:val="clear" w:color="auto" w:fill="FFFFFF"/>
          <w:lang w:val="en-GB"/>
        </w:rPr>
        <w:t xml:space="preserve"> </w:t>
      </w:r>
      <w:r w:rsidR="00776F80" w:rsidRPr="00F473F0">
        <w:rPr>
          <w:rFonts w:asciiTheme="majorBidi" w:hAnsiTheme="majorBidi" w:cstheme="majorBidi"/>
          <w:sz w:val="24"/>
          <w:szCs w:val="24"/>
          <w:shd w:val="clear" w:color="auto" w:fill="FFFFFF"/>
          <w:lang w:val="en-GB"/>
        </w:rPr>
        <w:t xml:space="preserve">M. </w:t>
      </w:r>
      <w:proofErr w:type="spellStart"/>
      <w:r w:rsidRPr="00F473F0">
        <w:rPr>
          <w:rFonts w:asciiTheme="majorBidi" w:hAnsiTheme="majorBidi" w:cstheme="majorBidi"/>
          <w:sz w:val="24"/>
          <w:szCs w:val="24"/>
          <w:shd w:val="clear" w:color="auto" w:fill="FFFFFF"/>
          <w:lang w:val="en-GB"/>
        </w:rPr>
        <w:t>Tienda</w:t>
      </w:r>
      <w:proofErr w:type="spellEnd"/>
      <w:r w:rsidR="00776F80" w:rsidRPr="00F473F0">
        <w:rPr>
          <w:rFonts w:asciiTheme="majorBidi" w:hAnsiTheme="majorBidi" w:cstheme="majorBidi"/>
          <w:sz w:val="24"/>
          <w:szCs w:val="24"/>
          <w:shd w:val="clear" w:color="auto" w:fill="FFFFFF"/>
          <w:lang w:val="en-GB"/>
        </w:rPr>
        <w:t>. 1998</w:t>
      </w:r>
      <w:r w:rsidRPr="00F473F0">
        <w:rPr>
          <w:rFonts w:asciiTheme="majorBidi" w:hAnsiTheme="majorBidi" w:cstheme="majorBidi"/>
          <w:sz w:val="24"/>
          <w:szCs w:val="24"/>
          <w:shd w:val="clear" w:color="auto" w:fill="FFFFFF"/>
          <w:lang w:val="en-GB"/>
        </w:rPr>
        <w:t xml:space="preserve">. </w:t>
      </w:r>
      <w:r w:rsidR="00776F80" w:rsidRPr="00F473F0">
        <w:rPr>
          <w:rFonts w:asciiTheme="majorBidi" w:hAnsiTheme="majorBidi" w:cstheme="majorBidi"/>
          <w:sz w:val="24"/>
          <w:szCs w:val="24"/>
          <w:shd w:val="clear" w:color="auto" w:fill="FFFFFF"/>
          <w:lang w:val="en-GB"/>
        </w:rPr>
        <w:t>“</w:t>
      </w:r>
      <w:r w:rsidR="00FC69E8">
        <w:rPr>
          <w:rFonts w:asciiTheme="majorBidi" w:hAnsiTheme="majorBidi" w:cstheme="majorBidi"/>
          <w:sz w:val="24"/>
          <w:szCs w:val="24"/>
          <w:shd w:val="clear" w:color="auto" w:fill="FFFFFF"/>
          <w:lang w:val="en-GB"/>
        </w:rPr>
        <w:t>Educational A</w:t>
      </w:r>
      <w:r w:rsidRPr="00F473F0">
        <w:rPr>
          <w:rFonts w:asciiTheme="majorBidi" w:hAnsiTheme="majorBidi" w:cstheme="majorBidi"/>
          <w:sz w:val="24"/>
          <w:szCs w:val="24"/>
          <w:shd w:val="clear" w:color="auto" w:fill="FFFFFF"/>
          <w:lang w:val="en-GB"/>
        </w:rPr>
        <w:t xml:space="preserve">spirations of </w:t>
      </w:r>
      <w:r w:rsidR="00FC69E8">
        <w:rPr>
          <w:rFonts w:asciiTheme="majorBidi" w:hAnsiTheme="majorBidi" w:cstheme="majorBidi"/>
          <w:sz w:val="24"/>
          <w:szCs w:val="24"/>
          <w:shd w:val="clear" w:color="auto" w:fill="FFFFFF"/>
          <w:lang w:val="en-GB"/>
        </w:rPr>
        <w:t>M</w:t>
      </w:r>
      <w:r w:rsidRPr="00F473F0">
        <w:rPr>
          <w:rFonts w:asciiTheme="majorBidi" w:hAnsiTheme="majorBidi" w:cstheme="majorBidi"/>
          <w:sz w:val="24"/>
          <w:szCs w:val="24"/>
          <w:shd w:val="clear" w:color="auto" w:fill="FFFFFF"/>
          <w:lang w:val="en-GB"/>
        </w:rPr>
        <w:t xml:space="preserve">inority </w:t>
      </w:r>
      <w:r w:rsidR="00FC69E8">
        <w:rPr>
          <w:rFonts w:asciiTheme="majorBidi" w:hAnsiTheme="majorBidi" w:cstheme="majorBidi"/>
          <w:sz w:val="24"/>
          <w:szCs w:val="24"/>
          <w:shd w:val="clear" w:color="auto" w:fill="FFFFFF"/>
          <w:lang w:val="en-GB"/>
        </w:rPr>
        <w:t>Y</w:t>
      </w:r>
      <w:r w:rsidRPr="00F473F0">
        <w:rPr>
          <w:rFonts w:asciiTheme="majorBidi" w:hAnsiTheme="majorBidi" w:cstheme="majorBidi"/>
          <w:sz w:val="24"/>
          <w:szCs w:val="24"/>
          <w:shd w:val="clear" w:color="auto" w:fill="FFFFFF"/>
          <w:lang w:val="en-GB"/>
        </w:rPr>
        <w:t>outh.</w:t>
      </w:r>
      <w:r w:rsidR="00776F80" w:rsidRPr="00F473F0">
        <w:rPr>
          <w:rFonts w:asciiTheme="majorBidi" w:hAnsiTheme="majorBidi" w:cstheme="majorBidi"/>
          <w:sz w:val="24"/>
          <w:szCs w:val="24"/>
          <w:shd w:val="clear" w:color="auto" w:fill="FFFFFF"/>
          <w:lang w:val="en-GB"/>
        </w:rPr>
        <w:t>”</w:t>
      </w:r>
      <w:r w:rsidRPr="00F473F0">
        <w:rPr>
          <w:rFonts w:asciiTheme="majorBidi" w:hAnsiTheme="majorBidi" w:cstheme="majorBidi"/>
          <w:sz w:val="24"/>
          <w:szCs w:val="24"/>
          <w:shd w:val="clear" w:color="auto" w:fill="FFFFFF"/>
          <w:lang w:val="en-GB"/>
        </w:rPr>
        <w:t> </w:t>
      </w:r>
      <w:r w:rsidRPr="00F473F0">
        <w:rPr>
          <w:rFonts w:asciiTheme="majorBidi" w:hAnsiTheme="majorBidi" w:cstheme="majorBidi"/>
          <w:i/>
          <w:iCs/>
          <w:sz w:val="24"/>
          <w:szCs w:val="24"/>
          <w:shd w:val="clear" w:color="auto" w:fill="FFFFFF"/>
          <w:lang w:val="en-GB"/>
        </w:rPr>
        <w:t xml:space="preserve">American </w:t>
      </w:r>
      <w:r w:rsidR="00A60734">
        <w:rPr>
          <w:rFonts w:asciiTheme="majorBidi" w:hAnsiTheme="majorBidi" w:cstheme="majorBidi"/>
          <w:i/>
          <w:iCs/>
          <w:sz w:val="24"/>
          <w:szCs w:val="24"/>
          <w:shd w:val="clear" w:color="auto" w:fill="FFFFFF"/>
          <w:lang w:val="en-GB"/>
        </w:rPr>
        <w:t>J</w:t>
      </w:r>
      <w:r w:rsidRPr="00F473F0">
        <w:rPr>
          <w:rFonts w:asciiTheme="majorBidi" w:hAnsiTheme="majorBidi" w:cstheme="majorBidi"/>
          <w:i/>
          <w:iCs/>
          <w:sz w:val="24"/>
          <w:szCs w:val="24"/>
          <w:shd w:val="clear" w:color="auto" w:fill="FFFFFF"/>
          <w:lang w:val="en-GB"/>
        </w:rPr>
        <w:t xml:space="preserve">ournal of </w:t>
      </w:r>
      <w:r w:rsidR="00A60734">
        <w:rPr>
          <w:rFonts w:asciiTheme="majorBidi" w:hAnsiTheme="majorBidi" w:cstheme="majorBidi"/>
          <w:i/>
          <w:iCs/>
          <w:sz w:val="24"/>
          <w:szCs w:val="24"/>
          <w:shd w:val="clear" w:color="auto" w:fill="FFFFFF"/>
          <w:lang w:val="en-GB"/>
        </w:rPr>
        <w:t>E</w:t>
      </w:r>
      <w:r w:rsidRPr="00F473F0">
        <w:rPr>
          <w:rFonts w:asciiTheme="majorBidi" w:hAnsiTheme="majorBidi" w:cstheme="majorBidi"/>
          <w:i/>
          <w:iCs/>
          <w:sz w:val="24"/>
          <w:szCs w:val="24"/>
          <w:shd w:val="clear" w:color="auto" w:fill="FFFFFF"/>
          <w:lang w:val="en-GB"/>
        </w:rPr>
        <w:t>ducation</w:t>
      </w:r>
      <w:r w:rsidRPr="00F473F0">
        <w:rPr>
          <w:rFonts w:asciiTheme="majorBidi" w:hAnsiTheme="majorBidi" w:cstheme="majorBidi"/>
          <w:sz w:val="24"/>
          <w:szCs w:val="24"/>
          <w:shd w:val="clear" w:color="auto" w:fill="FFFFFF"/>
          <w:lang w:val="en-GB"/>
        </w:rPr>
        <w:t>, </w:t>
      </w:r>
      <w:r w:rsidRPr="00F473F0">
        <w:rPr>
          <w:rFonts w:asciiTheme="majorBidi" w:hAnsiTheme="majorBidi" w:cstheme="majorBidi"/>
          <w:iCs/>
          <w:sz w:val="24"/>
          <w:szCs w:val="24"/>
          <w:shd w:val="clear" w:color="auto" w:fill="FFFFFF"/>
          <w:lang w:val="en-GB"/>
        </w:rPr>
        <w:t>106</w:t>
      </w:r>
      <w:r w:rsidR="00776F80" w:rsidRPr="00F473F0">
        <w:rPr>
          <w:rFonts w:asciiTheme="majorBidi" w:hAnsiTheme="majorBidi" w:cstheme="majorBidi"/>
          <w:sz w:val="24"/>
          <w:szCs w:val="24"/>
          <w:shd w:val="clear" w:color="auto" w:fill="FFFFFF"/>
          <w:lang w:val="en-GB"/>
        </w:rPr>
        <w:t xml:space="preserve"> </w:t>
      </w:r>
      <w:r w:rsidRPr="00F473F0">
        <w:rPr>
          <w:rFonts w:asciiTheme="majorBidi" w:hAnsiTheme="majorBidi" w:cstheme="majorBidi"/>
          <w:sz w:val="24"/>
          <w:szCs w:val="24"/>
          <w:shd w:val="clear" w:color="auto" w:fill="FFFFFF"/>
          <w:lang w:val="en-GB"/>
        </w:rPr>
        <w:t>(3)</w:t>
      </w:r>
      <w:r w:rsidR="00776F80" w:rsidRPr="00F473F0">
        <w:rPr>
          <w:rFonts w:asciiTheme="majorBidi" w:hAnsiTheme="majorBidi" w:cstheme="majorBidi"/>
          <w:sz w:val="24"/>
          <w:szCs w:val="24"/>
          <w:shd w:val="clear" w:color="auto" w:fill="FFFFFF"/>
          <w:lang w:val="en-GB"/>
        </w:rPr>
        <w:t>:</w:t>
      </w:r>
      <w:r w:rsidRPr="00F473F0">
        <w:rPr>
          <w:rFonts w:asciiTheme="majorBidi" w:hAnsiTheme="majorBidi" w:cstheme="majorBidi"/>
          <w:sz w:val="24"/>
          <w:szCs w:val="24"/>
          <w:shd w:val="clear" w:color="auto" w:fill="FFFFFF"/>
          <w:lang w:val="en-GB"/>
        </w:rPr>
        <w:t xml:space="preserve"> 349-384. </w:t>
      </w:r>
      <w:proofErr w:type="gramStart"/>
      <w:r w:rsidR="00776F80" w:rsidRPr="00F473F0">
        <w:rPr>
          <w:rFonts w:asciiTheme="majorBidi" w:hAnsiTheme="majorBidi" w:cstheme="majorBidi"/>
          <w:sz w:val="24"/>
          <w:szCs w:val="24"/>
          <w:shd w:val="clear" w:color="auto" w:fill="FFFFFF"/>
          <w:lang w:val="en-GB"/>
        </w:rPr>
        <w:t>doi:</w:t>
      </w:r>
      <w:proofErr w:type="gramEnd"/>
      <w:r w:rsidRPr="00F473F0">
        <w:rPr>
          <w:rFonts w:asciiTheme="majorBidi" w:hAnsiTheme="majorBidi" w:cstheme="majorBidi"/>
          <w:sz w:val="24"/>
          <w:szCs w:val="24"/>
          <w:shd w:val="clear" w:color="auto" w:fill="FFFFFF"/>
          <w:lang w:val="en-GB"/>
        </w:rPr>
        <w:t>10.1086/444188</w:t>
      </w:r>
      <w:r w:rsidR="00776F80" w:rsidRPr="00F473F0">
        <w:rPr>
          <w:rFonts w:asciiTheme="majorBidi" w:hAnsiTheme="majorBidi" w:cstheme="majorBidi"/>
          <w:sz w:val="24"/>
          <w:szCs w:val="24"/>
          <w:shd w:val="clear" w:color="auto" w:fill="FFFFFF"/>
          <w:lang w:val="en-GB"/>
        </w:rPr>
        <w:t>.</w:t>
      </w:r>
    </w:p>
    <w:p w14:paraId="44730EDF" w14:textId="3BCE38D0" w:rsidR="00F8163D" w:rsidRPr="00B66358" w:rsidRDefault="00A178F6" w:rsidP="00C03772">
      <w:pPr>
        <w:spacing w:after="0" w:line="480" w:lineRule="auto"/>
        <w:ind w:left="720" w:hanging="720"/>
        <w:rPr>
          <w:rFonts w:asciiTheme="majorBidi" w:hAnsiTheme="majorBidi" w:cstheme="majorBidi"/>
          <w:sz w:val="24"/>
          <w:szCs w:val="24"/>
          <w:shd w:val="clear" w:color="auto" w:fill="FFFFFF"/>
          <w:lang w:val="en-GB"/>
        </w:rPr>
      </w:pPr>
      <w:proofErr w:type="spellStart"/>
      <w:r w:rsidRPr="00B66358">
        <w:rPr>
          <w:rFonts w:asciiTheme="majorBidi" w:hAnsiTheme="majorBidi" w:cstheme="majorBidi"/>
          <w:sz w:val="24"/>
          <w:szCs w:val="24"/>
          <w:shd w:val="clear" w:color="auto" w:fill="FFFFFF"/>
          <w:lang w:val="en-GB"/>
        </w:rPr>
        <w:t>Kerckhoff</w:t>
      </w:r>
      <w:proofErr w:type="spellEnd"/>
      <w:r w:rsidRPr="00B66358">
        <w:rPr>
          <w:rFonts w:asciiTheme="majorBidi" w:hAnsiTheme="majorBidi" w:cstheme="majorBidi"/>
          <w:sz w:val="24"/>
          <w:szCs w:val="24"/>
          <w:shd w:val="clear" w:color="auto" w:fill="FFFFFF"/>
          <w:lang w:val="en-GB"/>
        </w:rPr>
        <w:t>, A. C. 1976</w:t>
      </w:r>
      <w:r w:rsidR="00F8163D" w:rsidRPr="00B66358">
        <w:rPr>
          <w:rFonts w:asciiTheme="majorBidi" w:hAnsiTheme="majorBidi" w:cstheme="majorBidi"/>
          <w:sz w:val="24"/>
          <w:szCs w:val="24"/>
          <w:shd w:val="clear" w:color="auto" w:fill="FFFFFF"/>
          <w:lang w:val="en-GB"/>
        </w:rPr>
        <w:t xml:space="preserve">. </w:t>
      </w:r>
      <w:r w:rsidRPr="00B66358">
        <w:rPr>
          <w:rFonts w:asciiTheme="majorBidi" w:hAnsiTheme="majorBidi" w:cstheme="majorBidi"/>
          <w:sz w:val="24"/>
          <w:szCs w:val="24"/>
          <w:shd w:val="clear" w:color="auto" w:fill="FFFFFF"/>
          <w:lang w:val="en-GB"/>
        </w:rPr>
        <w:t>“</w:t>
      </w:r>
      <w:r w:rsidR="00BF6190" w:rsidRPr="00BF6190">
        <w:rPr>
          <w:rFonts w:asciiTheme="majorBidi" w:hAnsiTheme="majorBidi" w:cstheme="majorBidi"/>
          <w:sz w:val="24"/>
          <w:szCs w:val="24"/>
          <w:shd w:val="clear" w:color="auto" w:fill="FFFFFF"/>
          <w:lang w:val="en-GB"/>
        </w:rPr>
        <w:t>The Status Attainment Process: Socialization or Allocation</w:t>
      </w:r>
      <w:r w:rsidRPr="00B66358">
        <w:rPr>
          <w:rFonts w:asciiTheme="majorBidi" w:hAnsiTheme="majorBidi" w:cstheme="majorBidi"/>
          <w:sz w:val="24"/>
          <w:szCs w:val="24"/>
          <w:shd w:val="clear" w:color="auto" w:fill="FFFFFF"/>
          <w:lang w:val="en-GB"/>
        </w:rPr>
        <w:t>?”</w:t>
      </w:r>
      <w:r w:rsidR="00F8163D" w:rsidRPr="00B66358">
        <w:rPr>
          <w:rFonts w:asciiTheme="majorBidi" w:hAnsiTheme="majorBidi" w:cstheme="majorBidi"/>
          <w:sz w:val="24"/>
          <w:szCs w:val="24"/>
          <w:shd w:val="clear" w:color="auto" w:fill="FFFFFF"/>
          <w:lang w:val="en-GB"/>
        </w:rPr>
        <w:t> </w:t>
      </w:r>
      <w:r w:rsidR="00F8163D" w:rsidRPr="00B66358">
        <w:rPr>
          <w:rFonts w:asciiTheme="majorBidi" w:hAnsiTheme="majorBidi" w:cstheme="majorBidi"/>
          <w:i/>
          <w:iCs/>
          <w:sz w:val="24"/>
          <w:szCs w:val="24"/>
          <w:shd w:val="clear" w:color="auto" w:fill="FFFFFF"/>
          <w:lang w:val="en-GB"/>
        </w:rPr>
        <w:t>Social Forces</w:t>
      </w:r>
      <w:r w:rsidR="00F8163D" w:rsidRPr="00B66358">
        <w:rPr>
          <w:rFonts w:asciiTheme="majorBidi" w:hAnsiTheme="majorBidi" w:cstheme="majorBidi"/>
          <w:sz w:val="24"/>
          <w:szCs w:val="24"/>
          <w:shd w:val="clear" w:color="auto" w:fill="FFFFFF"/>
          <w:lang w:val="en-GB"/>
        </w:rPr>
        <w:t> </w:t>
      </w:r>
      <w:r w:rsidR="00F8163D" w:rsidRPr="00B66358">
        <w:rPr>
          <w:rFonts w:asciiTheme="majorBidi" w:hAnsiTheme="majorBidi" w:cstheme="majorBidi"/>
          <w:iCs/>
          <w:sz w:val="24"/>
          <w:szCs w:val="24"/>
          <w:shd w:val="clear" w:color="auto" w:fill="FFFFFF"/>
          <w:lang w:val="en-GB"/>
        </w:rPr>
        <w:t>55</w:t>
      </w:r>
      <w:r w:rsidRPr="00B66358">
        <w:rPr>
          <w:rFonts w:asciiTheme="majorBidi" w:hAnsiTheme="majorBidi" w:cstheme="majorBidi"/>
          <w:sz w:val="24"/>
          <w:szCs w:val="24"/>
          <w:shd w:val="clear" w:color="auto" w:fill="FFFFFF"/>
          <w:lang w:val="en-GB"/>
        </w:rPr>
        <w:t xml:space="preserve"> </w:t>
      </w:r>
      <w:r w:rsidR="00F8163D" w:rsidRPr="00B66358">
        <w:rPr>
          <w:rFonts w:asciiTheme="majorBidi" w:hAnsiTheme="majorBidi" w:cstheme="majorBidi"/>
          <w:sz w:val="24"/>
          <w:szCs w:val="24"/>
          <w:shd w:val="clear" w:color="auto" w:fill="FFFFFF"/>
          <w:lang w:val="en-GB"/>
        </w:rPr>
        <w:t>(2)</w:t>
      </w:r>
      <w:r w:rsidRPr="00B66358">
        <w:rPr>
          <w:rFonts w:asciiTheme="majorBidi" w:hAnsiTheme="majorBidi" w:cstheme="majorBidi"/>
          <w:sz w:val="24"/>
          <w:szCs w:val="24"/>
          <w:shd w:val="clear" w:color="auto" w:fill="FFFFFF"/>
          <w:lang w:val="en-GB"/>
        </w:rPr>
        <w:t>:</w:t>
      </w:r>
      <w:r w:rsidR="00F8163D" w:rsidRPr="00B66358">
        <w:rPr>
          <w:rFonts w:asciiTheme="majorBidi" w:hAnsiTheme="majorBidi" w:cstheme="majorBidi"/>
          <w:sz w:val="24"/>
          <w:szCs w:val="24"/>
          <w:shd w:val="clear" w:color="auto" w:fill="FFFFFF"/>
          <w:lang w:val="en-GB"/>
        </w:rPr>
        <w:t xml:space="preserve"> 368-381.</w:t>
      </w:r>
    </w:p>
    <w:p w14:paraId="0D0E627F" w14:textId="65E291D5" w:rsidR="00F8163D" w:rsidRPr="00667AA0" w:rsidRDefault="00F8163D" w:rsidP="00C03772">
      <w:pPr>
        <w:spacing w:after="0" w:line="480" w:lineRule="auto"/>
        <w:ind w:left="720" w:hanging="720"/>
        <w:rPr>
          <w:rFonts w:ascii="Times New Roman" w:hAnsi="Times New Roman" w:cs="Times New Roman"/>
          <w:sz w:val="24"/>
          <w:szCs w:val="24"/>
          <w:shd w:val="clear" w:color="auto" w:fill="FFFFFF"/>
          <w:lang w:val="en-GB"/>
        </w:rPr>
      </w:pPr>
      <w:proofErr w:type="spellStart"/>
      <w:r w:rsidRPr="00667AA0">
        <w:rPr>
          <w:rFonts w:ascii="Times New Roman" w:hAnsi="Times New Roman" w:cs="Times New Roman"/>
          <w:sz w:val="24"/>
          <w:szCs w:val="24"/>
          <w:shd w:val="clear" w:color="auto" w:fill="FFFFFF"/>
          <w:lang w:val="en-GB"/>
        </w:rPr>
        <w:t>Khattab</w:t>
      </w:r>
      <w:proofErr w:type="spellEnd"/>
      <w:r w:rsidRPr="00667AA0">
        <w:rPr>
          <w:rFonts w:ascii="Times New Roman" w:hAnsi="Times New Roman" w:cs="Times New Roman"/>
          <w:sz w:val="24"/>
          <w:szCs w:val="24"/>
          <w:shd w:val="clear" w:color="auto" w:fill="FFFFFF"/>
          <w:lang w:val="en-GB"/>
        </w:rPr>
        <w:t xml:space="preserve">, N. </w:t>
      </w:r>
      <w:r w:rsidR="00467D4D" w:rsidRPr="00667AA0">
        <w:rPr>
          <w:rFonts w:ascii="Times New Roman" w:hAnsi="Times New Roman" w:cs="Times New Roman"/>
          <w:sz w:val="24"/>
          <w:szCs w:val="24"/>
          <w:shd w:val="clear" w:color="auto" w:fill="FFFFFF"/>
          <w:lang w:val="en-GB"/>
        </w:rPr>
        <w:t>2003</w:t>
      </w:r>
      <w:r w:rsidRPr="00667AA0">
        <w:rPr>
          <w:rFonts w:ascii="Times New Roman" w:hAnsi="Times New Roman" w:cs="Times New Roman"/>
          <w:sz w:val="24"/>
          <w:szCs w:val="24"/>
          <w:shd w:val="clear" w:color="auto" w:fill="FFFFFF"/>
          <w:lang w:val="en-GB"/>
        </w:rPr>
        <w:t xml:space="preserve">. </w:t>
      </w:r>
      <w:r w:rsidR="00467D4D" w:rsidRPr="00667AA0">
        <w:rPr>
          <w:rFonts w:ascii="Times New Roman" w:hAnsi="Times New Roman" w:cs="Times New Roman"/>
          <w:sz w:val="24"/>
          <w:szCs w:val="24"/>
          <w:shd w:val="clear" w:color="auto" w:fill="FFFFFF"/>
          <w:lang w:val="en-GB"/>
        </w:rPr>
        <w:t>“</w:t>
      </w:r>
      <w:r w:rsidR="00EB6822" w:rsidRPr="00EB6822">
        <w:rPr>
          <w:rFonts w:ascii="Times New Roman" w:hAnsi="Times New Roman" w:cs="Times New Roman"/>
          <w:sz w:val="24"/>
          <w:szCs w:val="24"/>
          <w:shd w:val="clear" w:color="auto" w:fill="FFFFFF"/>
          <w:lang w:val="en-GB"/>
        </w:rPr>
        <w:t>Explaining Educational Aspirations of Minority Students: The Role of Social Capital and Students' Perceptions</w:t>
      </w:r>
      <w:r w:rsidRPr="00667AA0">
        <w:rPr>
          <w:rFonts w:ascii="Times New Roman" w:hAnsi="Times New Roman" w:cs="Times New Roman"/>
          <w:sz w:val="24"/>
          <w:szCs w:val="24"/>
          <w:shd w:val="clear" w:color="auto" w:fill="FFFFFF"/>
          <w:lang w:val="en-GB"/>
        </w:rPr>
        <w:t>.</w:t>
      </w:r>
      <w:r w:rsidR="00467D4D" w:rsidRPr="00667AA0">
        <w:rPr>
          <w:rFonts w:ascii="Times New Roman" w:hAnsi="Times New Roman" w:cs="Times New Roman"/>
          <w:sz w:val="24"/>
          <w:szCs w:val="24"/>
          <w:shd w:val="clear" w:color="auto" w:fill="FFFFFF"/>
          <w:lang w:val="en-GB"/>
        </w:rPr>
        <w:t>”</w:t>
      </w:r>
      <w:r w:rsidRPr="00667AA0">
        <w:rPr>
          <w:rFonts w:ascii="Times New Roman" w:hAnsi="Times New Roman" w:cs="Times New Roman"/>
          <w:sz w:val="24"/>
          <w:szCs w:val="24"/>
          <w:shd w:val="clear" w:color="auto" w:fill="FFFFFF"/>
          <w:lang w:val="en-GB"/>
        </w:rPr>
        <w:t> </w:t>
      </w:r>
      <w:r w:rsidRPr="00667AA0">
        <w:rPr>
          <w:rFonts w:ascii="Times New Roman" w:hAnsi="Times New Roman" w:cs="Times New Roman"/>
          <w:i/>
          <w:iCs/>
          <w:sz w:val="24"/>
          <w:szCs w:val="24"/>
          <w:shd w:val="clear" w:color="auto" w:fill="FFFFFF"/>
          <w:lang w:val="en-GB"/>
        </w:rPr>
        <w:t>Social Psychology of Education</w:t>
      </w:r>
      <w:r w:rsidRPr="00667AA0">
        <w:rPr>
          <w:rFonts w:ascii="Times New Roman" w:hAnsi="Times New Roman" w:cs="Times New Roman"/>
          <w:sz w:val="24"/>
          <w:szCs w:val="24"/>
          <w:shd w:val="clear" w:color="auto" w:fill="FFFFFF"/>
          <w:lang w:val="en-GB"/>
        </w:rPr>
        <w:t> </w:t>
      </w:r>
      <w:r w:rsidRPr="00667AA0">
        <w:rPr>
          <w:rFonts w:ascii="Times New Roman" w:hAnsi="Times New Roman" w:cs="Times New Roman"/>
          <w:iCs/>
          <w:sz w:val="24"/>
          <w:szCs w:val="24"/>
          <w:shd w:val="clear" w:color="auto" w:fill="FFFFFF"/>
          <w:lang w:val="en-GB"/>
        </w:rPr>
        <w:t>6</w:t>
      </w:r>
      <w:r w:rsidR="00467D4D" w:rsidRPr="00667AA0">
        <w:rPr>
          <w:rFonts w:ascii="Times New Roman" w:hAnsi="Times New Roman" w:cs="Times New Roman"/>
          <w:sz w:val="24"/>
          <w:szCs w:val="24"/>
          <w:shd w:val="clear" w:color="auto" w:fill="FFFFFF"/>
          <w:lang w:val="en-GB"/>
        </w:rPr>
        <w:t xml:space="preserve"> </w:t>
      </w:r>
      <w:r w:rsidRPr="00667AA0">
        <w:rPr>
          <w:rFonts w:ascii="Times New Roman" w:hAnsi="Times New Roman" w:cs="Times New Roman"/>
          <w:sz w:val="24"/>
          <w:szCs w:val="24"/>
          <w:shd w:val="clear" w:color="auto" w:fill="FFFFFF"/>
          <w:lang w:val="en-GB"/>
        </w:rPr>
        <w:t>(4)</w:t>
      </w:r>
      <w:r w:rsidR="00467D4D" w:rsidRPr="00667AA0">
        <w:rPr>
          <w:rFonts w:ascii="Times New Roman" w:hAnsi="Times New Roman" w:cs="Times New Roman"/>
          <w:sz w:val="24"/>
          <w:szCs w:val="24"/>
          <w:shd w:val="clear" w:color="auto" w:fill="FFFFFF"/>
          <w:lang w:val="en-GB"/>
        </w:rPr>
        <w:t>:</w:t>
      </w:r>
      <w:r w:rsidRPr="00667AA0">
        <w:rPr>
          <w:rFonts w:ascii="Times New Roman" w:hAnsi="Times New Roman" w:cs="Times New Roman"/>
          <w:sz w:val="24"/>
          <w:szCs w:val="24"/>
          <w:shd w:val="clear" w:color="auto" w:fill="FFFFFF"/>
          <w:lang w:val="en-GB"/>
        </w:rPr>
        <w:t xml:space="preserve"> 283-302.</w:t>
      </w:r>
    </w:p>
    <w:p w14:paraId="26636C1F" w14:textId="7BF0E9B7" w:rsidR="00AD4068" w:rsidRPr="00B1098A" w:rsidRDefault="00AD4068" w:rsidP="00C03772">
      <w:pPr>
        <w:spacing w:after="0" w:line="480" w:lineRule="auto"/>
        <w:ind w:left="720" w:hanging="720"/>
        <w:rPr>
          <w:rFonts w:ascii="Times New Roman" w:hAnsi="Times New Roman" w:cs="Times New Roman"/>
          <w:sz w:val="24"/>
          <w:szCs w:val="24"/>
          <w:shd w:val="clear" w:color="auto" w:fill="FFFFFF"/>
          <w:lang w:val="en-GB"/>
        </w:rPr>
      </w:pPr>
      <w:r w:rsidRPr="00B1098A">
        <w:rPr>
          <w:rFonts w:ascii="Times New Roman" w:hAnsi="Times New Roman" w:cs="Times New Roman"/>
          <w:sz w:val="24"/>
          <w:szCs w:val="24"/>
          <w:shd w:val="clear" w:color="auto" w:fill="FFFFFF"/>
          <w:lang w:val="en-GB"/>
        </w:rPr>
        <w:t xml:space="preserve">Kirk, C. M., </w:t>
      </w:r>
      <w:r w:rsidR="00B512EF" w:rsidRPr="00B1098A">
        <w:rPr>
          <w:rFonts w:ascii="Times New Roman" w:hAnsi="Times New Roman" w:cs="Times New Roman"/>
          <w:sz w:val="24"/>
          <w:szCs w:val="24"/>
          <w:shd w:val="clear" w:color="auto" w:fill="FFFFFF"/>
          <w:lang w:val="en-GB"/>
        </w:rPr>
        <w:t>R. K. Lewis</w:t>
      </w:r>
      <w:r w:rsidRPr="00B1098A">
        <w:rPr>
          <w:rFonts w:ascii="Times New Roman" w:hAnsi="Times New Roman" w:cs="Times New Roman"/>
          <w:sz w:val="24"/>
          <w:szCs w:val="24"/>
          <w:shd w:val="clear" w:color="auto" w:fill="FFFFFF"/>
          <w:lang w:val="en-GB"/>
        </w:rPr>
        <w:t xml:space="preserve">, </w:t>
      </w:r>
      <w:r w:rsidR="00B512EF" w:rsidRPr="00B1098A">
        <w:rPr>
          <w:rFonts w:ascii="Times New Roman" w:hAnsi="Times New Roman" w:cs="Times New Roman"/>
          <w:sz w:val="24"/>
          <w:szCs w:val="24"/>
          <w:shd w:val="clear" w:color="auto" w:fill="FFFFFF"/>
          <w:lang w:val="en-GB"/>
        </w:rPr>
        <w:t xml:space="preserve">A. </w:t>
      </w:r>
      <w:r w:rsidRPr="00B1098A">
        <w:rPr>
          <w:rFonts w:ascii="Times New Roman" w:hAnsi="Times New Roman" w:cs="Times New Roman"/>
          <w:sz w:val="24"/>
          <w:szCs w:val="24"/>
          <w:shd w:val="clear" w:color="auto" w:fill="FFFFFF"/>
          <w:lang w:val="en-GB"/>
        </w:rPr>
        <w:t xml:space="preserve">Scott, </w:t>
      </w:r>
      <w:r w:rsidR="00B512EF" w:rsidRPr="00B1098A">
        <w:rPr>
          <w:rFonts w:ascii="Times New Roman" w:hAnsi="Times New Roman" w:cs="Times New Roman"/>
          <w:sz w:val="24"/>
          <w:szCs w:val="24"/>
          <w:shd w:val="clear" w:color="auto" w:fill="FFFFFF"/>
          <w:lang w:val="en-GB"/>
        </w:rPr>
        <w:t xml:space="preserve">D. </w:t>
      </w:r>
      <w:r w:rsidRPr="00B1098A">
        <w:rPr>
          <w:rFonts w:ascii="Times New Roman" w:hAnsi="Times New Roman" w:cs="Times New Roman"/>
          <w:sz w:val="24"/>
          <w:szCs w:val="24"/>
          <w:shd w:val="clear" w:color="auto" w:fill="FFFFFF"/>
          <w:lang w:val="en-GB"/>
        </w:rPr>
        <w:t xml:space="preserve">Wren, </w:t>
      </w:r>
      <w:r w:rsidR="00B512EF" w:rsidRPr="00B1098A">
        <w:rPr>
          <w:rFonts w:ascii="Times New Roman" w:hAnsi="Times New Roman" w:cs="Times New Roman"/>
          <w:sz w:val="24"/>
          <w:szCs w:val="24"/>
          <w:shd w:val="clear" w:color="auto" w:fill="FFFFFF"/>
          <w:lang w:val="en-GB"/>
        </w:rPr>
        <w:t xml:space="preserve">C. </w:t>
      </w:r>
      <w:r w:rsidRPr="00B1098A">
        <w:rPr>
          <w:rFonts w:ascii="Times New Roman" w:hAnsi="Times New Roman" w:cs="Times New Roman"/>
          <w:sz w:val="24"/>
          <w:szCs w:val="24"/>
          <w:shd w:val="clear" w:color="auto" w:fill="FFFFFF"/>
          <w:lang w:val="en-GB"/>
        </w:rPr>
        <w:t xml:space="preserve">Nilsen, </w:t>
      </w:r>
      <w:r w:rsidR="00B512EF" w:rsidRPr="00B1098A">
        <w:rPr>
          <w:rFonts w:ascii="Times New Roman" w:hAnsi="Times New Roman" w:cs="Times New Roman"/>
          <w:sz w:val="24"/>
          <w:szCs w:val="24"/>
          <w:shd w:val="clear" w:color="auto" w:fill="FFFFFF"/>
          <w:lang w:val="en-GB"/>
        </w:rPr>
        <w:t>and</w:t>
      </w:r>
      <w:r w:rsidRPr="00B1098A">
        <w:rPr>
          <w:rFonts w:ascii="Times New Roman" w:hAnsi="Times New Roman" w:cs="Times New Roman"/>
          <w:sz w:val="24"/>
          <w:szCs w:val="24"/>
          <w:shd w:val="clear" w:color="auto" w:fill="FFFFFF"/>
          <w:lang w:val="en-GB"/>
        </w:rPr>
        <w:t xml:space="preserve"> </w:t>
      </w:r>
      <w:r w:rsidR="00B512EF" w:rsidRPr="00B1098A">
        <w:rPr>
          <w:rFonts w:ascii="Times New Roman" w:hAnsi="Times New Roman" w:cs="Times New Roman"/>
          <w:sz w:val="24"/>
          <w:szCs w:val="24"/>
          <w:shd w:val="clear" w:color="auto" w:fill="FFFFFF"/>
          <w:lang w:val="en-GB"/>
        </w:rPr>
        <w:t xml:space="preserve">D. Q. </w:t>
      </w:r>
      <w:r w:rsidRPr="00B1098A">
        <w:rPr>
          <w:rFonts w:ascii="Times New Roman" w:hAnsi="Times New Roman" w:cs="Times New Roman"/>
          <w:sz w:val="24"/>
          <w:szCs w:val="24"/>
          <w:shd w:val="clear" w:color="auto" w:fill="FFFFFF"/>
          <w:lang w:val="en-GB"/>
        </w:rPr>
        <w:t xml:space="preserve">Colvin. </w:t>
      </w:r>
      <w:r w:rsidR="00B512EF" w:rsidRPr="00B1098A">
        <w:rPr>
          <w:rFonts w:ascii="Times New Roman" w:hAnsi="Times New Roman" w:cs="Times New Roman"/>
          <w:sz w:val="24"/>
          <w:szCs w:val="24"/>
          <w:shd w:val="clear" w:color="auto" w:fill="FFFFFF"/>
          <w:lang w:val="en-GB"/>
        </w:rPr>
        <w:t>2012</w:t>
      </w:r>
      <w:r w:rsidRPr="00B1098A">
        <w:rPr>
          <w:rFonts w:ascii="Times New Roman" w:hAnsi="Times New Roman" w:cs="Times New Roman"/>
          <w:sz w:val="24"/>
          <w:szCs w:val="24"/>
          <w:shd w:val="clear" w:color="auto" w:fill="FFFFFF"/>
          <w:lang w:val="en-GB"/>
        </w:rPr>
        <w:t xml:space="preserve">. </w:t>
      </w:r>
      <w:r w:rsidR="00B512EF" w:rsidRPr="00B1098A">
        <w:rPr>
          <w:rFonts w:ascii="Times New Roman" w:hAnsi="Times New Roman" w:cs="Times New Roman"/>
          <w:sz w:val="24"/>
          <w:szCs w:val="24"/>
          <w:shd w:val="clear" w:color="auto" w:fill="FFFFFF"/>
          <w:lang w:val="en-GB"/>
        </w:rPr>
        <w:t>“</w:t>
      </w:r>
      <w:r w:rsidR="000E528E" w:rsidRPr="000E528E">
        <w:rPr>
          <w:rFonts w:ascii="Times New Roman" w:hAnsi="Times New Roman" w:cs="Times New Roman"/>
          <w:sz w:val="24"/>
          <w:szCs w:val="24"/>
          <w:shd w:val="clear" w:color="auto" w:fill="FFFFFF"/>
          <w:lang w:val="en-GB"/>
        </w:rPr>
        <w:t>Exploring the Educational Aspirations–Expectations Gap in Eighth Grade Students: Implications for Educational Interventions and School Reform</w:t>
      </w:r>
      <w:r w:rsidRPr="00B1098A">
        <w:rPr>
          <w:rFonts w:ascii="Times New Roman" w:hAnsi="Times New Roman" w:cs="Times New Roman"/>
          <w:sz w:val="24"/>
          <w:szCs w:val="24"/>
          <w:shd w:val="clear" w:color="auto" w:fill="FFFFFF"/>
          <w:lang w:val="en-GB"/>
        </w:rPr>
        <w:t>.</w:t>
      </w:r>
      <w:r w:rsidR="00B512EF" w:rsidRPr="00B1098A">
        <w:rPr>
          <w:rFonts w:ascii="Times New Roman" w:hAnsi="Times New Roman" w:cs="Times New Roman"/>
          <w:sz w:val="24"/>
          <w:szCs w:val="24"/>
          <w:shd w:val="clear" w:color="auto" w:fill="FFFFFF"/>
          <w:lang w:val="en-GB"/>
        </w:rPr>
        <w:t>”</w:t>
      </w:r>
      <w:r w:rsidRPr="00B1098A">
        <w:rPr>
          <w:rFonts w:ascii="Times New Roman" w:hAnsi="Times New Roman" w:cs="Times New Roman"/>
          <w:sz w:val="24"/>
          <w:szCs w:val="24"/>
          <w:shd w:val="clear" w:color="auto" w:fill="FFFFFF"/>
          <w:lang w:val="en-GB"/>
        </w:rPr>
        <w:t> </w:t>
      </w:r>
      <w:r w:rsidRPr="00B1098A">
        <w:rPr>
          <w:rFonts w:ascii="Times New Roman" w:hAnsi="Times New Roman" w:cs="Times New Roman"/>
          <w:i/>
          <w:iCs/>
          <w:sz w:val="24"/>
          <w:szCs w:val="24"/>
          <w:shd w:val="clear" w:color="auto" w:fill="FFFFFF"/>
          <w:lang w:val="en-GB"/>
        </w:rPr>
        <w:t>Educational Studies</w:t>
      </w:r>
      <w:r w:rsidRPr="00B1098A">
        <w:rPr>
          <w:rFonts w:ascii="Times New Roman" w:hAnsi="Times New Roman" w:cs="Times New Roman"/>
          <w:sz w:val="24"/>
          <w:szCs w:val="24"/>
          <w:shd w:val="clear" w:color="auto" w:fill="FFFFFF"/>
          <w:lang w:val="en-GB"/>
        </w:rPr>
        <w:t> </w:t>
      </w:r>
      <w:r w:rsidRPr="00B1098A">
        <w:rPr>
          <w:rFonts w:ascii="Times New Roman" w:hAnsi="Times New Roman" w:cs="Times New Roman"/>
          <w:iCs/>
          <w:sz w:val="24"/>
          <w:szCs w:val="24"/>
          <w:shd w:val="clear" w:color="auto" w:fill="FFFFFF"/>
          <w:lang w:val="en-GB"/>
        </w:rPr>
        <w:t>38</w:t>
      </w:r>
      <w:r w:rsidR="00B512EF" w:rsidRPr="00B1098A">
        <w:rPr>
          <w:rFonts w:ascii="Times New Roman" w:hAnsi="Times New Roman" w:cs="Times New Roman"/>
          <w:sz w:val="24"/>
          <w:szCs w:val="24"/>
          <w:shd w:val="clear" w:color="auto" w:fill="FFFFFF"/>
          <w:lang w:val="en-GB"/>
        </w:rPr>
        <w:t xml:space="preserve"> </w:t>
      </w:r>
      <w:r w:rsidRPr="00B1098A">
        <w:rPr>
          <w:rFonts w:ascii="Times New Roman" w:hAnsi="Times New Roman" w:cs="Times New Roman"/>
          <w:sz w:val="24"/>
          <w:szCs w:val="24"/>
          <w:shd w:val="clear" w:color="auto" w:fill="FFFFFF"/>
          <w:lang w:val="en-GB"/>
        </w:rPr>
        <w:t>(5)</w:t>
      </w:r>
      <w:r w:rsidR="00B512EF" w:rsidRPr="00B1098A">
        <w:rPr>
          <w:rFonts w:ascii="Times New Roman" w:hAnsi="Times New Roman" w:cs="Times New Roman"/>
          <w:sz w:val="24"/>
          <w:szCs w:val="24"/>
          <w:shd w:val="clear" w:color="auto" w:fill="FFFFFF"/>
          <w:lang w:val="en-GB"/>
        </w:rPr>
        <w:t>:</w:t>
      </w:r>
      <w:r w:rsidRPr="00B1098A">
        <w:rPr>
          <w:rFonts w:ascii="Times New Roman" w:hAnsi="Times New Roman" w:cs="Times New Roman"/>
          <w:sz w:val="24"/>
          <w:szCs w:val="24"/>
          <w:shd w:val="clear" w:color="auto" w:fill="FFFFFF"/>
          <w:lang w:val="en-GB"/>
        </w:rPr>
        <w:t xml:space="preserve"> 507-519.</w:t>
      </w:r>
    </w:p>
    <w:p w14:paraId="7BE561AC" w14:textId="26673C19" w:rsidR="00F8163D" w:rsidRPr="00B14A71" w:rsidRDefault="00F8163D" w:rsidP="00C03772">
      <w:pPr>
        <w:spacing w:after="0" w:line="480" w:lineRule="auto"/>
        <w:ind w:left="720" w:hanging="720"/>
        <w:rPr>
          <w:rFonts w:asciiTheme="majorBidi" w:hAnsiTheme="majorBidi" w:cstheme="majorBidi"/>
          <w:sz w:val="24"/>
          <w:szCs w:val="24"/>
          <w:shd w:val="clear" w:color="auto" w:fill="FFFFFF"/>
          <w:lang w:val="en-GB"/>
        </w:rPr>
      </w:pPr>
      <w:r w:rsidRPr="00B14A71">
        <w:rPr>
          <w:rFonts w:asciiTheme="majorBidi" w:hAnsiTheme="majorBidi" w:cstheme="majorBidi"/>
          <w:sz w:val="24"/>
          <w:szCs w:val="24"/>
          <w:shd w:val="clear" w:color="auto" w:fill="FFFFFF"/>
          <w:lang w:val="en-GB"/>
        </w:rPr>
        <w:t xml:space="preserve">Koo, </w:t>
      </w:r>
      <w:r w:rsidR="0069765C" w:rsidRPr="00B14A71">
        <w:rPr>
          <w:rFonts w:asciiTheme="majorBidi" w:hAnsiTheme="majorBidi" w:cstheme="majorBidi"/>
          <w:sz w:val="24"/>
          <w:szCs w:val="24"/>
          <w:shd w:val="clear" w:color="auto" w:fill="FFFFFF"/>
          <w:lang w:val="en-GB"/>
        </w:rPr>
        <w:t>A. 2012</w:t>
      </w:r>
      <w:r w:rsidRPr="00B14A71">
        <w:rPr>
          <w:rFonts w:asciiTheme="majorBidi" w:hAnsiTheme="majorBidi" w:cstheme="majorBidi"/>
          <w:sz w:val="24"/>
          <w:szCs w:val="24"/>
          <w:shd w:val="clear" w:color="auto" w:fill="FFFFFF"/>
          <w:lang w:val="en-GB"/>
        </w:rPr>
        <w:t xml:space="preserve">. </w:t>
      </w:r>
      <w:r w:rsidR="0069765C" w:rsidRPr="00B14A71">
        <w:rPr>
          <w:rFonts w:asciiTheme="majorBidi" w:hAnsiTheme="majorBidi" w:cstheme="majorBidi"/>
          <w:sz w:val="24"/>
          <w:szCs w:val="24"/>
          <w:shd w:val="clear" w:color="auto" w:fill="FFFFFF"/>
          <w:lang w:val="en-GB"/>
        </w:rPr>
        <w:t>“</w:t>
      </w:r>
      <w:r w:rsidR="002F6789" w:rsidRPr="002F6789">
        <w:rPr>
          <w:rFonts w:asciiTheme="majorBidi" w:hAnsiTheme="majorBidi" w:cstheme="majorBidi"/>
          <w:sz w:val="24"/>
          <w:szCs w:val="24"/>
          <w:shd w:val="clear" w:color="auto" w:fill="FFFFFF"/>
          <w:lang w:val="en-GB"/>
        </w:rPr>
        <w:t>Is There Any Chance to Get Ahead? Education Aspirations and Expectations of Migrant Families in China</w:t>
      </w:r>
      <w:r w:rsidRPr="00B14A71">
        <w:rPr>
          <w:rFonts w:asciiTheme="majorBidi" w:hAnsiTheme="majorBidi" w:cstheme="majorBidi"/>
          <w:sz w:val="24"/>
          <w:szCs w:val="24"/>
          <w:shd w:val="clear" w:color="auto" w:fill="FFFFFF"/>
          <w:lang w:val="en-GB"/>
        </w:rPr>
        <w:t>.</w:t>
      </w:r>
      <w:r w:rsidR="0069765C" w:rsidRPr="00B14A71">
        <w:rPr>
          <w:rFonts w:asciiTheme="majorBidi" w:hAnsiTheme="majorBidi" w:cstheme="majorBidi"/>
          <w:sz w:val="24"/>
          <w:szCs w:val="24"/>
          <w:shd w:val="clear" w:color="auto" w:fill="FFFFFF"/>
          <w:lang w:val="en-GB"/>
        </w:rPr>
        <w:t>”</w:t>
      </w:r>
      <w:r w:rsidRPr="00B14A71">
        <w:rPr>
          <w:rFonts w:asciiTheme="majorBidi" w:hAnsiTheme="majorBidi" w:cstheme="majorBidi"/>
          <w:sz w:val="24"/>
          <w:szCs w:val="24"/>
          <w:shd w:val="clear" w:color="auto" w:fill="FFFFFF"/>
          <w:lang w:val="en-GB"/>
        </w:rPr>
        <w:t> </w:t>
      </w:r>
      <w:r w:rsidRPr="00B14A71">
        <w:rPr>
          <w:rFonts w:asciiTheme="majorBidi" w:hAnsiTheme="majorBidi" w:cstheme="majorBidi"/>
          <w:i/>
          <w:iCs/>
          <w:sz w:val="24"/>
          <w:szCs w:val="24"/>
          <w:shd w:val="clear" w:color="auto" w:fill="FFFFFF"/>
          <w:lang w:val="en-GB"/>
        </w:rPr>
        <w:t>British Journal of Sociology of Education</w:t>
      </w:r>
      <w:r w:rsidRPr="00B14A71">
        <w:rPr>
          <w:rFonts w:asciiTheme="majorBidi" w:hAnsiTheme="majorBidi" w:cstheme="majorBidi"/>
          <w:sz w:val="24"/>
          <w:szCs w:val="24"/>
          <w:shd w:val="clear" w:color="auto" w:fill="FFFFFF"/>
          <w:lang w:val="en-GB"/>
        </w:rPr>
        <w:t> </w:t>
      </w:r>
      <w:r w:rsidRPr="00B14A71">
        <w:rPr>
          <w:rFonts w:asciiTheme="majorBidi" w:hAnsiTheme="majorBidi" w:cstheme="majorBidi"/>
          <w:iCs/>
          <w:sz w:val="24"/>
          <w:szCs w:val="24"/>
          <w:shd w:val="clear" w:color="auto" w:fill="FFFFFF"/>
          <w:lang w:val="en-GB"/>
        </w:rPr>
        <w:t>33</w:t>
      </w:r>
      <w:r w:rsidR="0069765C" w:rsidRPr="00B14A71">
        <w:rPr>
          <w:rFonts w:asciiTheme="majorBidi" w:hAnsiTheme="majorBidi" w:cstheme="majorBidi"/>
          <w:sz w:val="24"/>
          <w:szCs w:val="24"/>
          <w:shd w:val="clear" w:color="auto" w:fill="FFFFFF"/>
          <w:lang w:val="en-GB"/>
        </w:rPr>
        <w:t xml:space="preserve"> </w:t>
      </w:r>
      <w:r w:rsidRPr="00B14A71">
        <w:rPr>
          <w:rFonts w:asciiTheme="majorBidi" w:hAnsiTheme="majorBidi" w:cstheme="majorBidi"/>
          <w:sz w:val="24"/>
          <w:szCs w:val="24"/>
          <w:shd w:val="clear" w:color="auto" w:fill="FFFFFF"/>
          <w:lang w:val="en-GB"/>
        </w:rPr>
        <w:t>(4)</w:t>
      </w:r>
      <w:r w:rsidR="0069765C" w:rsidRPr="00B14A71">
        <w:rPr>
          <w:rFonts w:asciiTheme="majorBidi" w:hAnsiTheme="majorBidi" w:cstheme="majorBidi"/>
          <w:sz w:val="24"/>
          <w:szCs w:val="24"/>
          <w:shd w:val="clear" w:color="auto" w:fill="FFFFFF"/>
          <w:lang w:val="en-GB"/>
        </w:rPr>
        <w:t>:</w:t>
      </w:r>
      <w:r w:rsidRPr="00B14A71">
        <w:rPr>
          <w:rFonts w:asciiTheme="majorBidi" w:hAnsiTheme="majorBidi" w:cstheme="majorBidi"/>
          <w:sz w:val="24"/>
          <w:szCs w:val="24"/>
          <w:shd w:val="clear" w:color="auto" w:fill="FFFFFF"/>
          <w:lang w:val="en-GB"/>
        </w:rPr>
        <w:t xml:space="preserve"> 547-564. </w:t>
      </w:r>
      <w:r w:rsidR="0069765C" w:rsidRPr="00B14A71">
        <w:rPr>
          <w:rFonts w:asciiTheme="majorBidi" w:hAnsiTheme="majorBidi" w:cstheme="majorBidi"/>
          <w:sz w:val="24"/>
          <w:szCs w:val="24"/>
          <w:shd w:val="clear" w:color="auto" w:fill="FFFFFF"/>
          <w:lang w:val="en-GB"/>
        </w:rPr>
        <w:t>doi:</w:t>
      </w:r>
      <w:r w:rsidRPr="00B14A71">
        <w:rPr>
          <w:rFonts w:asciiTheme="majorBidi" w:hAnsiTheme="majorBidi" w:cstheme="majorBidi"/>
          <w:sz w:val="24"/>
          <w:szCs w:val="24"/>
          <w:shd w:val="clear" w:color="auto" w:fill="FFFFFF"/>
          <w:lang w:val="en-GB"/>
        </w:rPr>
        <w:t>10.1080/01425692.2012.678755</w:t>
      </w:r>
      <w:r w:rsidR="00B14A71" w:rsidRPr="00B14A71">
        <w:rPr>
          <w:rFonts w:asciiTheme="majorBidi" w:hAnsiTheme="majorBidi" w:cstheme="majorBidi"/>
          <w:sz w:val="24"/>
          <w:szCs w:val="24"/>
          <w:shd w:val="clear" w:color="auto" w:fill="FFFFFF"/>
          <w:lang w:val="en-GB"/>
        </w:rPr>
        <w:t>.</w:t>
      </w:r>
    </w:p>
    <w:p w14:paraId="29E104E3" w14:textId="0A0CA344" w:rsidR="00F8163D" w:rsidRPr="008A79E9" w:rsidRDefault="004B752C" w:rsidP="00C03772">
      <w:pPr>
        <w:spacing w:after="0" w:line="480" w:lineRule="auto"/>
        <w:ind w:left="720" w:hanging="720"/>
        <w:rPr>
          <w:rFonts w:ascii="Times New Roman" w:hAnsi="Times New Roman" w:cs="Times New Roman"/>
          <w:sz w:val="24"/>
          <w:szCs w:val="24"/>
          <w:shd w:val="clear" w:color="auto" w:fill="FFFFFF"/>
          <w:lang w:val="en-GB"/>
        </w:rPr>
      </w:pPr>
      <w:r w:rsidRPr="008A79E9">
        <w:rPr>
          <w:rFonts w:ascii="Times New Roman" w:hAnsi="Times New Roman" w:cs="Times New Roman"/>
          <w:sz w:val="24"/>
          <w:szCs w:val="24"/>
          <w:shd w:val="clear" w:color="auto" w:fill="FFFFFF"/>
          <w:lang w:val="en-GB"/>
        </w:rPr>
        <w:lastRenderedPageBreak/>
        <w:t>Krueger, A. B., and</w:t>
      </w:r>
      <w:r w:rsidR="00F8163D" w:rsidRPr="008A79E9">
        <w:rPr>
          <w:rFonts w:ascii="Times New Roman" w:hAnsi="Times New Roman" w:cs="Times New Roman"/>
          <w:sz w:val="24"/>
          <w:szCs w:val="24"/>
          <w:shd w:val="clear" w:color="auto" w:fill="FFFFFF"/>
          <w:lang w:val="en-GB"/>
        </w:rPr>
        <w:t xml:space="preserve"> </w:t>
      </w:r>
      <w:r w:rsidRPr="008A79E9">
        <w:rPr>
          <w:rFonts w:ascii="Times New Roman" w:hAnsi="Times New Roman" w:cs="Times New Roman"/>
          <w:sz w:val="24"/>
          <w:szCs w:val="24"/>
          <w:shd w:val="clear" w:color="auto" w:fill="FFFFFF"/>
          <w:lang w:val="en-GB"/>
        </w:rPr>
        <w:t xml:space="preserve">D. M. </w:t>
      </w:r>
      <w:r w:rsidR="00F8163D" w:rsidRPr="008A79E9">
        <w:rPr>
          <w:rFonts w:ascii="Times New Roman" w:hAnsi="Times New Roman" w:cs="Times New Roman"/>
          <w:sz w:val="24"/>
          <w:szCs w:val="24"/>
          <w:shd w:val="clear" w:color="auto" w:fill="FFFFFF"/>
          <w:lang w:val="en-GB"/>
        </w:rPr>
        <w:t xml:space="preserve">Whitmore. </w:t>
      </w:r>
      <w:r w:rsidRPr="008A79E9">
        <w:rPr>
          <w:rFonts w:ascii="Times New Roman" w:hAnsi="Times New Roman" w:cs="Times New Roman"/>
          <w:sz w:val="24"/>
          <w:szCs w:val="24"/>
          <w:shd w:val="clear" w:color="auto" w:fill="FFFFFF"/>
          <w:lang w:val="en-GB"/>
        </w:rPr>
        <w:t>2001</w:t>
      </w:r>
      <w:r w:rsidR="00F8163D" w:rsidRPr="008A79E9">
        <w:rPr>
          <w:rFonts w:ascii="Times New Roman" w:hAnsi="Times New Roman" w:cs="Times New Roman"/>
          <w:sz w:val="24"/>
          <w:szCs w:val="24"/>
          <w:shd w:val="clear" w:color="auto" w:fill="FFFFFF"/>
          <w:lang w:val="en-GB"/>
        </w:rPr>
        <w:t xml:space="preserve">. </w:t>
      </w:r>
      <w:r w:rsidRPr="008A79E9">
        <w:rPr>
          <w:rFonts w:ascii="Times New Roman" w:hAnsi="Times New Roman" w:cs="Times New Roman"/>
          <w:sz w:val="24"/>
          <w:szCs w:val="24"/>
          <w:shd w:val="clear" w:color="auto" w:fill="FFFFFF"/>
          <w:lang w:val="en-GB"/>
        </w:rPr>
        <w:t>“</w:t>
      </w:r>
      <w:r w:rsidR="00232076" w:rsidRPr="00232076">
        <w:rPr>
          <w:rFonts w:ascii="Times New Roman" w:hAnsi="Times New Roman" w:cs="Times New Roman"/>
          <w:sz w:val="24"/>
          <w:szCs w:val="24"/>
          <w:shd w:val="clear" w:color="auto" w:fill="FFFFFF"/>
          <w:lang w:val="en-GB"/>
        </w:rPr>
        <w:t>The Effect of Attending a Small Class in the Early Grades on College-Test Taking and Middle School Test Results: Evidence from Project STAR</w:t>
      </w:r>
      <w:r w:rsidR="00F8163D" w:rsidRPr="008A79E9">
        <w:rPr>
          <w:rFonts w:ascii="Times New Roman" w:hAnsi="Times New Roman" w:cs="Times New Roman"/>
          <w:sz w:val="24"/>
          <w:szCs w:val="24"/>
          <w:shd w:val="clear" w:color="auto" w:fill="FFFFFF"/>
          <w:lang w:val="en-GB"/>
        </w:rPr>
        <w:t>.</w:t>
      </w:r>
      <w:r w:rsidRPr="008A79E9">
        <w:rPr>
          <w:rFonts w:ascii="Times New Roman" w:hAnsi="Times New Roman" w:cs="Times New Roman"/>
          <w:sz w:val="24"/>
          <w:szCs w:val="24"/>
          <w:shd w:val="clear" w:color="auto" w:fill="FFFFFF"/>
          <w:lang w:val="en-GB"/>
        </w:rPr>
        <w:t>”</w:t>
      </w:r>
      <w:r w:rsidR="00F8163D" w:rsidRPr="008A79E9">
        <w:rPr>
          <w:rFonts w:ascii="Times New Roman" w:hAnsi="Times New Roman" w:cs="Times New Roman"/>
          <w:sz w:val="24"/>
          <w:szCs w:val="24"/>
          <w:shd w:val="clear" w:color="auto" w:fill="FFFFFF"/>
          <w:lang w:val="en-GB"/>
        </w:rPr>
        <w:t> </w:t>
      </w:r>
      <w:r w:rsidR="00F8163D" w:rsidRPr="008A79E9">
        <w:rPr>
          <w:rFonts w:ascii="Times New Roman" w:hAnsi="Times New Roman" w:cs="Times New Roman"/>
          <w:i/>
          <w:iCs/>
          <w:sz w:val="24"/>
          <w:szCs w:val="24"/>
          <w:shd w:val="clear" w:color="auto" w:fill="FFFFFF"/>
          <w:lang w:val="en-GB"/>
        </w:rPr>
        <w:t>The Economic Journal</w:t>
      </w:r>
      <w:r w:rsidR="00F8163D" w:rsidRPr="008A79E9">
        <w:rPr>
          <w:rFonts w:ascii="Times New Roman" w:hAnsi="Times New Roman" w:cs="Times New Roman"/>
          <w:sz w:val="24"/>
          <w:szCs w:val="24"/>
          <w:shd w:val="clear" w:color="auto" w:fill="FFFFFF"/>
          <w:lang w:val="en-GB"/>
        </w:rPr>
        <w:t> </w:t>
      </w:r>
      <w:r w:rsidR="00F8163D" w:rsidRPr="008A79E9">
        <w:rPr>
          <w:rFonts w:ascii="Times New Roman" w:hAnsi="Times New Roman" w:cs="Times New Roman"/>
          <w:iCs/>
          <w:sz w:val="24"/>
          <w:szCs w:val="24"/>
          <w:shd w:val="clear" w:color="auto" w:fill="FFFFFF"/>
          <w:lang w:val="en-GB"/>
        </w:rPr>
        <w:t>111</w:t>
      </w:r>
      <w:r w:rsidRPr="008A79E9">
        <w:rPr>
          <w:rFonts w:ascii="Times New Roman" w:hAnsi="Times New Roman" w:cs="Times New Roman"/>
          <w:sz w:val="24"/>
          <w:szCs w:val="24"/>
          <w:shd w:val="clear" w:color="auto" w:fill="FFFFFF"/>
          <w:lang w:val="en-GB"/>
        </w:rPr>
        <w:t xml:space="preserve"> </w:t>
      </w:r>
      <w:r w:rsidR="00F8163D" w:rsidRPr="008A79E9">
        <w:rPr>
          <w:rFonts w:ascii="Times New Roman" w:hAnsi="Times New Roman" w:cs="Times New Roman"/>
          <w:sz w:val="24"/>
          <w:szCs w:val="24"/>
          <w:shd w:val="clear" w:color="auto" w:fill="FFFFFF"/>
          <w:lang w:val="en-GB"/>
        </w:rPr>
        <w:t>(468)</w:t>
      </w:r>
      <w:r w:rsidRPr="008A79E9">
        <w:rPr>
          <w:rFonts w:ascii="Times New Roman" w:hAnsi="Times New Roman" w:cs="Times New Roman"/>
          <w:sz w:val="24"/>
          <w:szCs w:val="24"/>
          <w:shd w:val="clear" w:color="auto" w:fill="FFFFFF"/>
          <w:lang w:val="en-GB"/>
        </w:rPr>
        <w:t>:</w:t>
      </w:r>
      <w:r w:rsidR="00F8163D" w:rsidRPr="008A79E9">
        <w:rPr>
          <w:rFonts w:ascii="Times New Roman" w:hAnsi="Times New Roman" w:cs="Times New Roman"/>
          <w:sz w:val="24"/>
          <w:szCs w:val="24"/>
          <w:shd w:val="clear" w:color="auto" w:fill="FFFFFF"/>
          <w:lang w:val="en-GB"/>
        </w:rPr>
        <w:t xml:space="preserve"> 1-28. </w:t>
      </w:r>
      <w:r w:rsidRPr="008A79E9">
        <w:rPr>
          <w:rFonts w:ascii="Times New Roman" w:hAnsi="Times New Roman" w:cs="Times New Roman"/>
          <w:sz w:val="24"/>
          <w:szCs w:val="24"/>
          <w:shd w:val="clear" w:color="auto" w:fill="FFFFFF"/>
          <w:lang w:val="en-GB"/>
        </w:rPr>
        <w:t>doi:</w:t>
      </w:r>
      <w:r w:rsidR="00F8163D" w:rsidRPr="008A79E9">
        <w:rPr>
          <w:rFonts w:ascii="Times New Roman" w:hAnsi="Times New Roman" w:cs="Times New Roman"/>
          <w:sz w:val="24"/>
          <w:szCs w:val="24"/>
          <w:shd w:val="clear" w:color="auto" w:fill="FFFFFF"/>
          <w:lang w:val="en-GB"/>
        </w:rPr>
        <w:t>10.1111/1468-0297.00586</w:t>
      </w:r>
      <w:r w:rsidR="008A79E9" w:rsidRPr="008A79E9">
        <w:rPr>
          <w:rFonts w:ascii="Times New Roman" w:hAnsi="Times New Roman" w:cs="Times New Roman"/>
          <w:sz w:val="24"/>
          <w:szCs w:val="24"/>
          <w:shd w:val="clear" w:color="auto" w:fill="FFFFFF"/>
          <w:lang w:val="en-GB"/>
        </w:rPr>
        <w:t>.</w:t>
      </w:r>
    </w:p>
    <w:p w14:paraId="3885469E" w14:textId="5BE3D4BA" w:rsidR="00F8163D" w:rsidRPr="006C1064" w:rsidRDefault="00F8163D" w:rsidP="00C03772">
      <w:pPr>
        <w:spacing w:after="0" w:line="480" w:lineRule="auto"/>
        <w:ind w:left="720" w:hanging="720"/>
        <w:rPr>
          <w:rFonts w:asciiTheme="majorBidi" w:hAnsiTheme="majorBidi" w:cstheme="majorBidi"/>
          <w:sz w:val="24"/>
          <w:szCs w:val="24"/>
          <w:shd w:val="clear" w:color="auto" w:fill="FFFFFF"/>
          <w:lang w:val="en-GB"/>
        </w:rPr>
      </w:pPr>
      <w:r w:rsidRPr="006C1064">
        <w:rPr>
          <w:rFonts w:asciiTheme="majorBidi" w:hAnsiTheme="majorBidi" w:cstheme="majorBidi"/>
          <w:sz w:val="24"/>
          <w:szCs w:val="24"/>
          <w:shd w:val="clear" w:color="auto" w:fill="FFFFFF"/>
          <w:lang w:val="en-GB"/>
        </w:rPr>
        <w:t xml:space="preserve">Lee, V. E., </w:t>
      </w:r>
      <w:r w:rsidR="00E37B66" w:rsidRPr="006C1064">
        <w:rPr>
          <w:rFonts w:asciiTheme="majorBidi" w:hAnsiTheme="majorBidi" w:cstheme="majorBidi"/>
          <w:sz w:val="24"/>
          <w:szCs w:val="24"/>
          <w:shd w:val="clear" w:color="auto" w:fill="FFFFFF"/>
          <w:lang w:val="en-GB"/>
        </w:rPr>
        <w:t>and</w:t>
      </w:r>
      <w:r w:rsidRPr="006C1064">
        <w:rPr>
          <w:rFonts w:asciiTheme="majorBidi" w:hAnsiTheme="majorBidi" w:cstheme="majorBidi"/>
          <w:sz w:val="24"/>
          <w:szCs w:val="24"/>
          <w:shd w:val="clear" w:color="auto" w:fill="FFFFFF"/>
          <w:lang w:val="en-GB"/>
        </w:rPr>
        <w:t xml:space="preserve"> </w:t>
      </w:r>
      <w:r w:rsidR="00E37B66" w:rsidRPr="006C1064">
        <w:rPr>
          <w:rFonts w:asciiTheme="majorBidi" w:hAnsiTheme="majorBidi" w:cstheme="majorBidi"/>
          <w:sz w:val="24"/>
          <w:szCs w:val="24"/>
          <w:shd w:val="clear" w:color="auto" w:fill="FFFFFF"/>
          <w:lang w:val="en-GB"/>
        </w:rPr>
        <w:t xml:space="preserve">S. </w:t>
      </w:r>
      <w:r w:rsidRPr="006C1064">
        <w:rPr>
          <w:rFonts w:asciiTheme="majorBidi" w:hAnsiTheme="majorBidi" w:cstheme="majorBidi"/>
          <w:sz w:val="24"/>
          <w:szCs w:val="24"/>
          <w:shd w:val="clear" w:color="auto" w:fill="FFFFFF"/>
          <w:lang w:val="en-GB"/>
        </w:rPr>
        <w:t xml:space="preserve">Loeb. </w:t>
      </w:r>
      <w:r w:rsidR="00E37B66" w:rsidRPr="006C1064">
        <w:rPr>
          <w:rFonts w:asciiTheme="majorBidi" w:hAnsiTheme="majorBidi" w:cstheme="majorBidi"/>
          <w:sz w:val="24"/>
          <w:szCs w:val="24"/>
          <w:shd w:val="clear" w:color="auto" w:fill="FFFFFF"/>
          <w:lang w:val="en-GB"/>
        </w:rPr>
        <w:t>2000</w:t>
      </w:r>
      <w:r w:rsidRPr="006C1064">
        <w:rPr>
          <w:rFonts w:asciiTheme="majorBidi" w:hAnsiTheme="majorBidi" w:cstheme="majorBidi"/>
          <w:sz w:val="24"/>
          <w:szCs w:val="24"/>
          <w:shd w:val="clear" w:color="auto" w:fill="FFFFFF"/>
          <w:lang w:val="en-GB"/>
        </w:rPr>
        <w:t xml:space="preserve">. </w:t>
      </w:r>
      <w:r w:rsidR="00E37B66" w:rsidRPr="006C1064">
        <w:rPr>
          <w:rFonts w:asciiTheme="majorBidi" w:hAnsiTheme="majorBidi" w:cstheme="majorBidi"/>
          <w:sz w:val="24"/>
          <w:szCs w:val="24"/>
          <w:shd w:val="clear" w:color="auto" w:fill="FFFFFF"/>
          <w:lang w:val="en-GB"/>
        </w:rPr>
        <w:t>“</w:t>
      </w:r>
      <w:r w:rsidR="00C46C5A" w:rsidRPr="00C46C5A">
        <w:rPr>
          <w:rFonts w:asciiTheme="majorBidi" w:hAnsiTheme="majorBidi" w:cstheme="majorBidi"/>
          <w:sz w:val="24"/>
          <w:szCs w:val="24"/>
          <w:shd w:val="clear" w:color="auto" w:fill="FFFFFF"/>
          <w:lang w:val="en-GB"/>
        </w:rPr>
        <w:t>School Size in Chicago Elementary Schools: Effects on Teachers' Attitudes and Students' Achievement</w:t>
      </w:r>
      <w:r w:rsidRPr="006C1064">
        <w:rPr>
          <w:rFonts w:asciiTheme="majorBidi" w:hAnsiTheme="majorBidi" w:cstheme="majorBidi"/>
          <w:sz w:val="24"/>
          <w:szCs w:val="24"/>
          <w:shd w:val="clear" w:color="auto" w:fill="FFFFFF"/>
          <w:lang w:val="en-GB"/>
        </w:rPr>
        <w:t>.</w:t>
      </w:r>
      <w:r w:rsidR="00E37B66" w:rsidRPr="006C1064">
        <w:rPr>
          <w:rFonts w:asciiTheme="majorBidi" w:hAnsiTheme="majorBidi" w:cstheme="majorBidi"/>
          <w:sz w:val="24"/>
          <w:szCs w:val="24"/>
          <w:shd w:val="clear" w:color="auto" w:fill="FFFFFF"/>
          <w:lang w:val="en-GB"/>
        </w:rPr>
        <w:t>”</w:t>
      </w:r>
      <w:r w:rsidRPr="006C1064">
        <w:rPr>
          <w:rFonts w:asciiTheme="majorBidi" w:hAnsiTheme="majorBidi" w:cstheme="majorBidi"/>
          <w:sz w:val="24"/>
          <w:szCs w:val="24"/>
          <w:shd w:val="clear" w:color="auto" w:fill="FFFFFF"/>
          <w:lang w:val="en-GB"/>
        </w:rPr>
        <w:t> </w:t>
      </w:r>
      <w:r w:rsidRPr="006C1064">
        <w:rPr>
          <w:rFonts w:asciiTheme="majorBidi" w:hAnsiTheme="majorBidi" w:cstheme="majorBidi"/>
          <w:i/>
          <w:iCs/>
          <w:sz w:val="24"/>
          <w:szCs w:val="24"/>
          <w:shd w:val="clear" w:color="auto" w:fill="FFFFFF"/>
          <w:lang w:val="en-GB"/>
        </w:rPr>
        <w:t>American Educational Research Journal</w:t>
      </w:r>
      <w:r w:rsidR="00E37B66" w:rsidRPr="006C1064">
        <w:rPr>
          <w:rFonts w:asciiTheme="majorBidi" w:hAnsiTheme="majorBidi" w:cstheme="majorBidi"/>
          <w:sz w:val="24"/>
          <w:szCs w:val="24"/>
          <w:shd w:val="clear" w:color="auto" w:fill="FFFFFF"/>
          <w:lang w:val="en-GB"/>
        </w:rPr>
        <w:t xml:space="preserve"> </w:t>
      </w:r>
      <w:r w:rsidRPr="006C1064">
        <w:rPr>
          <w:rFonts w:asciiTheme="majorBidi" w:hAnsiTheme="majorBidi" w:cstheme="majorBidi"/>
          <w:iCs/>
          <w:sz w:val="24"/>
          <w:szCs w:val="24"/>
          <w:shd w:val="clear" w:color="auto" w:fill="FFFFFF"/>
          <w:lang w:val="en-GB"/>
        </w:rPr>
        <w:t>37</w:t>
      </w:r>
      <w:r w:rsidR="00E37B66" w:rsidRPr="006C1064">
        <w:rPr>
          <w:rFonts w:asciiTheme="majorBidi" w:hAnsiTheme="majorBidi" w:cstheme="majorBidi"/>
          <w:sz w:val="24"/>
          <w:szCs w:val="24"/>
          <w:shd w:val="clear" w:color="auto" w:fill="FFFFFF"/>
          <w:lang w:val="en-GB"/>
        </w:rPr>
        <w:t xml:space="preserve"> </w:t>
      </w:r>
      <w:r w:rsidRPr="006C1064">
        <w:rPr>
          <w:rFonts w:asciiTheme="majorBidi" w:hAnsiTheme="majorBidi" w:cstheme="majorBidi"/>
          <w:sz w:val="24"/>
          <w:szCs w:val="24"/>
          <w:shd w:val="clear" w:color="auto" w:fill="FFFFFF"/>
          <w:lang w:val="en-GB"/>
        </w:rPr>
        <w:t>(1)</w:t>
      </w:r>
      <w:r w:rsidR="00E37B66" w:rsidRPr="006C1064">
        <w:rPr>
          <w:rFonts w:asciiTheme="majorBidi" w:hAnsiTheme="majorBidi" w:cstheme="majorBidi"/>
          <w:sz w:val="24"/>
          <w:szCs w:val="24"/>
          <w:shd w:val="clear" w:color="auto" w:fill="FFFFFF"/>
          <w:lang w:val="en-GB"/>
        </w:rPr>
        <w:t>:</w:t>
      </w:r>
      <w:r w:rsidRPr="006C1064">
        <w:rPr>
          <w:rFonts w:asciiTheme="majorBidi" w:hAnsiTheme="majorBidi" w:cstheme="majorBidi"/>
          <w:sz w:val="24"/>
          <w:szCs w:val="24"/>
          <w:shd w:val="clear" w:color="auto" w:fill="FFFFFF"/>
          <w:lang w:val="en-GB"/>
        </w:rPr>
        <w:t xml:space="preserve"> 3-31.</w:t>
      </w:r>
    </w:p>
    <w:p w14:paraId="6BF2E02E" w14:textId="173CA360" w:rsidR="00F8163D" w:rsidRDefault="00F8163D" w:rsidP="00C03772">
      <w:pPr>
        <w:spacing w:after="0" w:line="480" w:lineRule="auto"/>
        <w:ind w:left="720" w:hanging="720"/>
        <w:rPr>
          <w:rFonts w:asciiTheme="majorBidi" w:hAnsiTheme="majorBidi" w:cstheme="majorBidi"/>
          <w:sz w:val="24"/>
          <w:szCs w:val="24"/>
          <w:shd w:val="clear" w:color="auto" w:fill="FFFFFF"/>
          <w:lang w:val="en-GB"/>
        </w:rPr>
      </w:pPr>
      <w:proofErr w:type="spellStart"/>
      <w:r w:rsidRPr="00E81356">
        <w:rPr>
          <w:rFonts w:asciiTheme="majorBidi" w:hAnsiTheme="majorBidi" w:cstheme="majorBidi"/>
          <w:sz w:val="24"/>
          <w:szCs w:val="24"/>
          <w:shd w:val="clear" w:color="auto" w:fill="FFFFFF"/>
          <w:lang w:val="en-GB"/>
        </w:rPr>
        <w:t>Leithwood</w:t>
      </w:r>
      <w:proofErr w:type="spellEnd"/>
      <w:r w:rsidRPr="00E81356">
        <w:rPr>
          <w:rFonts w:asciiTheme="majorBidi" w:hAnsiTheme="majorBidi" w:cstheme="majorBidi"/>
          <w:sz w:val="24"/>
          <w:szCs w:val="24"/>
          <w:shd w:val="clear" w:color="auto" w:fill="FFFFFF"/>
          <w:lang w:val="en-GB"/>
        </w:rPr>
        <w:t xml:space="preserve">, K., </w:t>
      </w:r>
      <w:r w:rsidR="009F798B" w:rsidRPr="00E81356">
        <w:rPr>
          <w:rFonts w:asciiTheme="majorBidi" w:hAnsiTheme="majorBidi" w:cstheme="majorBidi"/>
          <w:sz w:val="24"/>
          <w:szCs w:val="24"/>
          <w:shd w:val="clear" w:color="auto" w:fill="FFFFFF"/>
          <w:lang w:val="en-GB"/>
        </w:rPr>
        <w:t>and</w:t>
      </w:r>
      <w:r w:rsidRPr="00E81356">
        <w:rPr>
          <w:rFonts w:asciiTheme="majorBidi" w:hAnsiTheme="majorBidi" w:cstheme="majorBidi"/>
          <w:sz w:val="24"/>
          <w:szCs w:val="24"/>
          <w:shd w:val="clear" w:color="auto" w:fill="FFFFFF"/>
          <w:lang w:val="en-GB"/>
        </w:rPr>
        <w:t xml:space="preserve"> </w:t>
      </w:r>
      <w:r w:rsidR="009F798B" w:rsidRPr="00E81356">
        <w:rPr>
          <w:rFonts w:asciiTheme="majorBidi" w:hAnsiTheme="majorBidi" w:cstheme="majorBidi"/>
          <w:sz w:val="24"/>
          <w:szCs w:val="24"/>
          <w:shd w:val="clear" w:color="auto" w:fill="FFFFFF"/>
          <w:lang w:val="en-GB"/>
        </w:rPr>
        <w:t xml:space="preserve">D. </w:t>
      </w:r>
      <w:proofErr w:type="spellStart"/>
      <w:r w:rsidRPr="00E81356">
        <w:rPr>
          <w:rFonts w:asciiTheme="majorBidi" w:hAnsiTheme="majorBidi" w:cstheme="majorBidi"/>
          <w:sz w:val="24"/>
          <w:szCs w:val="24"/>
          <w:shd w:val="clear" w:color="auto" w:fill="FFFFFF"/>
          <w:lang w:val="en-GB"/>
        </w:rPr>
        <w:t>Jantzi</w:t>
      </w:r>
      <w:proofErr w:type="spellEnd"/>
      <w:r w:rsidR="009F798B" w:rsidRPr="00E81356">
        <w:rPr>
          <w:rFonts w:asciiTheme="majorBidi" w:hAnsiTheme="majorBidi" w:cstheme="majorBidi"/>
          <w:sz w:val="24"/>
          <w:szCs w:val="24"/>
          <w:shd w:val="clear" w:color="auto" w:fill="FFFFFF"/>
          <w:lang w:val="en-GB"/>
        </w:rPr>
        <w:t>. 2009</w:t>
      </w:r>
      <w:r w:rsidRPr="00E81356">
        <w:rPr>
          <w:rFonts w:asciiTheme="majorBidi" w:hAnsiTheme="majorBidi" w:cstheme="majorBidi"/>
          <w:sz w:val="24"/>
          <w:szCs w:val="24"/>
          <w:shd w:val="clear" w:color="auto" w:fill="FFFFFF"/>
          <w:lang w:val="en-GB"/>
        </w:rPr>
        <w:t xml:space="preserve">. </w:t>
      </w:r>
      <w:r w:rsidR="009F798B" w:rsidRPr="00E81356">
        <w:rPr>
          <w:rFonts w:asciiTheme="majorBidi" w:hAnsiTheme="majorBidi" w:cstheme="majorBidi"/>
          <w:sz w:val="24"/>
          <w:szCs w:val="24"/>
          <w:shd w:val="clear" w:color="auto" w:fill="FFFFFF"/>
          <w:lang w:val="en-GB"/>
        </w:rPr>
        <w:t>“</w:t>
      </w:r>
      <w:r w:rsidR="00A97735" w:rsidRPr="00A97735">
        <w:rPr>
          <w:rFonts w:asciiTheme="majorBidi" w:hAnsiTheme="majorBidi" w:cstheme="majorBidi"/>
          <w:sz w:val="24"/>
          <w:szCs w:val="24"/>
          <w:shd w:val="clear" w:color="auto" w:fill="FFFFFF"/>
          <w:lang w:val="en-GB"/>
        </w:rPr>
        <w:t xml:space="preserve">A Review of Empirical Evidence </w:t>
      </w:r>
      <w:proofErr w:type="gramStart"/>
      <w:r w:rsidR="00A97735" w:rsidRPr="00A97735">
        <w:rPr>
          <w:rFonts w:asciiTheme="majorBidi" w:hAnsiTheme="majorBidi" w:cstheme="majorBidi"/>
          <w:sz w:val="24"/>
          <w:szCs w:val="24"/>
          <w:shd w:val="clear" w:color="auto" w:fill="FFFFFF"/>
          <w:lang w:val="en-GB"/>
        </w:rPr>
        <w:t>About</w:t>
      </w:r>
      <w:proofErr w:type="gramEnd"/>
      <w:r w:rsidR="00A97735" w:rsidRPr="00A97735">
        <w:rPr>
          <w:rFonts w:asciiTheme="majorBidi" w:hAnsiTheme="majorBidi" w:cstheme="majorBidi"/>
          <w:sz w:val="24"/>
          <w:szCs w:val="24"/>
          <w:shd w:val="clear" w:color="auto" w:fill="FFFFFF"/>
          <w:lang w:val="en-GB"/>
        </w:rPr>
        <w:t xml:space="preserve"> School Size Effects: A Policy Perspective</w:t>
      </w:r>
      <w:r w:rsidRPr="00E81356">
        <w:rPr>
          <w:rFonts w:asciiTheme="majorBidi" w:hAnsiTheme="majorBidi" w:cstheme="majorBidi"/>
          <w:sz w:val="24"/>
          <w:szCs w:val="24"/>
          <w:shd w:val="clear" w:color="auto" w:fill="FFFFFF"/>
          <w:lang w:val="en-GB"/>
        </w:rPr>
        <w:t>.</w:t>
      </w:r>
      <w:r w:rsidR="009F798B" w:rsidRPr="00E81356">
        <w:rPr>
          <w:rFonts w:asciiTheme="majorBidi" w:hAnsiTheme="majorBidi" w:cstheme="majorBidi"/>
          <w:sz w:val="24"/>
          <w:szCs w:val="24"/>
          <w:shd w:val="clear" w:color="auto" w:fill="FFFFFF"/>
          <w:lang w:val="en-GB"/>
        </w:rPr>
        <w:t>”</w:t>
      </w:r>
      <w:r w:rsidRPr="00E81356">
        <w:rPr>
          <w:rFonts w:asciiTheme="majorBidi" w:hAnsiTheme="majorBidi" w:cstheme="majorBidi"/>
          <w:sz w:val="24"/>
          <w:szCs w:val="24"/>
          <w:shd w:val="clear" w:color="auto" w:fill="FFFFFF"/>
          <w:lang w:val="en-GB"/>
        </w:rPr>
        <w:t> </w:t>
      </w:r>
      <w:r w:rsidR="00A97735">
        <w:rPr>
          <w:rFonts w:asciiTheme="majorBidi" w:hAnsiTheme="majorBidi" w:cstheme="majorBidi"/>
          <w:i/>
          <w:iCs/>
          <w:sz w:val="24"/>
          <w:szCs w:val="24"/>
          <w:shd w:val="clear" w:color="auto" w:fill="FFFFFF"/>
          <w:lang w:val="en-GB"/>
        </w:rPr>
        <w:t>Review of E</w:t>
      </w:r>
      <w:r w:rsidRPr="00E81356">
        <w:rPr>
          <w:rFonts w:asciiTheme="majorBidi" w:hAnsiTheme="majorBidi" w:cstheme="majorBidi"/>
          <w:i/>
          <w:iCs/>
          <w:sz w:val="24"/>
          <w:szCs w:val="24"/>
          <w:shd w:val="clear" w:color="auto" w:fill="FFFFFF"/>
          <w:lang w:val="en-GB"/>
        </w:rPr>
        <w:t xml:space="preserve">ducational </w:t>
      </w:r>
      <w:r w:rsidR="00A97735">
        <w:rPr>
          <w:rFonts w:asciiTheme="majorBidi" w:hAnsiTheme="majorBidi" w:cstheme="majorBidi"/>
          <w:i/>
          <w:iCs/>
          <w:sz w:val="24"/>
          <w:szCs w:val="24"/>
          <w:shd w:val="clear" w:color="auto" w:fill="FFFFFF"/>
          <w:lang w:val="en-GB"/>
        </w:rPr>
        <w:t>R</w:t>
      </w:r>
      <w:r w:rsidRPr="00E81356">
        <w:rPr>
          <w:rFonts w:asciiTheme="majorBidi" w:hAnsiTheme="majorBidi" w:cstheme="majorBidi"/>
          <w:i/>
          <w:iCs/>
          <w:sz w:val="24"/>
          <w:szCs w:val="24"/>
          <w:shd w:val="clear" w:color="auto" w:fill="FFFFFF"/>
          <w:lang w:val="en-GB"/>
        </w:rPr>
        <w:t>esearch</w:t>
      </w:r>
      <w:r w:rsidRPr="00E81356">
        <w:rPr>
          <w:rFonts w:asciiTheme="majorBidi" w:hAnsiTheme="majorBidi" w:cstheme="majorBidi"/>
          <w:sz w:val="24"/>
          <w:szCs w:val="24"/>
          <w:shd w:val="clear" w:color="auto" w:fill="FFFFFF"/>
          <w:lang w:val="en-GB"/>
        </w:rPr>
        <w:t> </w:t>
      </w:r>
      <w:r w:rsidRPr="00E81356">
        <w:rPr>
          <w:rFonts w:asciiTheme="majorBidi" w:hAnsiTheme="majorBidi" w:cstheme="majorBidi"/>
          <w:iCs/>
          <w:sz w:val="24"/>
          <w:szCs w:val="24"/>
          <w:shd w:val="clear" w:color="auto" w:fill="FFFFFF"/>
          <w:lang w:val="en-GB"/>
        </w:rPr>
        <w:t>79</w:t>
      </w:r>
      <w:r w:rsidR="009F798B" w:rsidRPr="00E81356">
        <w:rPr>
          <w:rFonts w:asciiTheme="majorBidi" w:hAnsiTheme="majorBidi" w:cstheme="majorBidi"/>
          <w:sz w:val="24"/>
          <w:szCs w:val="24"/>
          <w:shd w:val="clear" w:color="auto" w:fill="FFFFFF"/>
          <w:lang w:val="en-GB"/>
        </w:rPr>
        <w:t xml:space="preserve"> </w:t>
      </w:r>
      <w:r w:rsidRPr="00E81356">
        <w:rPr>
          <w:rFonts w:asciiTheme="majorBidi" w:hAnsiTheme="majorBidi" w:cstheme="majorBidi"/>
          <w:sz w:val="24"/>
          <w:szCs w:val="24"/>
          <w:shd w:val="clear" w:color="auto" w:fill="FFFFFF"/>
          <w:lang w:val="en-GB"/>
        </w:rPr>
        <w:t>(1)</w:t>
      </w:r>
      <w:r w:rsidR="009F798B" w:rsidRPr="00E81356">
        <w:rPr>
          <w:rFonts w:asciiTheme="majorBidi" w:hAnsiTheme="majorBidi" w:cstheme="majorBidi"/>
          <w:sz w:val="24"/>
          <w:szCs w:val="24"/>
          <w:shd w:val="clear" w:color="auto" w:fill="FFFFFF"/>
          <w:lang w:val="en-GB"/>
        </w:rPr>
        <w:t>:</w:t>
      </w:r>
      <w:r w:rsidRPr="00E81356">
        <w:rPr>
          <w:rFonts w:asciiTheme="majorBidi" w:hAnsiTheme="majorBidi" w:cstheme="majorBidi"/>
          <w:sz w:val="24"/>
          <w:szCs w:val="24"/>
          <w:shd w:val="clear" w:color="auto" w:fill="FFFFFF"/>
          <w:lang w:val="en-GB"/>
        </w:rPr>
        <w:t xml:space="preserve"> 464-490. </w:t>
      </w:r>
      <w:proofErr w:type="gramStart"/>
      <w:r w:rsidR="009F798B" w:rsidRPr="00E81356">
        <w:rPr>
          <w:rFonts w:asciiTheme="majorBidi" w:hAnsiTheme="majorBidi" w:cstheme="majorBidi"/>
          <w:sz w:val="24"/>
          <w:szCs w:val="24"/>
          <w:shd w:val="clear" w:color="auto" w:fill="FFFFFF"/>
          <w:lang w:val="en-GB"/>
        </w:rPr>
        <w:t>doi:</w:t>
      </w:r>
      <w:proofErr w:type="gramEnd"/>
      <w:r w:rsidRPr="00E81356">
        <w:rPr>
          <w:rFonts w:asciiTheme="majorBidi" w:hAnsiTheme="majorBidi" w:cstheme="majorBidi"/>
          <w:sz w:val="24"/>
          <w:szCs w:val="24"/>
          <w:shd w:val="clear" w:color="auto" w:fill="FFFFFF"/>
          <w:lang w:val="en-GB"/>
        </w:rPr>
        <w:t>10.3102/0034654308326158</w:t>
      </w:r>
      <w:r w:rsidR="00E81356" w:rsidRPr="00E81356">
        <w:rPr>
          <w:rFonts w:asciiTheme="majorBidi" w:hAnsiTheme="majorBidi" w:cstheme="majorBidi"/>
          <w:sz w:val="24"/>
          <w:szCs w:val="24"/>
          <w:shd w:val="clear" w:color="auto" w:fill="FFFFFF"/>
          <w:lang w:val="en-GB"/>
        </w:rPr>
        <w:t>.</w:t>
      </w:r>
    </w:p>
    <w:p w14:paraId="6B871AF6" w14:textId="6A7F5748" w:rsidR="00853A1A" w:rsidRPr="00E81356" w:rsidRDefault="00853A1A" w:rsidP="00C03772">
      <w:pPr>
        <w:spacing w:after="0" w:line="480" w:lineRule="auto"/>
        <w:ind w:left="720" w:hanging="720"/>
        <w:rPr>
          <w:rFonts w:asciiTheme="majorBidi" w:hAnsiTheme="majorBidi" w:cstheme="majorBidi"/>
          <w:sz w:val="24"/>
          <w:szCs w:val="24"/>
          <w:shd w:val="clear" w:color="auto" w:fill="FFFFFF"/>
          <w:lang w:val="en-GB"/>
        </w:rPr>
      </w:pPr>
      <w:proofErr w:type="spellStart"/>
      <w:r>
        <w:rPr>
          <w:rFonts w:asciiTheme="majorBidi" w:hAnsiTheme="majorBidi" w:cstheme="majorBidi"/>
          <w:sz w:val="24"/>
          <w:szCs w:val="24"/>
          <w:shd w:val="clear" w:color="auto" w:fill="FFFFFF"/>
          <w:lang w:val="en-GB"/>
        </w:rPr>
        <w:t>Lenhard</w:t>
      </w:r>
      <w:proofErr w:type="spellEnd"/>
      <w:r>
        <w:rPr>
          <w:rFonts w:asciiTheme="majorBidi" w:hAnsiTheme="majorBidi" w:cstheme="majorBidi"/>
          <w:sz w:val="24"/>
          <w:szCs w:val="24"/>
          <w:shd w:val="clear" w:color="auto" w:fill="FFFFFF"/>
          <w:lang w:val="en-GB"/>
        </w:rPr>
        <w:t xml:space="preserve">, W., and </w:t>
      </w:r>
      <w:proofErr w:type="spellStart"/>
      <w:r>
        <w:rPr>
          <w:rFonts w:asciiTheme="majorBidi" w:hAnsiTheme="majorBidi" w:cstheme="majorBidi"/>
          <w:sz w:val="24"/>
          <w:szCs w:val="24"/>
          <w:shd w:val="clear" w:color="auto" w:fill="FFFFFF"/>
          <w:lang w:val="en-GB"/>
        </w:rPr>
        <w:t>Lenhard</w:t>
      </w:r>
      <w:proofErr w:type="spellEnd"/>
      <w:r>
        <w:rPr>
          <w:rFonts w:asciiTheme="majorBidi" w:hAnsiTheme="majorBidi" w:cstheme="majorBidi"/>
          <w:sz w:val="24"/>
          <w:szCs w:val="24"/>
          <w:shd w:val="clear" w:color="auto" w:fill="FFFFFF"/>
          <w:lang w:val="en-GB"/>
        </w:rPr>
        <w:t>, A.</w:t>
      </w:r>
      <w:r w:rsidR="00DF7445">
        <w:rPr>
          <w:rFonts w:asciiTheme="majorBidi" w:hAnsiTheme="majorBidi" w:cstheme="majorBidi"/>
          <w:sz w:val="24"/>
          <w:szCs w:val="24"/>
          <w:shd w:val="clear" w:color="auto" w:fill="FFFFFF"/>
          <w:lang w:val="en-GB"/>
        </w:rPr>
        <w:t xml:space="preserve"> 2016.</w:t>
      </w:r>
      <w:r>
        <w:rPr>
          <w:rFonts w:asciiTheme="majorBidi" w:hAnsiTheme="majorBidi" w:cstheme="majorBidi"/>
          <w:sz w:val="24"/>
          <w:szCs w:val="24"/>
          <w:shd w:val="clear" w:color="auto" w:fill="FFFFFF"/>
          <w:lang w:val="en-GB"/>
        </w:rPr>
        <w:t xml:space="preserve"> “Calculation of Effect Sizes.” </w:t>
      </w:r>
      <w:proofErr w:type="spellStart"/>
      <w:r w:rsidRPr="00853A1A">
        <w:rPr>
          <w:rFonts w:asciiTheme="majorBidi" w:hAnsiTheme="majorBidi" w:cstheme="majorBidi"/>
          <w:sz w:val="24"/>
          <w:szCs w:val="24"/>
          <w:shd w:val="clear" w:color="auto" w:fill="FFFFFF"/>
          <w:lang w:val="en-GB"/>
        </w:rPr>
        <w:t>Dettelbach</w:t>
      </w:r>
      <w:proofErr w:type="spellEnd"/>
      <w:r w:rsidRPr="00853A1A">
        <w:rPr>
          <w:rFonts w:asciiTheme="majorBidi" w:hAnsiTheme="majorBidi" w:cstheme="majorBidi"/>
          <w:sz w:val="24"/>
          <w:szCs w:val="24"/>
          <w:shd w:val="clear" w:color="auto" w:fill="FFFFFF"/>
          <w:lang w:val="en-GB"/>
        </w:rPr>
        <w:t xml:space="preserve"> (Germany): </w:t>
      </w:r>
      <w:proofErr w:type="spellStart"/>
      <w:r w:rsidRPr="00853A1A">
        <w:rPr>
          <w:rFonts w:asciiTheme="majorBidi" w:hAnsiTheme="majorBidi" w:cstheme="majorBidi"/>
          <w:sz w:val="24"/>
          <w:szCs w:val="24"/>
          <w:shd w:val="clear" w:color="auto" w:fill="FFFFFF"/>
          <w:lang w:val="en-GB"/>
        </w:rPr>
        <w:t>Psychometrica</w:t>
      </w:r>
      <w:proofErr w:type="spellEnd"/>
      <w:r w:rsidRPr="00853A1A">
        <w:rPr>
          <w:rFonts w:asciiTheme="majorBidi" w:hAnsiTheme="majorBidi" w:cstheme="majorBidi"/>
          <w:sz w:val="24"/>
          <w:szCs w:val="24"/>
          <w:shd w:val="clear" w:color="auto" w:fill="FFFFFF"/>
          <w:lang w:val="en-GB"/>
        </w:rPr>
        <w:t>.</w:t>
      </w:r>
      <w:r>
        <w:rPr>
          <w:rFonts w:asciiTheme="majorBidi" w:hAnsiTheme="majorBidi" w:cstheme="majorBidi"/>
          <w:sz w:val="24"/>
          <w:szCs w:val="24"/>
          <w:shd w:val="clear" w:color="auto" w:fill="FFFFFF"/>
          <w:lang w:val="en-GB"/>
        </w:rPr>
        <w:t xml:space="preserve"> Accessed September 30 2019. </w:t>
      </w:r>
      <w:r w:rsidRPr="00853A1A">
        <w:rPr>
          <w:rFonts w:asciiTheme="majorBidi" w:hAnsiTheme="majorBidi" w:cstheme="majorBidi"/>
          <w:sz w:val="24"/>
          <w:szCs w:val="24"/>
          <w:shd w:val="clear" w:color="auto" w:fill="FFFFFF"/>
          <w:lang w:val="en-GB"/>
        </w:rPr>
        <w:t>https://www.psychometrica.de/effect_size.html</w:t>
      </w:r>
    </w:p>
    <w:p w14:paraId="5F8F3B2C" w14:textId="2DD87F01" w:rsidR="00F8163D" w:rsidRPr="00586280" w:rsidRDefault="00EE219C" w:rsidP="00C03772">
      <w:pPr>
        <w:spacing w:after="0" w:line="480" w:lineRule="auto"/>
        <w:ind w:left="720" w:hanging="720"/>
        <w:rPr>
          <w:rFonts w:asciiTheme="majorBidi" w:hAnsiTheme="majorBidi" w:cstheme="majorBidi"/>
          <w:sz w:val="24"/>
          <w:szCs w:val="24"/>
          <w:shd w:val="clear" w:color="auto" w:fill="FFFFFF"/>
          <w:lang w:val="en-GB"/>
        </w:rPr>
      </w:pPr>
      <w:proofErr w:type="spellStart"/>
      <w:r w:rsidRPr="00586280">
        <w:rPr>
          <w:rFonts w:asciiTheme="majorBidi" w:hAnsiTheme="majorBidi" w:cstheme="majorBidi"/>
          <w:sz w:val="24"/>
          <w:szCs w:val="24"/>
          <w:shd w:val="clear" w:color="auto" w:fill="FFFFFF"/>
          <w:lang w:val="en-GB"/>
        </w:rPr>
        <w:t>Marjoribanks</w:t>
      </w:r>
      <w:proofErr w:type="spellEnd"/>
      <w:r w:rsidRPr="00586280">
        <w:rPr>
          <w:rFonts w:asciiTheme="majorBidi" w:hAnsiTheme="majorBidi" w:cstheme="majorBidi"/>
          <w:sz w:val="24"/>
          <w:szCs w:val="24"/>
          <w:shd w:val="clear" w:color="auto" w:fill="FFFFFF"/>
          <w:lang w:val="en-GB"/>
        </w:rPr>
        <w:t>, K. 2002</w:t>
      </w:r>
      <w:r w:rsidR="00F8163D" w:rsidRPr="00586280">
        <w:rPr>
          <w:rFonts w:asciiTheme="majorBidi" w:hAnsiTheme="majorBidi" w:cstheme="majorBidi"/>
          <w:sz w:val="24"/>
          <w:szCs w:val="24"/>
          <w:shd w:val="clear" w:color="auto" w:fill="FFFFFF"/>
          <w:lang w:val="en-GB"/>
        </w:rPr>
        <w:t xml:space="preserve">. </w:t>
      </w:r>
      <w:r w:rsidRPr="00586280">
        <w:rPr>
          <w:rFonts w:asciiTheme="majorBidi" w:hAnsiTheme="majorBidi" w:cstheme="majorBidi"/>
          <w:sz w:val="24"/>
          <w:szCs w:val="24"/>
          <w:shd w:val="clear" w:color="auto" w:fill="FFFFFF"/>
          <w:lang w:val="en-GB"/>
        </w:rPr>
        <w:t>“</w:t>
      </w:r>
      <w:r w:rsidR="00CF4488" w:rsidRPr="00CF4488">
        <w:rPr>
          <w:rFonts w:asciiTheme="majorBidi" w:hAnsiTheme="majorBidi" w:cstheme="majorBidi"/>
          <w:sz w:val="24"/>
          <w:szCs w:val="24"/>
          <w:shd w:val="clear" w:color="auto" w:fill="FFFFFF"/>
          <w:lang w:val="en-GB"/>
        </w:rPr>
        <w:t>Family Background, Individual and Environmental Influences on Adolescents' Aspirations</w:t>
      </w:r>
      <w:r w:rsidR="00F8163D" w:rsidRPr="00586280">
        <w:rPr>
          <w:rFonts w:asciiTheme="majorBidi" w:hAnsiTheme="majorBidi" w:cstheme="majorBidi"/>
          <w:sz w:val="24"/>
          <w:szCs w:val="24"/>
          <w:shd w:val="clear" w:color="auto" w:fill="FFFFFF"/>
          <w:lang w:val="en-GB"/>
        </w:rPr>
        <w:t>.</w:t>
      </w:r>
      <w:r w:rsidRPr="00586280">
        <w:rPr>
          <w:rFonts w:asciiTheme="majorBidi" w:hAnsiTheme="majorBidi" w:cstheme="majorBidi"/>
          <w:sz w:val="24"/>
          <w:szCs w:val="24"/>
          <w:shd w:val="clear" w:color="auto" w:fill="FFFFFF"/>
          <w:lang w:val="en-GB"/>
        </w:rPr>
        <w:t>”</w:t>
      </w:r>
      <w:r w:rsidR="00F8163D" w:rsidRPr="00586280">
        <w:rPr>
          <w:rFonts w:asciiTheme="majorBidi" w:hAnsiTheme="majorBidi" w:cstheme="majorBidi"/>
          <w:sz w:val="24"/>
          <w:szCs w:val="24"/>
          <w:shd w:val="clear" w:color="auto" w:fill="FFFFFF"/>
          <w:lang w:val="en-GB"/>
        </w:rPr>
        <w:t> </w:t>
      </w:r>
      <w:r w:rsidR="00F8163D" w:rsidRPr="00586280">
        <w:rPr>
          <w:rFonts w:asciiTheme="majorBidi" w:hAnsiTheme="majorBidi" w:cstheme="majorBidi"/>
          <w:i/>
          <w:iCs/>
          <w:sz w:val="24"/>
          <w:szCs w:val="24"/>
          <w:shd w:val="clear" w:color="auto" w:fill="FFFFFF"/>
          <w:lang w:val="en-GB"/>
        </w:rPr>
        <w:t xml:space="preserve">Educational </w:t>
      </w:r>
      <w:r w:rsidR="007C377B">
        <w:rPr>
          <w:rFonts w:asciiTheme="majorBidi" w:hAnsiTheme="majorBidi" w:cstheme="majorBidi"/>
          <w:i/>
          <w:iCs/>
          <w:sz w:val="24"/>
          <w:szCs w:val="24"/>
          <w:shd w:val="clear" w:color="auto" w:fill="FFFFFF"/>
          <w:lang w:val="en-GB"/>
        </w:rPr>
        <w:t>S</w:t>
      </w:r>
      <w:r w:rsidR="00F8163D" w:rsidRPr="00586280">
        <w:rPr>
          <w:rFonts w:asciiTheme="majorBidi" w:hAnsiTheme="majorBidi" w:cstheme="majorBidi"/>
          <w:i/>
          <w:iCs/>
          <w:sz w:val="24"/>
          <w:szCs w:val="24"/>
          <w:shd w:val="clear" w:color="auto" w:fill="FFFFFF"/>
          <w:lang w:val="en-GB"/>
        </w:rPr>
        <w:t>tudies</w:t>
      </w:r>
      <w:r w:rsidR="00F8163D" w:rsidRPr="00586280">
        <w:rPr>
          <w:rFonts w:asciiTheme="majorBidi" w:hAnsiTheme="majorBidi" w:cstheme="majorBidi"/>
          <w:sz w:val="24"/>
          <w:szCs w:val="24"/>
          <w:shd w:val="clear" w:color="auto" w:fill="FFFFFF"/>
          <w:lang w:val="en-GB"/>
        </w:rPr>
        <w:t> </w:t>
      </w:r>
      <w:r w:rsidR="00F8163D" w:rsidRPr="00586280">
        <w:rPr>
          <w:rFonts w:asciiTheme="majorBidi" w:hAnsiTheme="majorBidi" w:cstheme="majorBidi"/>
          <w:iCs/>
          <w:sz w:val="24"/>
          <w:szCs w:val="24"/>
          <w:shd w:val="clear" w:color="auto" w:fill="FFFFFF"/>
          <w:lang w:val="en-GB"/>
        </w:rPr>
        <w:t>28</w:t>
      </w:r>
      <w:r w:rsidRPr="00586280">
        <w:rPr>
          <w:rFonts w:asciiTheme="majorBidi" w:hAnsiTheme="majorBidi" w:cstheme="majorBidi"/>
          <w:sz w:val="24"/>
          <w:szCs w:val="24"/>
          <w:shd w:val="clear" w:color="auto" w:fill="FFFFFF"/>
          <w:lang w:val="en-GB"/>
        </w:rPr>
        <w:t xml:space="preserve"> </w:t>
      </w:r>
      <w:r w:rsidR="00F8163D" w:rsidRPr="00586280">
        <w:rPr>
          <w:rFonts w:asciiTheme="majorBidi" w:hAnsiTheme="majorBidi" w:cstheme="majorBidi"/>
          <w:sz w:val="24"/>
          <w:szCs w:val="24"/>
          <w:shd w:val="clear" w:color="auto" w:fill="FFFFFF"/>
          <w:lang w:val="en-GB"/>
        </w:rPr>
        <w:t>(1)</w:t>
      </w:r>
      <w:r w:rsidRPr="00586280">
        <w:rPr>
          <w:rFonts w:asciiTheme="majorBidi" w:hAnsiTheme="majorBidi" w:cstheme="majorBidi"/>
          <w:sz w:val="24"/>
          <w:szCs w:val="24"/>
          <w:shd w:val="clear" w:color="auto" w:fill="FFFFFF"/>
          <w:lang w:val="en-GB"/>
        </w:rPr>
        <w:t>:</w:t>
      </w:r>
      <w:r w:rsidR="00F8163D" w:rsidRPr="00586280">
        <w:rPr>
          <w:rFonts w:asciiTheme="majorBidi" w:hAnsiTheme="majorBidi" w:cstheme="majorBidi"/>
          <w:sz w:val="24"/>
          <w:szCs w:val="24"/>
          <w:shd w:val="clear" w:color="auto" w:fill="FFFFFF"/>
          <w:lang w:val="en-GB"/>
        </w:rPr>
        <w:t xml:space="preserve"> 33-46. </w:t>
      </w:r>
      <w:proofErr w:type="gramStart"/>
      <w:r w:rsidRPr="00586280">
        <w:rPr>
          <w:rFonts w:asciiTheme="majorBidi" w:hAnsiTheme="majorBidi" w:cstheme="majorBidi"/>
          <w:sz w:val="24"/>
          <w:szCs w:val="24"/>
          <w:shd w:val="clear" w:color="auto" w:fill="FFFFFF"/>
          <w:lang w:val="en-GB"/>
        </w:rPr>
        <w:t>doi:</w:t>
      </w:r>
      <w:proofErr w:type="gramEnd"/>
      <w:r w:rsidR="00F8163D" w:rsidRPr="00586280">
        <w:rPr>
          <w:rFonts w:asciiTheme="majorBidi" w:hAnsiTheme="majorBidi" w:cstheme="majorBidi"/>
          <w:sz w:val="24"/>
          <w:szCs w:val="24"/>
          <w:shd w:val="clear" w:color="auto" w:fill="FFFFFF"/>
          <w:lang w:val="en-GB"/>
        </w:rPr>
        <w:t>10.1080/03055690120090361</w:t>
      </w:r>
      <w:r w:rsidR="00DF7929" w:rsidRPr="00586280">
        <w:rPr>
          <w:rFonts w:asciiTheme="majorBidi" w:hAnsiTheme="majorBidi" w:cstheme="majorBidi"/>
          <w:sz w:val="24"/>
          <w:szCs w:val="24"/>
          <w:shd w:val="clear" w:color="auto" w:fill="FFFFFF"/>
          <w:lang w:val="en-GB"/>
        </w:rPr>
        <w:t>.</w:t>
      </w:r>
    </w:p>
    <w:p w14:paraId="14DDE792" w14:textId="627FD347" w:rsidR="00F8163D" w:rsidRPr="00D162F3" w:rsidRDefault="001631F7" w:rsidP="00C03772">
      <w:pPr>
        <w:spacing w:after="0" w:line="480" w:lineRule="auto"/>
        <w:ind w:left="720" w:hanging="720"/>
        <w:rPr>
          <w:rFonts w:asciiTheme="majorBidi" w:hAnsiTheme="majorBidi" w:cstheme="majorBidi"/>
          <w:sz w:val="24"/>
          <w:szCs w:val="24"/>
          <w:shd w:val="clear" w:color="auto" w:fill="FFFFFF"/>
          <w:lang w:val="en-GB"/>
        </w:rPr>
      </w:pPr>
      <w:r w:rsidRPr="00D162F3">
        <w:rPr>
          <w:rFonts w:asciiTheme="majorBidi" w:hAnsiTheme="majorBidi" w:cstheme="majorBidi"/>
          <w:sz w:val="24"/>
          <w:szCs w:val="24"/>
          <w:shd w:val="clear" w:color="auto" w:fill="FFFFFF"/>
          <w:lang w:val="en-GB"/>
        </w:rPr>
        <w:t>Mau, W. C., and</w:t>
      </w:r>
      <w:r w:rsidR="00F8163D" w:rsidRPr="00D162F3">
        <w:rPr>
          <w:rFonts w:asciiTheme="majorBidi" w:hAnsiTheme="majorBidi" w:cstheme="majorBidi"/>
          <w:sz w:val="24"/>
          <w:szCs w:val="24"/>
          <w:shd w:val="clear" w:color="auto" w:fill="FFFFFF"/>
          <w:lang w:val="en-GB"/>
        </w:rPr>
        <w:t xml:space="preserve"> </w:t>
      </w:r>
      <w:r w:rsidRPr="00D162F3">
        <w:rPr>
          <w:rFonts w:asciiTheme="majorBidi" w:hAnsiTheme="majorBidi" w:cstheme="majorBidi"/>
          <w:sz w:val="24"/>
          <w:szCs w:val="24"/>
          <w:shd w:val="clear" w:color="auto" w:fill="FFFFFF"/>
          <w:lang w:val="en-GB"/>
        </w:rPr>
        <w:t xml:space="preserve">L. H. </w:t>
      </w:r>
      <w:proofErr w:type="spellStart"/>
      <w:r w:rsidR="00F8163D" w:rsidRPr="00D162F3">
        <w:rPr>
          <w:rFonts w:asciiTheme="majorBidi" w:hAnsiTheme="majorBidi" w:cstheme="majorBidi"/>
          <w:sz w:val="24"/>
          <w:szCs w:val="24"/>
          <w:shd w:val="clear" w:color="auto" w:fill="FFFFFF"/>
          <w:lang w:val="en-GB"/>
        </w:rPr>
        <w:t>Bikos</w:t>
      </w:r>
      <w:proofErr w:type="spellEnd"/>
      <w:r w:rsidRPr="00D162F3">
        <w:rPr>
          <w:rFonts w:asciiTheme="majorBidi" w:hAnsiTheme="majorBidi" w:cstheme="majorBidi"/>
          <w:sz w:val="24"/>
          <w:szCs w:val="24"/>
          <w:shd w:val="clear" w:color="auto" w:fill="FFFFFF"/>
          <w:lang w:val="en-GB"/>
        </w:rPr>
        <w:t>. 2000</w:t>
      </w:r>
      <w:r w:rsidR="00F8163D" w:rsidRPr="00D162F3">
        <w:rPr>
          <w:rFonts w:asciiTheme="majorBidi" w:hAnsiTheme="majorBidi" w:cstheme="majorBidi"/>
          <w:sz w:val="24"/>
          <w:szCs w:val="24"/>
          <w:shd w:val="clear" w:color="auto" w:fill="FFFFFF"/>
          <w:lang w:val="en-GB"/>
        </w:rPr>
        <w:t xml:space="preserve">. </w:t>
      </w:r>
      <w:r w:rsidRPr="00D162F3">
        <w:rPr>
          <w:rFonts w:asciiTheme="majorBidi" w:hAnsiTheme="majorBidi" w:cstheme="majorBidi"/>
          <w:sz w:val="24"/>
          <w:szCs w:val="24"/>
          <w:shd w:val="clear" w:color="auto" w:fill="FFFFFF"/>
          <w:lang w:val="en-GB"/>
        </w:rPr>
        <w:t>“</w:t>
      </w:r>
      <w:r w:rsidR="00FE3C09" w:rsidRPr="00FE3C09">
        <w:rPr>
          <w:rFonts w:asciiTheme="majorBidi" w:hAnsiTheme="majorBidi" w:cstheme="majorBidi"/>
          <w:sz w:val="24"/>
          <w:szCs w:val="24"/>
          <w:shd w:val="clear" w:color="auto" w:fill="FFFFFF"/>
          <w:lang w:val="en-GB"/>
        </w:rPr>
        <w:t>Educational and Vocational Aspirations of Minority and Female Students: A Longitudinal Study</w:t>
      </w:r>
      <w:r w:rsidR="00F8163D" w:rsidRPr="00D162F3">
        <w:rPr>
          <w:rFonts w:asciiTheme="majorBidi" w:hAnsiTheme="majorBidi" w:cstheme="majorBidi"/>
          <w:sz w:val="24"/>
          <w:szCs w:val="24"/>
          <w:shd w:val="clear" w:color="auto" w:fill="FFFFFF"/>
          <w:lang w:val="en-GB"/>
        </w:rPr>
        <w:t>.</w:t>
      </w:r>
      <w:r w:rsidRPr="00D162F3">
        <w:rPr>
          <w:rFonts w:asciiTheme="majorBidi" w:hAnsiTheme="majorBidi" w:cstheme="majorBidi"/>
          <w:sz w:val="24"/>
          <w:szCs w:val="24"/>
          <w:shd w:val="clear" w:color="auto" w:fill="FFFFFF"/>
          <w:lang w:val="en-GB"/>
        </w:rPr>
        <w:t>”</w:t>
      </w:r>
      <w:r w:rsidR="00F8163D" w:rsidRPr="00D162F3">
        <w:rPr>
          <w:rFonts w:asciiTheme="majorBidi" w:hAnsiTheme="majorBidi" w:cstheme="majorBidi"/>
          <w:sz w:val="24"/>
          <w:szCs w:val="24"/>
          <w:shd w:val="clear" w:color="auto" w:fill="FFFFFF"/>
          <w:lang w:val="en-GB"/>
        </w:rPr>
        <w:t> </w:t>
      </w:r>
      <w:r w:rsidR="00F8163D" w:rsidRPr="00D162F3">
        <w:rPr>
          <w:rFonts w:asciiTheme="majorBidi" w:hAnsiTheme="majorBidi" w:cstheme="majorBidi"/>
          <w:i/>
          <w:iCs/>
          <w:sz w:val="24"/>
          <w:szCs w:val="24"/>
          <w:shd w:val="clear" w:color="auto" w:fill="FFFFFF"/>
          <w:lang w:val="en-GB"/>
        </w:rPr>
        <w:t xml:space="preserve">Journal of </w:t>
      </w:r>
      <w:proofErr w:type="spellStart"/>
      <w:r w:rsidR="00F8163D" w:rsidRPr="00D162F3">
        <w:rPr>
          <w:rFonts w:asciiTheme="majorBidi" w:hAnsiTheme="majorBidi" w:cstheme="majorBidi"/>
          <w:i/>
          <w:iCs/>
          <w:sz w:val="24"/>
          <w:szCs w:val="24"/>
          <w:shd w:val="clear" w:color="auto" w:fill="FFFFFF"/>
          <w:lang w:val="en-GB"/>
        </w:rPr>
        <w:t>Counseling</w:t>
      </w:r>
      <w:proofErr w:type="spellEnd"/>
      <w:r w:rsidR="00F8163D" w:rsidRPr="00D162F3">
        <w:rPr>
          <w:rFonts w:asciiTheme="majorBidi" w:hAnsiTheme="majorBidi" w:cstheme="majorBidi"/>
          <w:i/>
          <w:iCs/>
          <w:sz w:val="24"/>
          <w:szCs w:val="24"/>
          <w:shd w:val="clear" w:color="auto" w:fill="FFFFFF"/>
          <w:lang w:val="en-GB"/>
        </w:rPr>
        <w:t xml:space="preserve"> &amp; Development</w:t>
      </w:r>
      <w:r w:rsidR="00F8163D" w:rsidRPr="00D162F3">
        <w:rPr>
          <w:rFonts w:asciiTheme="majorBidi" w:hAnsiTheme="majorBidi" w:cstheme="majorBidi"/>
          <w:sz w:val="24"/>
          <w:szCs w:val="24"/>
          <w:shd w:val="clear" w:color="auto" w:fill="FFFFFF"/>
          <w:lang w:val="en-GB"/>
        </w:rPr>
        <w:t> </w:t>
      </w:r>
      <w:r w:rsidR="00F8163D" w:rsidRPr="00D162F3">
        <w:rPr>
          <w:rFonts w:asciiTheme="majorBidi" w:hAnsiTheme="majorBidi" w:cstheme="majorBidi"/>
          <w:iCs/>
          <w:sz w:val="24"/>
          <w:szCs w:val="24"/>
          <w:shd w:val="clear" w:color="auto" w:fill="FFFFFF"/>
          <w:lang w:val="en-GB"/>
        </w:rPr>
        <w:t>78</w:t>
      </w:r>
      <w:r w:rsidRPr="00D162F3">
        <w:rPr>
          <w:rFonts w:asciiTheme="majorBidi" w:hAnsiTheme="majorBidi" w:cstheme="majorBidi"/>
          <w:sz w:val="24"/>
          <w:szCs w:val="24"/>
          <w:shd w:val="clear" w:color="auto" w:fill="FFFFFF"/>
          <w:lang w:val="en-GB"/>
        </w:rPr>
        <w:t xml:space="preserve"> </w:t>
      </w:r>
      <w:r w:rsidR="00F8163D" w:rsidRPr="00D162F3">
        <w:rPr>
          <w:rFonts w:asciiTheme="majorBidi" w:hAnsiTheme="majorBidi" w:cstheme="majorBidi"/>
          <w:sz w:val="24"/>
          <w:szCs w:val="24"/>
          <w:shd w:val="clear" w:color="auto" w:fill="FFFFFF"/>
          <w:lang w:val="en-GB"/>
        </w:rPr>
        <w:t>(2)</w:t>
      </w:r>
      <w:r w:rsidRPr="00D162F3">
        <w:rPr>
          <w:rFonts w:asciiTheme="majorBidi" w:hAnsiTheme="majorBidi" w:cstheme="majorBidi"/>
          <w:sz w:val="24"/>
          <w:szCs w:val="24"/>
          <w:shd w:val="clear" w:color="auto" w:fill="FFFFFF"/>
          <w:lang w:val="en-GB"/>
        </w:rPr>
        <w:t>:</w:t>
      </w:r>
      <w:r w:rsidR="00F8163D" w:rsidRPr="00D162F3">
        <w:rPr>
          <w:rFonts w:asciiTheme="majorBidi" w:hAnsiTheme="majorBidi" w:cstheme="majorBidi"/>
          <w:sz w:val="24"/>
          <w:szCs w:val="24"/>
          <w:shd w:val="clear" w:color="auto" w:fill="FFFFFF"/>
          <w:lang w:val="en-GB"/>
        </w:rPr>
        <w:t xml:space="preserve"> 186-194. </w:t>
      </w:r>
      <w:r w:rsidRPr="00D162F3">
        <w:rPr>
          <w:rFonts w:asciiTheme="majorBidi" w:hAnsiTheme="majorBidi" w:cstheme="majorBidi"/>
          <w:sz w:val="24"/>
          <w:szCs w:val="24"/>
          <w:shd w:val="clear" w:color="auto" w:fill="FFFFFF"/>
          <w:lang w:val="en-GB"/>
        </w:rPr>
        <w:t>doi:</w:t>
      </w:r>
      <w:r w:rsidR="00F8163D" w:rsidRPr="00D162F3">
        <w:rPr>
          <w:rFonts w:asciiTheme="majorBidi" w:hAnsiTheme="majorBidi" w:cstheme="majorBidi"/>
          <w:sz w:val="24"/>
          <w:szCs w:val="24"/>
          <w:shd w:val="clear" w:color="auto" w:fill="FFFFFF"/>
          <w:lang w:val="en-GB"/>
        </w:rPr>
        <w:t>10.1002/j.1556-6676.2000.tb02577.x</w:t>
      </w:r>
      <w:r w:rsidR="00D162F3" w:rsidRPr="00D162F3">
        <w:rPr>
          <w:rFonts w:asciiTheme="majorBidi" w:hAnsiTheme="majorBidi" w:cstheme="majorBidi"/>
          <w:sz w:val="24"/>
          <w:szCs w:val="24"/>
          <w:shd w:val="clear" w:color="auto" w:fill="FFFFFF"/>
          <w:lang w:val="en-GB"/>
        </w:rPr>
        <w:t>.</w:t>
      </w:r>
    </w:p>
    <w:p w14:paraId="200984B0" w14:textId="051A71E5" w:rsidR="00F8163D" w:rsidRPr="00B847BB" w:rsidRDefault="00D61F8B" w:rsidP="00C03772">
      <w:pPr>
        <w:spacing w:after="0" w:line="480" w:lineRule="auto"/>
        <w:ind w:left="720" w:hanging="720"/>
        <w:rPr>
          <w:rFonts w:asciiTheme="majorBidi" w:hAnsiTheme="majorBidi" w:cstheme="majorBidi"/>
          <w:sz w:val="24"/>
          <w:szCs w:val="24"/>
          <w:shd w:val="clear" w:color="auto" w:fill="FFFFFF"/>
          <w:lang w:val="en-GB"/>
        </w:rPr>
      </w:pPr>
      <w:proofErr w:type="spellStart"/>
      <w:r w:rsidRPr="00B847BB">
        <w:rPr>
          <w:rFonts w:asciiTheme="majorBidi" w:hAnsiTheme="majorBidi" w:cstheme="majorBidi"/>
          <w:sz w:val="24"/>
          <w:szCs w:val="24"/>
          <w:shd w:val="clear" w:color="auto" w:fill="FFFFFF"/>
          <w:lang w:val="en-GB"/>
        </w:rPr>
        <w:t>Metheny</w:t>
      </w:r>
      <w:proofErr w:type="spellEnd"/>
      <w:r w:rsidRPr="00B847BB">
        <w:rPr>
          <w:rFonts w:asciiTheme="majorBidi" w:hAnsiTheme="majorBidi" w:cstheme="majorBidi"/>
          <w:sz w:val="24"/>
          <w:szCs w:val="24"/>
          <w:shd w:val="clear" w:color="auto" w:fill="FFFFFF"/>
          <w:lang w:val="en-GB"/>
        </w:rPr>
        <w:t>, J., and</w:t>
      </w:r>
      <w:r w:rsidR="00F8163D" w:rsidRPr="00B847BB">
        <w:rPr>
          <w:rFonts w:asciiTheme="majorBidi" w:hAnsiTheme="majorBidi" w:cstheme="majorBidi"/>
          <w:sz w:val="24"/>
          <w:szCs w:val="24"/>
          <w:shd w:val="clear" w:color="auto" w:fill="FFFFFF"/>
          <w:lang w:val="en-GB"/>
        </w:rPr>
        <w:t xml:space="preserve"> </w:t>
      </w:r>
      <w:r w:rsidRPr="00B847BB">
        <w:rPr>
          <w:rFonts w:asciiTheme="majorBidi" w:hAnsiTheme="majorBidi" w:cstheme="majorBidi"/>
          <w:sz w:val="24"/>
          <w:szCs w:val="24"/>
          <w:shd w:val="clear" w:color="auto" w:fill="FFFFFF"/>
          <w:lang w:val="en-GB"/>
        </w:rPr>
        <w:t xml:space="preserve">E. H. </w:t>
      </w:r>
      <w:proofErr w:type="spellStart"/>
      <w:r w:rsidR="00F8163D" w:rsidRPr="00B847BB">
        <w:rPr>
          <w:rFonts w:asciiTheme="majorBidi" w:hAnsiTheme="majorBidi" w:cstheme="majorBidi"/>
          <w:sz w:val="24"/>
          <w:szCs w:val="24"/>
          <w:shd w:val="clear" w:color="auto" w:fill="FFFFFF"/>
          <w:lang w:val="en-GB"/>
        </w:rPr>
        <w:t>Mcwhirter</w:t>
      </w:r>
      <w:proofErr w:type="spellEnd"/>
      <w:r w:rsidRPr="00B847BB">
        <w:rPr>
          <w:rFonts w:asciiTheme="majorBidi" w:hAnsiTheme="majorBidi" w:cstheme="majorBidi"/>
          <w:sz w:val="24"/>
          <w:szCs w:val="24"/>
          <w:shd w:val="clear" w:color="auto" w:fill="FFFFFF"/>
          <w:lang w:val="en-GB"/>
        </w:rPr>
        <w:t>. 2013</w:t>
      </w:r>
      <w:r w:rsidR="00F8163D" w:rsidRPr="00B847BB">
        <w:rPr>
          <w:rFonts w:asciiTheme="majorBidi" w:hAnsiTheme="majorBidi" w:cstheme="majorBidi"/>
          <w:sz w:val="24"/>
          <w:szCs w:val="24"/>
          <w:shd w:val="clear" w:color="auto" w:fill="FFFFFF"/>
          <w:lang w:val="en-GB"/>
        </w:rPr>
        <w:t xml:space="preserve">. </w:t>
      </w:r>
      <w:r w:rsidRPr="00B847BB">
        <w:rPr>
          <w:rFonts w:asciiTheme="majorBidi" w:hAnsiTheme="majorBidi" w:cstheme="majorBidi"/>
          <w:sz w:val="24"/>
          <w:szCs w:val="24"/>
          <w:shd w:val="clear" w:color="auto" w:fill="FFFFFF"/>
          <w:lang w:val="en-GB"/>
        </w:rPr>
        <w:t>“</w:t>
      </w:r>
      <w:r w:rsidR="00177399" w:rsidRPr="00177399">
        <w:rPr>
          <w:rFonts w:asciiTheme="majorBidi" w:hAnsiTheme="majorBidi" w:cstheme="majorBidi"/>
          <w:sz w:val="24"/>
          <w:szCs w:val="24"/>
          <w:shd w:val="clear" w:color="auto" w:fill="FFFFFF"/>
          <w:lang w:val="en-GB"/>
        </w:rPr>
        <w:t>Contributions of Social Status and Family Support to College Students' Career Decision Self-Efficacy and Outcome Expectations</w:t>
      </w:r>
      <w:r w:rsidR="00F8163D" w:rsidRPr="00B847BB">
        <w:rPr>
          <w:rFonts w:asciiTheme="majorBidi" w:hAnsiTheme="majorBidi" w:cstheme="majorBidi"/>
          <w:sz w:val="24"/>
          <w:szCs w:val="24"/>
          <w:shd w:val="clear" w:color="auto" w:fill="FFFFFF"/>
          <w:lang w:val="en-GB"/>
        </w:rPr>
        <w:t>.</w:t>
      </w:r>
      <w:r w:rsidRPr="00B847BB">
        <w:rPr>
          <w:rFonts w:asciiTheme="majorBidi" w:hAnsiTheme="majorBidi" w:cstheme="majorBidi"/>
          <w:sz w:val="24"/>
          <w:szCs w:val="24"/>
          <w:shd w:val="clear" w:color="auto" w:fill="FFFFFF"/>
          <w:lang w:val="en-GB"/>
        </w:rPr>
        <w:t>”</w:t>
      </w:r>
      <w:r w:rsidR="00F8163D" w:rsidRPr="00B847BB">
        <w:rPr>
          <w:rFonts w:asciiTheme="majorBidi" w:hAnsiTheme="majorBidi" w:cstheme="majorBidi"/>
          <w:sz w:val="24"/>
          <w:szCs w:val="24"/>
          <w:shd w:val="clear" w:color="auto" w:fill="FFFFFF"/>
          <w:lang w:val="en-GB"/>
        </w:rPr>
        <w:t> </w:t>
      </w:r>
      <w:r w:rsidR="00F8163D" w:rsidRPr="00B847BB">
        <w:rPr>
          <w:rFonts w:asciiTheme="majorBidi" w:hAnsiTheme="majorBidi" w:cstheme="majorBidi"/>
          <w:i/>
          <w:iCs/>
          <w:sz w:val="24"/>
          <w:szCs w:val="24"/>
          <w:shd w:val="clear" w:color="auto" w:fill="FFFFFF"/>
          <w:lang w:val="en-GB"/>
        </w:rPr>
        <w:t>Journal of Career Assessment</w:t>
      </w:r>
      <w:r w:rsidR="00F8163D" w:rsidRPr="00B847BB">
        <w:rPr>
          <w:rFonts w:asciiTheme="majorBidi" w:hAnsiTheme="majorBidi" w:cstheme="majorBidi"/>
          <w:sz w:val="24"/>
          <w:szCs w:val="24"/>
          <w:shd w:val="clear" w:color="auto" w:fill="FFFFFF"/>
          <w:lang w:val="en-GB"/>
        </w:rPr>
        <w:t> </w:t>
      </w:r>
      <w:r w:rsidR="00F8163D" w:rsidRPr="00B847BB">
        <w:rPr>
          <w:rFonts w:asciiTheme="majorBidi" w:hAnsiTheme="majorBidi" w:cstheme="majorBidi"/>
          <w:iCs/>
          <w:sz w:val="24"/>
          <w:szCs w:val="24"/>
          <w:shd w:val="clear" w:color="auto" w:fill="FFFFFF"/>
          <w:lang w:val="en-GB"/>
        </w:rPr>
        <w:t>21</w:t>
      </w:r>
      <w:r w:rsidRPr="00B847BB">
        <w:rPr>
          <w:rFonts w:asciiTheme="majorBidi" w:hAnsiTheme="majorBidi" w:cstheme="majorBidi"/>
          <w:sz w:val="24"/>
          <w:szCs w:val="24"/>
          <w:shd w:val="clear" w:color="auto" w:fill="FFFFFF"/>
          <w:lang w:val="en-GB"/>
        </w:rPr>
        <w:t xml:space="preserve"> </w:t>
      </w:r>
      <w:r w:rsidR="00F8163D" w:rsidRPr="00B847BB">
        <w:rPr>
          <w:rFonts w:asciiTheme="majorBidi" w:hAnsiTheme="majorBidi" w:cstheme="majorBidi"/>
          <w:sz w:val="24"/>
          <w:szCs w:val="24"/>
          <w:shd w:val="clear" w:color="auto" w:fill="FFFFFF"/>
          <w:lang w:val="en-GB"/>
        </w:rPr>
        <w:t>(3)</w:t>
      </w:r>
      <w:r w:rsidRPr="00B847BB">
        <w:rPr>
          <w:rFonts w:asciiTheme="majorBidi" w:hAnsiTheme="majorBidi" w:cstheme="majorBidi"/>
          <w:sz w:val="24"/>
          <w:szCs w:val="24"/>
          <w:shd w:val="clear" w:color="auto" w:fill="FFFFFF"/>
          <w:lang w:val="en-GB"/>
        </w:rPr>
        <w:t>:</w:t>
      </w:r>
      <w:r w:rsidR="00F8163D" w:rsidRPr="00B847BB">
        <w:rPr>
          <w:rFonts w:asciiTheme="majorBidi" w:hAnsiTheme="majorBidi" w:cstheme="majorBidi"/>
          <w:sz w:val="24"/>
          <w:szCs w:val="24"/>
          <w:shd w:val="clear" w:color="auto" w:fill="FFFFFF"/>
          <w:lang w:val="en-GB"/>
        </w:rPr>
        <w:t xml:space="preserve"> 378-394. </w:t>
      </w:r>
      <w:proofErr w:type="gramStart"/>
      <w:r w:rsidRPr="00B847BB">
        <w:rPr>
          <w:rFonts w:asciiTheme="majorBidi" w:hAnsiTheme="majorBidi" w:cstheme="majorBidi"/>
          <w:sz w:val="24"/>
          <w:szCs w:val="24"/>
          <w:shd w:val="clear" w:color="auto" w:fill="FFFFFF"/>
          <w:lang w:val="en-GB"/>
        </w:rPr>
        <w:t>doi:</w:t>
      </w:r>
      <w:proofErr w:type="gramEnd"/>
      <w:r w:rsidR="00F8163D" w:rsidRPr="00B847BB">
        <w:rPr>
          <w:rFonts w:asciiTheme="majorBidi" w:hAnsiTheme="majorBidi" w:cstheme="majorBidi"/>
          <w:sz w:val="24"/>
          <w:szCs w:val="24"/>
          <w:shd w:val="clear" w:color="auto" w:fill="FFFFFF"/>
          <w:lang w:val="en-GB"/>
        </w:rPr>
        <w:t>10.1177/1069072712475164</w:t>
      </w:r>
      <w:r w:rsidRPr="00B847BB">
        <w:rPr>
          <w:rFonts w:asciiTheme="majorBidi" w:hAnsiTheme="majorBidi" w:cstheme="majorBidi"/>
          <w:sz w:val="24"/>
          <w:szCs w:val="24"/>
          <w:shd w:val="clear" w:color="auto" w:fill="FFFFFF"/>
          <w:lang w:val="en-GB"/>
        </w:rPr>
        <w:t>.</w:t>
      </w:r>
    </w:p>
    <w:p w14:paraId="283413B4" w14:textId="193FDD41" w:rsidR="00F8163D" w:rsidRPr="009F6474" w:rsidRDefault="001035C7" w:rsidP="00C03772">
      <w:pPr>
        <w:spacing w:after="0" w:line="480" w:lineRule="auto"/>
        <w:ind w:left="720" w:hanging="720"/>
        <w:rPr>
          <w:rFonts w:ascii="Times New Roman" w:hAnsi="Times New Roman" w:cs="Times New Roman"/>
          <w:sz w:val="24"/>
          <w:szCs w:val="24"/>
          <w:shd w:val="clear" w:color="auto" w:fill="FFFFFF"/>
          <w:lang w:val="en-GB"/>
        </w:rPr>
      </w:pPr>
      <w:r w:rsidRPr="00AA1A0C">
        <w:rPr>
          <w:rFonts w:ascii="Times New Roman" w:hAnsi="Times New Roman" w:cs="Times New Roman"/>
          <w:sz w:val="24"/>
          <w:szCs w:val="24"/>
          <w:shd w:val="clear" w:color="auto" w:fill="FFFFFF"/>
          <w:lang w:val="en-GB"/>
        </w:rPr>
        <w:t>Meyer, J. W. 1970</w:t>
      </w:r>
      <w:r w:rsidR="00F8163D" w:rsidRPr="00AA1A0C">
        <w:rPr>
          <w:rFonts w:ascii="Times New Roman" w:hAnsi="Times New Roman" w:cs="Times New Roman"/>
          <w:sz w:val="24"/>
          <w:szCs w:val="24"/>
          <w:shd w:val="clear" w:color="auto" w:fill="FFFFFF"/>
          <w:lang w:val="en-GB"/>
        </w:rPr>
        <w:t xml:space="preserve">. </w:t>
      </w:r>
      <w:r w:rsidRPr="00AA1A0C">
        <w:rPr>
          <w:rFonts w:ascii="Times New Roman" w:hAnsi="Times New Roman" w:cs="Times New Roman"/>
          <w:sz w:val="24"/>
          <w:szCs w:val="24"/>
          <w:shd w:val="clear" w:color="auto" w:fill="FFFFFF"/>
          <w:lang w:val="en-GB"/>
        </w:rPr>
        <w:t>“</w:t>
      </w:r>
      <w:r w:rsidR="00512448" w:rsidRPr="00512448">
        <w:rPr>
          <w:rFonts w:ascii="Times New Roman" w:hAnsi="Times New Roman" w:cs="Times New Roman"/>
          <w:sz w:val="24"/>
          <w:szCs w:val="24"/>
          <w:shd w:val="clear" w:color="auto" w:fill="FFFFFF"/>
          <w:lang w:val="en-GB"/>
        </w:rPr>
        <w:t>High School Effects on College Intentions</w:t>
      </w:r>
      <w:r w:rsidR="00F8163D" w:rsidRPr="00AA1A0C">
        <w:rPr>
          <w:rFonts w:ascii="Times New Roman" w:hAnsi="Times New Roman" w:cs="Times New Roman"/>
          <w:sz w:val="24"/>
          <w:szCs w:val="24"/>
          <w:shd w:val="clear" w:color="auto" w:fill="FFFFFF"/>
          <w:lang w:val="en-GB"/>
        </w:rPr>
        <w:t>.</w:t>
      </w:r>
      <w:r w:rsidRPr="00AA1A0C">
        <w:rPr>
          <w:rFonts w:ascii="Times New Roman" w:hAnsi="Times New Roman" w:cs="Times New Roman"/>
          <w:sz w:val="24"/>
          <w:szCs w:val="24"/>
          <w:shd w:val="clear" w:color="auto" w:fill="FFFFFF"/>
          <w:lang w:val="en-GB"/>
        </w:rPr>
        <w:t>”</w:t>
      </w:r>
      <w:r w:rsidR="00F8163D" w:rsidRPr="00AA1A0C">
        <w:rPr>
          <w:rFonts w:ascii="Times New Roman" w:hAnsi="Times New Roman" w:cs="Times New Roman"/>
          <w:sz w:val="24"/>
          <w:szCs w:val="24"/>
          <w:shd w:val="clear" w:color="auto" w:fill="FFFFFF"/>
          <w:lang w:val="en-GB"/>
        </w:rPr>
        <w:t> </w:t>
      </w:r>
      <w:r w:rsidR="00F8163D" w:rsidRPr="00AA1A0C">
        <w:rPr>
          <w:rFonts w:ascii="Times New Roman" w:hAnsi="Times New Roman" w:cs="Times New Roman"/>
          <w:i/>
          <w:iCs/>
          <w:sz w:val="24"/>
          <w:szCs w:val="24"/>
          <w:shd w:val="clear" w:color="auto" w:fill="FFFFFF"/>
          <w:lang w:val="en-GB"/>
        </w:rPr>
        <w:t xml:space="preserve">American Journal of </w:t>
      </w:r>
      <w:r w:rsidR="00F8163D" w:rsidRPr="009F6474">
        <w:rPr>
          <w:rFonts w:ascii="Times New Roman" w:hAnsi="Times New Roman" w:cs="Times New Roman"/>
          <w:i/>
          <w:iCs/>
          <w:sz w:val="24"/>
          <w:szCs w:val="24"/>
          <w:shd w:val="clear" w:color="auto" w:fill="FFFFFF"/>
          <w:lang w:val="en-GB"/>
        </w:rPr>
        <w:t>Sociology</w:t>
      </w:r>
      <w:r w:rsidR="00F8163D" w:rsidRPr="009F6474">
        <w:rPr>
          <w:rFonts w:ascii="Times New Roman" w:hAnsi="Times New Roman" w:cs="Times New Roman"/>
          <w:sz w:val="24"/>
          <w:szCs w:val="24"/>
          <w:shd w:val="clear" w:color="auto" w:fill="FFFFFF"/>
          <w:lang w:val="en-GB"/>
        </w:rPr>
        <w:t> </w:t>
      </w:r>
      <w:r w:rsidR="00F8163D" w:rsidRPr="009F6474">
        <w:rPr>
          <w:rFonts w:ascii="Times New Roman" w:hAnsi="Times New Roman" w:cs="Times New Roman"/>
          <w:iCs/>
          <w:sz w:val="24"/>
          <w:szCs w:val="24"/>
          <w:shd w:val="clear" w:color="auto" w:fill="FFFFFF"/>
          <w:lang w:val="en-GB"/>
        </w:rPr>
        <w:t>76</w:t>
      </w:r>
      <w:r w:rsidRPr="009F6474">
        <w:rPr>
          <w:rFonts w:ascii="Times New Roman" w:hAnsi="Times New Roman" w:cs="Times New Roman"/>
          <w:sz w:val="24"/>
          <w:szCs w:val="24"/>
          <w:shd w:val="clear" w:color="auto" w:fill="FFFFFF"/>
          <w:lang w:val="en-GB"/>
        </w:rPr>
        <w:t xml:space="preserve"> </w:t>
      </w:r>
      <w:r w:rsidR="00F8163D" w:rsidRPr="009F6474">
        <w:rPr>
          <w:rFonts w:ascii="Times New Roman" w:hAnsi="Times New Roman" w:cs="Times New Roman"/>
          <w:sz w:val="24"/>
          <w:szCs w:val="24"/>
          <w:shd w:val="clear" w:color="auto" w:fill="FFFFFF"/>
          <w:lang w:val="en-GB"/>
        </w:rPr>
        <w:t>(1)</w:t>
      </w:r>
      <w:r w:rsidRPr="009F6474">
        <w:rPr>
          <w:rFonts w:ascii="Times New Roman" w:hAnsi="Times New Roman" w:cs="Times New Roman"/>
          <w:sz w:val="24"/>
          <w:szCs w:val="24"/>
          <w:shd w:val="clear" w:color="auto" w:fill="FFFFFF"/>
          <w:lang w:val="en-GB"/>
        </w:rPr>
        <w:t>:</w:t>
      </w:r>
      <w:r w:rsidR="00F8163D" w:rsidRPr="009F6474">
        <w:rPr>
          <w:rFonts w:ascii="Times New Roman" w:hAnsi="Times New Roman" w:cs="Times New Roman"/>
          <w:sz w:val="24"/>
          <w:szCs w:val="24"/>
          <w:shd w:val="clear" w:color="auto" w:fill="FFFFFF"/>
          <w:lang w:val="en-GB"/>
        </w:rPr>
        <w:t xml:space="preserve"> 59-70.</w:t>
      </w:r>
    </w:p>
    <w:p w14:paraId="70E4A9F8" w14:textId="55587779" w:rsidR="00F8163D" w:rsidRPr="009F6474" w:rsidRDefault="00F8163D" w:rsidP="00C03772">
      <w:pPr>
        <w:spacing w:after="0" w:line="480" w:lineRule="auto"/>
        <w:ind w:left="720" w:hanging="720"/>
        <w:rPr>
          <w:rFonts w:ascii="Times New Roman" w:hAnsi="Times New Roman" w:cs="Times New Roman"/>
          <w:sz w:val="24"/>
          <w:szCs w:val="24"/>
          <w:shd w:val="clear" w:color="auto" w:fill="FFFFFF"/>
          <w:lang w:val="en-GB"/>
        </w:rPr>
      </w:pPr>
      <w:r w:rsidRPr="009F6474">
        <w:rPr>
          <w:rFonts w:asciiTheme="majorBidi" w:hAnsiTheme="majorBidi" w:cstheme="majorBidi"/>
          <w:sz w:val="24"/>
          <w:szCs w:val="24"/>
          <w:lang w:val="en-GB"/>
        </w:rPr>
        <w:lastRenderedPageBreak/>
        <w:t>Ministry of Science</w:t>
      </w:r>
      <w:r w:rsidR="005C1F3B" w:rsidRPr="009F6474">
        <w:rPr>
          <w:rFonts w:asciiTheme="majorBidi" w:hAnsiTheme="majorBidi" w:cstheme="majorBidi"/>
          <w:sz w:val="24"/>
          <w:szCs w:val="24"/>
          <w:lang w:val="en-GB"/>
        </w:rPr>
        <w:t xml:space="preserve"> and Education of Croatia. </w:t>
      </w:r>
      <w:r w:rsidR="00474D37" w:rsidRPr="009F6474">
        <w:rPr>
          <w:rFonts w:asciiTheme="majorBidi" w:hAnsiTheme="majorBidi" w:cstheme="majorBidi"/>
          <w:sz w:val="24"/>
          <w:szCs w:val="24"/>
          <w:lang w:val="en-GB"/>
        </w:rPr>
        <w:t>2019</w:t>
      </w:r>
      <w:r w:rsidRPr="009F6474">
        <w:rPr>
          <w:rFonts w:asciiTheme="majorBidi" w:hAnsiTheme="majorBidi" w:cstheme="majorBidi"/>
          <w:sz w:val="24"/>
          <w:szCs w:val="24"/>
          <w:lang w:val="en-GB"/>
        </w:rPr>
        <w:t xml:space="preserve">. </w:t>
      </w:r>
      <w:r w:rsidR="005C1F3B" w:rsidRPr="009F6474">
        <w:rPr>
          <w:rFonts w:asciiTheme="majorBidi" w:hAnsiTheme="majorBidi" w:cstheme="majorBidi"/>
          <w:sz w:val="24"/>
          <w:szCs w:val="24"/>
          <w:lang w:val="en-GB"/>
        </w:rPr>
        <w:t>“</w:t>
      </w:r>
      <w:proofErr w:type="spellStart"/>
      <w:r w:rsidRPr="009F6474">
        <w:rPr>
          <w:rFonts w:asciiTheme="majorBidi" w:hAnsiTheme="majorBidi" w:cstheme="majorBidi"/>
          <w:sz w:val="24"/>
          <w:szCs w:val="24"/>
          <w:lang w:val="en-GB"/>
        </w:rPr>
        <w:t>Školski</w:t>
      </w:r>
      <w:proofErr w:type="spellEnd"/>
      <w:r w:rsidRPr="009F6474">
        <w:rPr>
          <w:rFonts w:asciiTheme="majorBidi" w:hAnsiTheme="majorBidi" w:cstheme="majorBidi"/>
          <w:sz w:val="24"/>
          <w:szCs w:val="24"/>
          <w:lang w:val="en-GB"/>
        </w:rPr>
        <w:t xml:space="preserve"> e-</w:t>
      </w:r>
      <w:proofErr w:type="spellStart"/>
      <w:r w:rsidRPr="009F6474">
        <w:rPr>
          <w:rFonts w:asciiTheme="majorBidi" w:hAnsiTheme="majorBidi" w:cstheme="majorBidi"/>
          <w:sz w:val="24"/>
          <w:szCs w:val="24"/>
          <w:lang w:val="en-GB"/>
        </w:rPr>
        <w:t>Rudnik</w:t>
      </w:r>
      <w:proofErr w:type="spellEnd"/>
      <w:r w:rsidR="007D0FA1">
        <w:rPr>
          <w:rFonts w:asciiTheme="majorBidi" w:hAnsiTheme="majorBidi" w:cstheme="majorBidi"/>
          <w:sz w:val="24"/>
          <w:szCs w:val="24"/>
          <w:lang w:val="en-GB"/>
        </w:rPr>
        <w:t>”</w:t>
      </w:r>
      <w:r w:rsidRPr="009F6474">
        <w:rPr>
          <w:rFonts w:asciiTheme="majorBidi" w:hAnsiTheme="majorBidi" w:cstheme="majorBidi"/>
          <w:sz w:val="24"/>
          <w:szCs w:val="24"/>
          <w:lang w:val="en-GB"/>
        </w:rPr>
        <w:t xml:space="preserve"> [School e-Mine]. </w:t>
      </w:r>
      <w:r w:rsidR="003A1ED6" w:rsidRPr="009F6474">
        <w:rPr>
          <w:rFonts w:asciiTheme="majorBidi" w:hAnsiTheme="majorBidi" w:cstheme="majorBidi"/>
          <w:sz w:val="24"/>
          <w:szCs w:val="24"/>
          <w:lang w:val="en-GB"/>
        </w:rPr>
        <w:t xml:space="preserve">Ministry of Science and Education of Croatia. </w:t>
      </w:r>
      <w:r w:rsidR="009F6474" w:rsidRPr="009F6474">
        <w:rPr>
          <w:rFonts w:asciiTheme="majorBidi" w:hAnsiTheme="majorBidi" w:cstheme="majorBidi"/>
          <w:sz w:val="24"/>
          <w:szCs w:val="24"/>
          <w:shd w:val="clear" w:color="auto" w:fill="FFFFFF"/>
          <w:lang w:val="en-GB"/>
        </w:rPr>
        <w:t xml:space="preserve">Accessed June 7 2019. </w:t>
      </w:r>
      <w:r w:rsidRPr="009F6474">
        <w:rPr>
          <w:rFonts w:asciiTheme="majorBidi" w:hAnsiTheme="majorBidi" w:cstheme="majorBidi"/>
          <w:sz w:val="24"/>
          <w:szCs w:val="24"/>
          <w:lang w:val="en-GB"/>
        </w:rPr>
        <w:t>https://app.powerbi.com/view?r=eyJrIjoiZWE3YTE4OWQtOWJmNC00OTJmLWE2MjktYTQ5MWJlNDNlZDQ0IiwidCI6IjJjMTFjYmNjLWI3NjEtNDVkYi1hOWY1LTRhYzc3ZTk0ZTFkNCIsImMiOjh9</w:t>
      </w:r>
    </w:p>
    <w:p w14:paraId="0F59772C" w14:textId="1DB8F538" w:rsidR="00F8163D" w:rsidRPr="00481857" w:rsidRDefault="00582F38" w:rsidP="00C03772">
      <w:pPr>
        <w:spacing w:after="0" w:line="480" w:lineRule="auto"/>
        <w:ind w:left="720" w:hanging="720"/>
        <w:rPr>
          <w:rFonts w:ascii="Times New Roman" w:hAnsi="Times New Roman" w:cs="Times New Roman"/>
          <w:sz w:val="24"/>
          <w:szCs w:val="24"/>
          <w:shd w:val="clear" w:color="auto" w:fill="FFFFFF"/>
          <w:lang w:val="en-GB"/>
        </w:rPr>
      </w:pPr>
      <w:r w:rsidRPr="00481857">
        <w:rPr>
          <w:rFonts w:ascii="Times New Roman" w:hAnsi="Times New Roman" w:cs="Times New Roman"/>
          <w:sz w:val="24"/>
          <w:szCs w:val="24"/>
          <w:shd w:val="clear" w:color="auto" w:fill="FFFFFF"/>
          <w:lang w:val="en-GB"/>
        </w:rPr>
        <w:t>Nelson, J. I. 1972</w:t>
      </w:r>
      <w:r w:rsidR="00F8163D" w:rsidRPr="00481857">
        <w:rPr>
          <w:rFonts w:ascii="Times New Roman" w:hAnsi="Times New Roman" w:cs="Times New Roman"/>
          <w:sz w:val="24"/>
          <w:szCs w:val="24"/>
          <w:shd w:val="clear" w:color="auto" w:fill="FFFFFF"/>
          <w:lang w:val="en-GB"/>
        </w:rPr>
        <w:t xml:space="preserve">. </w:t>
      </w:r>
      <w:r w:rsidRPr="00481857">
        <w:rPr>
          <w:rFonts w:ascii="Times New Roman" w:hAnsi="Times New Roman" w:cs="Times New Roman"/>
          <w:sz w:val="24"/>
          <w:szCs w:val="24"/>
          <w:shd w:val="clear" w:color="auto" w:fill="FFFFFF"/>
          <w:lang w:val="en-GB"/>
        </w:rPr>
        <w:t>“</w:t>
      </w:r>
      <w:r w:rsidR="00033E32" w:rsidRPr="00033E32">
        <w:rPr>
          <w:rFonts w:ascii="Times New Roman" w:hAnsi="Times New Roman" w:cs="Times New Roman"/>
          <w:sz w:val="24"/>
          <w:szCs w:val="24"/>
          <w:shd w:val="clear" w:color="auto" w:fill="FFFFFF"/>
          <w:lang w:val="en-GB"/>
        </w:rPr>
        <w:t>High School Context and College Plans: the Impact of Social Structure on Aspirations</w:t>
      </w:r>
      <w:r w:rsidR="00F8163D" w:rsidRPr="00481857">
        <w:rPr>
          <w:rFonts w:ascii="Times New Roman" w:hAnsi="Times New Roman" w:cs="Times New Roman"/>
          <w:sz w:val="24"/>
          <w:szCs w:val="24"/>
          <w:shd w:val="clear" w:color="auto" w:fill="FFFFFF"/>
          <w:lang w:val="en-GB"/>
        </w:rPr>
        <w:t>.</w:t>
      </w:r>
      <w:r w:rsidRPr="00481857">
        <w:rPr>
          <w:rFonts w:ascii="Times New Roman" w:hAnsi="Times New Roman" w:cs="Times New Roman"/>
          <w:sz w:val="24"/>
          <w:szCs w:val="24"/>
          <w:shd w:val="clear" w:color="auto" w:fill="FFFFFF"/>
          <w:lang w:val="en-GB"/>
        </w:rPr>
        <w:t>”</w:t>
      </w:r>
      <w:r w:rsidR="00F8163D" w:rsidRPr="00481857">
        <w:rPr>
          <w:rFonts w:ascii="Times New Roman" w:hAnsi="Times New Roman" w:cs="Times New Roman"/>
          <w:sz w:val="24"/>
          <w:szCs w:val="24"/>
          <w:shd w:val="clear" w:color="auto" w:fill="FFFFFF"/>
          <w:lang w:val="en-GB"/>
        </w:rPr>
        <w:t> </w:t>
      </w:r>
      <w:r w:rsidR="00F8163D" w:rsidRPr="00481857">
        <w:rPr>
          <w:rFonts w:ascii="Times New Roman" w:hAnsi="Times New Roman" w:cs="Times New Roman"/>
          <w:i/>
          <w:iCs/>
          <w:sz w:val="24"/>
          <w:szCs w:val="24"/>
          <w:shd w:val="clear" w:color="auto" w:fill="FFFFFF"/>
          <w:lang w:val="en-GB"/>
        </w:rPr>
        <w:t>American Sociological Review</w:t>
      </w:r>
      <w:r w:rsidR="00F8163D" w:rsidRPr="00481857">
        <w:rPr>
          <w:rFonts w:ascii="Times New Roman" w:hAnsi="Times New Roman" w:cs="Times New Roman"/>
          <w:sz w:val="24"/>
          <w:szCs w:val="24"/>
          <w:shd w:val="clear" w:color="auto" w:fill="FFFFFF"/>
          <w:lang w:val="en-GB"/>
        </w:rPr>
        <w:t xml:space="preserve"> 37</w:t>
      </w:r>
      <w:r w:rsidRPr="00481857">
        <w:rPr>
          <w:rFonts w:ascii="Times New Roman" w:hAnsi="Times New Roman" w:cs="Times New Roman"/>
          <w:sz w:val="24"/>
          <w:szCs w:val="24"/>
          <w:shd w:val="clear" w:color="auto" w:fill="FFFFFF"/>
          <w:lang w:val="en-GB"/>
        </w:rPr>
        <w:t xml:space="preserve"> </w:t>
      </w:r>
      <w:r w:rsidR="00F8163D" w:rsidRPr="00481857">
        <w:rPr>
          <w:rFonts w:ascii="Times New Roman" w:hAnsi="Times New Roman" w:cs="Times New Roman"/>
          <w:sz w:val="24"/>
          <w:szCs w:val="24"/>
          <w:shd w:val="clear" w:color="auto" w:fill="FFFFFF"/>
          <w:lang w:val="en-GB"/>
        </w:rPr>
        <w:t>(2)</w:t>
      </w:r>
      <w:r w:rsidRPr="00481857">
        <w:rPr>
          <w:rFonts w:ascii="Times New Roman" w:hAnsi="Times New Roman" w:cs="Times New Roman"/>
          <w:sz w:val="24"/>
          <w:szCs w:val="24"/>
          <w:shd w:val="clear" w:color="auto" w:fill="FFFFFF"/>
          <w:lang w:val="en-GB"/>
        </w:rPr>
        <w:t>:</w:t>
      </w:r>
      <w:r w:rsidR="00F8163D" w:rsidRPr="00481857">
        <w:rPr>
          <w:rFonts w:ascii="Times New Roman" w:hAnsi="Times New Roman" w:cs="Times New Roman"/>
          <w:sz w:val="24"/>
          <w:szCs w:val="24"/>
          <w:shd w:val="clear" w:color="auto" w:fill="FFFFFF"/>
          <w:lang w:val="en-GB"/>
        </w:rPr>
        <w:t xml:space="preserve"> 143-148. </w:t>
      </w:r>
      <w:proofErr w:type="gramStart"/>
      <w:r w:rsidRPr="00481857">
        <w:rPr>
          <w:rFonts w:asciiTheme="majorBidi" w:hAnsiTheme="majorBidi" w:cstheme="majorBidi"/>
          <w:sz w:val="24"/>
          <w:szCs w:val="24"/>
          <w:shd w:val="clear" w:color="auto" w:fill="FFFFFF"/>
          <w:lang w:val="en-GB"/>
        </w:rPr>
        <w:t>doi:</w:t>
      </w:r>
      <w:proofErr w:type="gramEnd"/>
      <w:r w:rsidR="00267135" w:rsidRPr="00481857">
        <w:rPr>
          <w:rFonts w:ascii="Times New Roman" w:hAnsi="Times New Roman" w:cs="Times New Roman"/>
          <w:sz w:val="24"/>
          <w:szCs w:val="24"/>
          <w:shd w:val="clear" w:color="auto" w:fill="FFFFFF"/>
          <w:lang w:val="en-GB"/>
        </w:rPr>
        <w:t>10.2307/2094022</w:t>
      </w:r>
      <w:r w:rsidR="00481857" w:rsidRPr="00481857">
        <w:rPr>
          <w:rFonts w:ascii="Times New Roman" w:hAnsi="Times New Roman" w:cs="Times New Roman"/>
          <w:sz w:val="24"/>
          <w:szCs w:val="24"/>
          <w:shd w:val="clear" w:color="auto" w:fill="FFFFFF"/>
          <w:lang w:val="en-GB"/>
        </w:rPr>
        <w:t>.</w:t>
      </w:r>
    </w:p>
    <w:p w14:paraId="3BCBC45B" w14:textId="61E7A7AE" w:rsidR="00267135" w:rsidRPr="007B4F73" w:rsidRDefault="00267135" w:rsidP="00C03772">
      <w:pPr>
        <w:spacing w:after="0" w:line="480" w:lineRule="auto"/>
        <w:ind w:left="720" w:hanging="720"/>
        <w:rPr>
          <w:rFonts w:ascii="Times New Roman" w:hAnsi="Times New Roman" w:cs="Times New Roman"/>
          <w:sz w:val="24"/>
          <w:szCs w:val="24"/>
          <w:shd w:val="clear" w:color="auto" w:fill="FFFFFF"/>
          <w:lang w:val="en-GB"/>
        </w:rPr>
      </w:pPr>
      <w:proofErr w:type="spellStart"/>
      <w:r w:rsidRPr="007B4F73">
        <w:rPr>
          <w:rFonts w:ascii="Times New Roman" w:hAnsi="Times New Roman" w:cs="Times New Roman"/>
          <w:sz w:val="24"/>
          <w:szCs w:val="24"/>
          <w:shd w:val="clear" w:color="auto" w:fill="FFFFFF"/>
          <w:lang w:val="en-GB"/>
        </w:rPr>
        <w:t>Palekčić</w:t>
      </w:r>
      <w:proofErr w:type="spellEnd"/>
      <w:r w:rsidRPr="007B4F73">
        <w:rPr>
          <w:rFonts w:ascii="Times New Roman" w:hAnsi="Times New Roman" w:cs="Times New Roman"/>
          <w:sz w:val="24"/>
          <w:szCs w:val="24"/>
          <w:shd w:val="clear" w:color="auto" w:fill="FFFFFF"/>
          <w:lang w:val="en-GB"/>
        </w:rPr>
        <w:t xml:space="preserve"> M., </w:t>
      </w:r>
      <w:r w:rsidR="00545DD4" w:rsidRPr="007B4F73">
        <w:rPr>
          <w:rFonts w:ascii="Times New Roman" w:hAnsi="Times New Roman" w:cs="Times New Roman"/>
          <w:sz w:val="24"/>
          <w:szCs w:val="24"/>
          <w:shd w:val="clear" w:color="auto" w:fill="FFFFFF"/>
          <w:lang w:val="en-GB"/>
        </w:rPr>
        <w:t xml:space="preserve">I. </w:t>
      </w:r>
      <w:proofErr w:type="spellStart"/>
      <w:r w:rsidRPr="007B4F73">
        <w:rPr>
          <w:rFonts w:ascii="Times New Roman" w:hAnsi="Times New Roman" w:cs="Times New Roman"/>
          <w:sz w:val="24"/>
          <w:szCs w:val="24"/>
          <w:shd w:val="clear" w:color="auto" w:fill="FFFFFF"/>
          <w:lang w:val="en-GB"/>
        </w:rPr>
        <w:t>Radeka</w:t>
      </w:r>
      <w:proofErr w:type="spellEnd"/>
      <w:r w:rsidRPr="007B4F73">
        <w:rPr>
          <w:rFonts w:ascii="Times New Roman" w:hAnsi="Times New Roman" w:cs="Times New Roman"/>
          <w:sz w:val="24"/>
          <w:szCs w:val="24"/>
          <w:shd w:val="clear" w:color="auto" w:fill="FFFFFF"/>
          <w:lang w:val="en-GB"/>
        </w:rPr>
        <w:t xml:space="preserve">, </w:t>
      </w:r>
      <w:r w:rsidR="00545DD4" w:rsidRPr="007B4F73">
        <w:rPr>
          <w:rFonts w:ascii="Times New Roman" w:hAnsi="Times New Roman" w:cs="Times New Roman"/>
          <w:sz w:val="24"/>
          <w:szCs w:val="24"/>
          <w:shd w:val="clear" w:color="auto" w:fill="FFFFFF"/>
          <w:lang w:val="en-GB"/>
        </w:rPr>
        <w:t>and</w:t>
      </w:r>
      <w:r w:rsidR="00552021" w:rsidRPr="007B4F73">
        <w:rPr>
          <w:rFonts w:ascii="Times New Roman" w:hAnsi="Times New Roman" w:cs="Times New Roman"/>
          <w:sz w:val="24"/>
          <w:szCs w:val="24"/>
          <w:shd w:val="clear" w:color="auto" w:fill="FFFFFF"/>
          <w:lang w:val="en-GB"/>
        </w:rPr>
        <w:t xml:space="preserve"> </w:t>
      </w:r>
      <w:r w:rsidR="00545DD4" w:rsidRPr="007B4F73">
        <w:rPr>
          <w:rFonts w:ascii="Times New Roman" w:hAnsi="Times New Roman" w:cs="Times New Roman"/>
          <w:sz w:val="24"/>
          <w:szCs w:val="24"/>
          <w:shd w:val="clear" w:color="auto" w:fill="FFFFFF"/>
          <w:lang w:val="en-GB"/>
        </w:rPr>
        <w:t xml:space="preserve">N. </w:t>
      </w:r>
      <w:proofErr w:type="spellStart"/>
      <w:r w:rsidRPr="007B4F73">
        <w:rPr>
          <w:rFonts w:ascii="Times New Roman" w:hAnsi="Times New Roman" w:cs="Times New Roman"/>
          <w:sz w:val="24"/>
          <w:szCs w:val="24"/>
          <w:shd w:val="clear" w:color="auto" w:fill="FFFFFF"/>
          <w:lang w:val="en-GB"/>
        </w:rPr>
        <w:t>Zekanović</w:t>
      </w:r>
      <w:proofErr w:type="spellEnd"/>
      <w:r w:rsidR="00545DD4" w:rsidRPr="007B4F73">
        <w:rPr>
          <w:rFonts w:ascii="Times New Roman" w:hAnsi="Times New Roman" w:cs="Times New Roman"/>
          <w:sz w:val="24"/>
          <w:szCs w:val="24"/>
          <w:shd w:val="clear" w:color="auto" w:fill="FFFFFF"/>
          <w:lang w:val="en-GB"/>
        </w:rPr>
        <w:t>. 2015.</w:t>
      </w:r>
      <w:r w:rsidRPr="007B4F73">
        <w:rPr>
          <w:rFonts w:ascii="Times New Roman" w:hAnsi="Times New Roman" w:cs="Times New Roman"/>
          <w:sz w:val="24"/>
          <w:szCs w:val="24"/>
          <w:shd w:val="clear" w:color="auto" w:fill="FFFFFF"/>
          <w:lang w:val="en-GB"/>
        </w:rPr>
        <w:t xml:space="preserve"> </w:t>
      </w:r>
      <w:r w:rsidR="00C65628" w:rsidRPr="007B4F73">
        <w:rPr>
          <w:rFonts w:ascii="Times New Roman" w:hAnsi="Times New Roman" w:cs="Times New Roman"/>
          <w:sz w:val="24"/>
          <w:szCs w:val="24"/>
          <w:shd w:val="clear" w:color="auto" w:fill="FFFFFF"/>
          <w:lang w:val="en-GB"/>
        </w:rPr>
        <w:t>“</w:t>
      </w:r>
      <w:r w:rsidRPr="007B4F73">
        <w:rPr>
          <w:rFonts w:ascii="Times New Roman" w:hAnsi="Times New Roman" w:cs="Times New Roman"/>
          <w:sz w:val="24"/>
          <w:szCs w:val="24"/>
          <w:shd w:val="clear" w:color="auto" w:fill="FFFFFF"/>
          <w:lang w:val="en-GB"/>
        </w:rPr>
        <w:t>Croatia.</w:t>
      </w:r>
      <w:r w:rsidR="00C65628" w:rsidRPr="007B4F73">
        <w:rPr>
          <w:rFonts w:ascii="Times New Roman" w:hAnsi="Times New Roman" w:cs="Times New Roman"/>
          <w:sz w:val="24"/>
          <w:szCs w:val="24"/>
          <w:shd w:val="clear" w:color="auto" w:fill="FFFFFF"/>
          <w:lang w:val="en-GB"/>
        </w:rPr>
        <w:t>”</w:t>
      </w:r>
      <w:r w:rsidRPr="007B4F73">
        <w:rPr>
          <w:rFonts w:ascii="Times New Roman" w:hAnsi="Times New Roman" w:cs="Times New Roman"/>
          <w:sz w:val="24"/>
          <w:szCs w:val="24"/>
          <w:shd w:val="clear" w:color="auto" w:fill="FFFFFF"/>
          <w:lang w:val="en-GB"/>
        </w:rPr>
        <w:t xml:space="preserve"> In</w:t>
      </w:r>
      <w:r w:rsidR="00C65628" w:rsidRPr="007B4F73">
        <w:rPr>
          <w:rFonts w:ascii="Times New Roman" w:hAnsi="Times New Roman" w:cs="Times New Roman"/>
          <w:sz w:val="24"/>
          <w:szCs w:val="24"/>
          <w:shd w:val="clear" w:color="auto" w:fill="FFFFFF"/>
          <w:lang w:val="en-GB"/>
        </w:rPr>
        <w:t xml:space="preserve"> </w:t>
      </w:r>
      <w:r w:rsidR="00C65628" w:rsidRPr="007B4F73">
        <w:rPr>
          <w:rFonts w:ascii="Times New Roman" w:hAnsi="Times New Roman" w:cs="Times New Roman"/>
          <w:i/>
          <w:sz w:val="24"/>
          <w:szCs w:val="24"/>
          <w:shd w:val="clear" w:color="auto" w:fill="FFFFFF"/>
          <w:lang w:val="en-GB"/>
        </w:rPr>
        <w:t>The Education Systems of Europe. Global Education Systems</w:t>
      </w:r>
      <w:r w:rsidR="00C65628" w:rsidRPr="007B4F73">
        <w:rPr>
          <w:rFonts w:ascii="Times New Roman" w:hAnsi="Times New Roman" w:cs="Times New Roman"/>
          <w:sz w:val="24"/>
          <w:szCs w:val="24"/>
          <w:shd w:val="clear" w:color="auto" w:fill="FFFFFF"/>
          <w:lang w:val="en-GB"/>
        </w:rPr>
        <w:t>, edited by</w:t>
      </w:r>
      <w:r w:rsidRPr="007B4F73">
        <w:rPr>
          <w:rFonts w:ascii="Times New Roman" w:hAnsi="Times New Roman" w:cs="Times New Roman"/>
          <w:sz w:val="24"/>
          <w:szCs w:val="24"/>
          <w:shd w:val="clear" w:color="auto" w:fill="FFFFFF"/>
          <w:lang w:val="en-GB"/>
        </w:rPr>
        <w:t xml:space="preserve"> </w:t>
      </w:r>
      <w:r w:rsidR="00C65628" w:rsidRPr="007B4F73">
        <w:rPr>
          <w:rFonts w:ascii="Times New Roman" w:hAnsi="Times New Roman" w:cs="Times New Roman"/>
          <w:sz w:val="24"/>
          <w:szCs w:val="24"/>
          <w:shd w:val="clear" w:color="auto" w:fill="FFFFFF"/>
          <w:lang w:val="en-GB"/>
        </w:rPr>
        <w:t xml:space="preserve">W. </w:t>
      </w:r>
      <w:proofErr w:type="spellStart"/>
      <w:r w:rsidRPr="007B4F73">
        <w:rPr>
          <w:rFonts w:ascii="Times New Roman" w:hAnsi="Times New Roman" w:cs="Times New Roman"/>
          <w:sz w:val="24"/>
          <w:szCs w:val="24"/>
          <w:shd w:val="clear" w:color="auto" w:fill="FFFFFF"/>
          <w:lang w:val="en-GB"/>
        </w:rPr>
        <w:t>Hörner</w:t>
      </w:r>
      <w:proofErr w:type="spellEnd"/>
      <w:r w:rsidRPr="007B4F73">
        <w:rPr>
          <w:rFonts w:ascii="Times New Roman" w:hAnsi="Times New Roman" w:cs="Times New Roman"/>
          <w:sz w:val="24"/>
          <w:szCs w:val="24"/>
          <w:shd w:val="clear" w:color="auto" w:fill="FFFFFF"/>
          <w:lang w:val="en-GB"/>
        </w:rPr>
        <w:t xml:space="preserve">, </w:t>
      </w:r>
      <w:r w:rsidR="00C65628" w:rsidRPr="007B4F73">
        <w:rPr>
          <w:rFonts w:ascii="Times New Roman" w:hAnsi="Times New Roman" w:cs="Times New Roman"/>
          <w:sz w:val="24"/>
          <w:szCs w:val="24"/>
          <w:shd w:val="clear" w:color="auto" w:fill="FFFFFF"/>
          <w:lang w:val="en-GB"/>
        </w:rPr>
        <w:t xml:space="preserve">H. </w:t>
      </w:r>
      <w:proofErr w:type="spellStart"/>
      <w:r w:rsidRPr="007B4F73">
        <w:rPr>
          <w:rFonts w:ascii="Times New Roman" w:hAnsi="Times New Roman" w:cs="Times New Roman"/>
          <w:sz w:val="24"/>
          <w:szCs w:val="24"/>
          <w:shd w:val="clear" w:color="auto" w:fill="FFFFFF"/>
          <w:lang w:val="en-GB"/>
        </w:rPr>
        <w:t>Döbert</w:t>
      </w:r>
      <w:proofErr w:type="spellEnd"/>
      <w:r w:rsidRPr="007B4F73">
        <w:rPr>
          <w:rFonts w:ascii="Times New Roman" w:hAnsi="Times New Roman" w:cs="Times New Roman"/>
          <w:sz w:val="24"/>
          <w:szCs w:val="24"/>
          <w:shd w:val="clear" w:color="auto" w:fill="FFFFFF"/>
          <w:lang w:val="en-GB"/>
        </w:rPr>
        <w:t xml:space="preserve">, </w:t>
      </w:r>
      <w:r w:rsidR="00C65628" w:rsidRPr="007B4F73">
        <w:rPr>
          <w:rFonts w:ascii="Times New Roman" w:hAnsi="Times New Roman" w:cs="Times New Roman"/>
          <w:sz w:val="24"/>
          <w:szCs w:val="24"/>
          <w:shd w:val="clear" w:color="auto" w:fill="FFFFFF"/>
          <w:lang w:val="en-GB"/>
        </w:rPr>
        <w:t xml:space="preserve">L. </w:t>
      </w:r>
      <w:r w:rsidRPr="007B4F73">
        <w:rPr>
          <w:rFonts w:ascii="Times New Roman" w:hAnsi="Times New Roman" w:cs="Times New Roman"/>
          <w:sz w:val="24"/>
          <w:szCs w:val="24"/>
          <w:shd w:val="clear" w:color="auto" w:fill="FFFFFF"/>
          <w:lang w:val="en-GB"/>
        </w:rPr>
        <w:t>Reuter,</w:t>
      </w:r>
      <w:r w:rsidR="00C65628" w:rsidRPr="007B4F73">
        <w:rPr>
          <w:rFonts w:ascii="Times New Roman" w:hAnsi="Times New Roman" w:cs="Times New Roman"/>
          <w:sz w:val="24"/>
          <w:szCs w:val="24"/>
          <w:shd w:val="clear" w:color="auto" w:fill="FFFFFF"/>
          <w:lang w:val="en-GB"/>
        </w:rPr>
        <w:t xml:space="preserve"> and</w:t>
      </w:r>
      <w:r w:rsidRPr="007B4F73">
        <w:rPr>
          <w:rFonts w:ascii="Times New Roman" w:hAnsi="Times New Roman" w:cs="Times New Roman"/>
          <w:sz w:val="24"/>
          <w:szCs w:val="24"/>
          <w:shd w:val="clear" w:color="auto" w:fill="FFFFFF"/>
          <w:lang w:val="en-GB"/>
        </w:rPr>
        <w:t xml:space="preserve"> </w:t>
      </w:r>
      <w:r w:rsidR="00C65628" w:rsidRPr="007B4F73">
        <w:rPr>
          <w:rFonts w:ascii="Times New Roman" w:hAnsi="Times New Roman" w:cs="Times New Roman"/>
          <w:sz w:val="24"/>
          <w:szCs w:val="24"/>
          <w:shd w:val="clear" w:color="auto" w:fill="FFFFFF"/>
          <w:lang w:val="en-GB"/>
        </w:rPr>
        <w:t xml:space="preserve">B. </w:t>
      </w:r>
      <w:r w:rsidRPr="007B4F73">
        <w:rPr>
          <w:rFonts w:ascii="Times New Roman" w:hAnsi="Times New Roman" w:cs="Times New Roman"/>
          <w:sz w:val="24"/>
          <w:szCs w:val="24"/>
          <w:shd w:val="clear" w:color="auto" w:fill="FFFFFF"/>
          <w:lang w:val="en-GB"/>
        </w:rPr>
        <w:t>von Kopp,</w:t>
      </w:r>
      <w:r w:rsidR="00722D9B" w:rsidRPr="007B4F73">
        <w:rPr>
          <w:rFonts w:ascii="Times New Roman" w:hAnsi="Times New Roman" w:cs="Times New Roman"/>
          <w:i/>
          <w:sz w:val="24"/>
          <w:szCs w:val="24"/>
          <w:shd w:val="clear" w:color="auto" w:fill="FFFFFF"/>
          <w:lang w:val="en-GB"/>
        </w:rPr>
        <w:t xml:space="preserve"> </w:t>
      </w:r>
      <w:r w:rsidR="00391F5B" w:rsidRPr="007B4F73">
        <w:rPr>
          <w:rFonts w:ascii="Times New Roman" w:hAnsi="Times New Roman" w:cs="Times New Roman"/>
          <w:sz w:val="24"/>
          <w:szCs w:val="24"/>
          <w:shd w:val="clear" w:color="auto" w:fill="FFFFFF"/>
          <w:lang w:val="en-GB"/>
        </w:rPr>
        <w:t>155-171</w:t>
      </w:r>
      <w:r w:rsidR="0081544A" w:rsidRPr="007B4F73">
        <w:rPr>
          <w:rFonts w:ascii="Times New Roman" w:hAnsi="Times New Roman" w:cs="Times New Roman"/>
          <w:sz w:val="24"/>
          <w:szCs w:val="24"/>
          <w:shd w:val="clear" w:color="auto" w:fill="FFFFFF"/>
          <w:lang w:val="en-GB"/>
        </w:rPr>
        <w:t xml:space="preserve">. </w:t>
      </w:r>
      <w:r w:rsidR="00B05372" w:rsidRPr="007B4F73">
        <w:rPr>
          <w:rFonts w:ascii="Times New Roman" w:hAnsi="Times New Roman" w:cs="Times New Roman"/>
          <w:sz w:val="24"/>
          <w:szCs w:val="24"/>
          <w:shd w:val="clear" w:color="auto" w:fill="FFFFFF"/>
          <w:lang w:val="en-GB"/>
        </w:rPr>
        <w:t>Cham: Springer</w:t>
      </w:r>
      <w:r w:rsidR="00A316FA" w:rsidRPr="007B4F73">
        <w:rPr>
          <w:rFonts w:ascii="Times New Roman" w:hAnsi="Times New Roman" w:cs="Times New Roman"/>
          <w:sz w:val="24"/>
          <w:szCs w:val="24"/>
          <w:shd w:val="clear" w:color="auto" w:fill="FFFFFF"/>
          <w:lang w:val="en-GB"/>
        </w:rPr>
        <w:t>.</w:t>
      </w:r>
    </w:p>
    <w:p w14:paraId="763D91FF" w14:textId="6DCE9649" w:rsidR="00F8163D" w:rsidRPr="00C71A30" w:rsidRDefault="00F8163D" w:rsidP="00C03772">
      <w:pPr>
        <w:spacing w:after="0" w:line="480" w:lineRule="auto"/>
        <w:ind w:left="720" w:hanging="720"/>
        <w:rPr>
          <w:rFonts w:asciiTheme="majorBidi" w:hAnsiTheme="majorBidi" w:cstheme="majorBidi"/>
          <w:sz w:val="24"/>
          <w:szCs w:val="24"/>
          <w:shd w:val="clear" w:color="auto" w:fill="FFFFFF"/>
          <w:lang w:val="en-GB"/>
        </w:rPr>
      </w:pPr>
      <w:proofErr w:type="spellStart"/>
      <w:r w:rsidRPr="00C71A30">
        <w:rPr>
          <w:rFonts w:asciiTheme="majorBidi" w:hAnsiTheme="majorBidi" w:cstheme="majorBidi"/>
          <w:sz w:val="24"/>
          <w:szCs w:val="24"/>
          <w:shd w:val="clear" w:color="auto" w:fill="FFFFFF"/>
          <w:lang w:val="en-GB"/>
        </w:rPr>
        <w:t>Phalet</w:t>
      </w:r>
      <w:proofErr w:type="spellEnd"/>
      <w:r w:rsidRPr="00C71A30">
        <w:rPr>
          <w:rFonts w:asciiTheme="majorBidi" w:hAnsiTheme="majorBidi" w:cstheme="majorBidi"/>
          <w:sz w:val="24"/>
          <w:szCs w:val="24"/>
          <w:shd w:val="clear" w:color="auto" w:fill="FFFFFF"/>
          <w:lang w:val="en-GB"/>
        </w:rPr>
        <w:t xml:space="preserve">, K., </w:t>
      </w:r>
      <w:r w:rsidR="002A35F2" w:rsidRPr="00C71A30">
        <w:rPr>
          <w:rFonts w:asciiTheme="majorBidi" w:hAnsiTheme="majorBidi" w:cstheme="majorBidi"/>
          <w:sz w:val="24"/>
          <w:szCs w:val="24"/>
          <w:shd w:val="clear" w:color="auto" w:fill="FFFFFF"/>
          <w:lang w:val="en-GB"/>
        </w:rPr>
        <w:t xml:space="preserve">I. </w:t>
      </w:r>
      <w:proofErr w:type="spellStart"/>
      <w:r w:rsidRPr="00C71A30">
        <w:rPr>
          <w:rFonts w:asciiTheme="majorBidi" w:hAnsiTheme="majorBidi" w:cstheme="majorBidi"/>
          <w:sz w:val="24"/>
          <w:szCs w:val="24"/>
          <w:shd w:val="clear" w:color="auto" w:fill="FFFFFF"/>
          <w:lang w:val="en-GB"/>
        </w:rPr>
        <w:t>Andriessen</w:t>
      </w:r>
      <w:proofErr w:type="spellEnd"/>
      <w:r w:rsidRPr="00C71A30">
        <w:rPr>
          <w:rFonts w:asciiTheme="majorBidi" w:hAnsiTheme="majorBidi" w:cstheme="majorBidi"/>
          <w:sz w:val="24"/>
          <w:szCs w:val="24"/>
          <w:shd w:val="clear" w:color="auto" w:fill="FFFFFF"/>
          <w:lang w:val="en-GB"/>
        </w:rPr>
        <w:t xml:space="preserve">, </w:t>
      </w:r>
      <w:r w:rsidR="002A35F2" w:rsidRPr="00C71A30">
        <w:rPr>
          <w:rFonts w:asciiTheme="majorBidi" w:hAnsiTheme="majorBidi" w:cstheme="majorBidi"/>
          <w:sz w:val="24"/>
          <w:szCs w:val="24"/>
          <w:shd w:val="clear" w:color="auto" w:fill="FFFFFF"/>
          <w:lang w:val="en-GB"/>
        </w:rPr>
        <w:t>and</w:t>
      </w:r>
      <w:r w:rsidRPr="00C71A30">
        <w:rPr>
          <w:rFonts w:asciiTheme="majorBidi" w:hAnsiTheme="majorBidi" w:cstheme="majorBidi"/>
          <w:sz w:val="24"/>
          <w:szCs w:val="24"/>
          <w:shd w:val="clear" w:color="auto" w:fill="FFFFFF"/>
          <w:lang w:val="en-GB"/>
        </w:rPr>
        <w:t xml:space="preserve"> </w:t>
      </w:r>
      <w:r w:rsidR="002A35F2" w:rsidRPr="00C71A30">
        <w:rPr>
          <w:rFonts w:asciiTheme="majorBidi" w:hAnsiTheme="majorBidi" w:cstheme="majorBidi"/>
          <w:sz w:val="24"/>
          <w:szCs w:val="24"/>
          <w:shd w:val="clear" w:color="auto" w:fill="FFFFFF"/>
          <w:lang w:val="en-GB"/>
        </w:rPr>
        <w:t xml:space="preserve">W. </w:t>
      </w:r>
      <w:r w:rsidRPr="00C71A30">
        <w:rPr>
          <w:rFonts w:asciiTheme="majorBidi" w:hAnsiTheme="majorBidi" w:cstheme="majorBidi"/>
          <w:sz w:val="24"/>
          <w:szCs w:val="24"/>
          <w:shd w:val="clear" w:color="auto" w:fill="FFFFFF"/>
          <w:lang w:val="en-GB"/>
        </w:rPr>
        <w:t>Lens</w:t>
      </w:r>
      <w:r w:rsidR="002A35F2" w:rsidRPr="00C71A30">
        <w:rPr>
          <w:rFonts w:asciiTheme="majorBidi" w:hAnsiTheme="majorBidi" w:cstheme="majorBidi"/>
          <w:sz w:val="24"/>
          <w:szCs w:val="24"/>
          <w:shd w:val="clear" w:color="auto" w:fill="FFFFFF"/>
          <w:lang w:val="en-GB"/>
        </w:rPr>
        <w:t>. 2004</w:t>
      </w:r>
      <w:r w:rsidRPr="00C71A30">
        <w:rPr>
          <w:rFonts w:asciiTheme="majorBidi" w:hAnsiTheme="majorBidi" w:cstheme="majorBidi"/>
          <w:sz w:val="24"/>
          <w:szCs w:val="24"/>
          <w:shd w:val="clear" w:color="auto" w:fill="FFFFFF"/>
          <w:lang w:val="en-GB"/>
        </w:rPr>
        <w:t xml:space="preserve">. </w:t>
      </w:r>
      <w:r w:rsidR="002A35F2" w:rsidRPr="00C71A30">
        <w:rPr>
          <w:rFonts w:asciiTheme="majorBidi" w:hAnsiTheme="majorBidi" w:cstheme="majorBidi"/>
          <w:sz w:val="24"/>
          <w:szCs w:val="24"/>
          <w:shd w:val="clear" w:color="auto" w:fill="FFFFFF"/>
          <w:lang w:val="en-GB"/>
        </w:rPr>
        <w:t>“</w:t>
      </w:r>
      <w:r w:rsidR="00743DBF" w:rsidRPr="00743DBF">
        <w:rPr>
          <w:rFonts w:asciiTheme="majorBidi" w:hAnsiTheme="majorBidi" w:cstheme="majorBidi"/>
          <w:sz w:val="24"/>
          <w:szCs w:val="24"/>
          <w:shd w:val="clear" w:color="auto" w:fill="FFFFFF"/>
          <w:lang w:val="en-GB"/>
        </w:rPr>
        <w:t>How Future Goals Enhance Motivation and Learning in Multicultural Classrooms</w:t>
      </w:r>
      <w:r w:rsidRPr="00C71A30">
        <w:rPr>
          <w:rFonts w:asciiTheme="majorBidi" w:hAnsiTheme="majorBidi" w:cstheme="majorBidi"/>
          <w:sz w:val="24"/>
          <w:szCs w:val="24"/>
          <w:shd w:val="clear" w:color="auto" w:fill="FFFFFF"/>
          <w:lang w:val="en-GB"/>
        </w:rPr>
        <w:t>.</w:t>
      </w:r>
      <w:r w:rsidR="002A35F2" w:rsidRPr="00C71A30">
        <w:rPr>
          <w:rFonts w:asciiTheme="majorBidi" w:hAnsiTheme="majorBidi" w:cstheme="majorBidi"/>
          <w:sz w:val="24"/>
          <w:szCs w:val="24"/>
          <w:shd w:val="clear" w:color="auto" w:fill="FFFFFF"/>
          <w:lang w:val="en-GB"/>
        </w:rPr>
        <w:t>”</w:t>
      </w:r>
      <w:r w:rsidRPr="00C71A30">
        <w:rPr>
          <w:rFonts w:asciiTheme="majorBidi" w:hAnsiTheme="majorBidi" w:cstheme="majorBidi"/>
          <w:sz w:val="24"/>
          <w:szCs w:val="24"/>
          <w:shd w:val="clear" w:color="auto" w:fill="FFFFFF"/>
          <w:lang w:val="en-GB"/>
        </w:rPr>
        <w:t> </w:t>
      </w:r>
      <w:r w:rsidRPr="00C71A30">
        <w:rPr>
          <w:rFonts w:asciiTheme="majorBidi" w:hAnsiTheme="majorBidi" w:cstheme="majorBidi"/>
          <w:i/>
          <w:iCs/>
          <w:sz w:val="24"/>
          <w:szCs w:val="24"/>
          <w:shd w:val="clear" w:color="auto" w:fill="FFFFFF"/>
          <w:lang w:val="en-GB"/>
        </w:rPr>
        <w:t>Educational Psychology Review</w:t>
      </w:r>
      <w:r w:rsidRPr="00C71A30">
        <w:rPr>
          <w:rFonts w:asciiTheme="majorBidi" w:hAnsiTheme="majorBidi" w:cstheme="majorBidi"/>
          <w:sz w:val="24"/>
          <w:szCs w:val="24"/>
          <w:shd w:val="clear" w:color="auto" w:fill="FFFFFF"/>
          <w:lang w:val="en-GB"/>
        </w:rPr>
        <w:t> </w:t>
      </w:r>
      <w:r w:rsidRPr="00C71A30">
        <w:rPr>
          <w:rFonts w:asciiTheme="majorBidi" w:hAnsiTheme="majorBidi" w:cstheme="majorBidi"/>
          <w:iCs/>
          <w:sz w:val="24"/>
          <w:szCs w:val="24"/>
          <w:shd w:val="clear" w:color="auto" w:fill="FFFFFF"/>
          <w:lang w:val="en-GB"/>
        </w:rPr>
        <w:t>16</w:t>
      </w:r>
      <w:r w:rsidR="002A35F2" w:rsidRPr="00C71A30">
        <w:rPr>
          <w:rFonts w:asciiTheme="majorBidi" w:hAnsiTheme="majorBidi" w:cstheme="majorBidi"/>
          <w:sz w:val="24"/>
          <w:szCs w:val="24"/>
          <w:shd w:val="clear" w:color="auto" w:fill="FFFFFF"/>
          <w:lang w:val="en-GB"/>
        </w:rPr>
        <w:t xml:space="preserve"> </w:t>
      </w:r>
      <w:r w:rsidRPr="00C71A30">
        <w:rPr>
          <w:rFonts w:asciiTheme="majorBidi" w:hAnsiTheme="majorBidi" w:cstheme="majorBidi"/>
          <w:sz w:val="24"/>
          <w:szCs w:val="24"/>
          <w:shd w:val="clear" w:color="auto" w:fill="FFFFFF"/>
          <w:lang w:val="en-GB"/>
        </w:rPr>
        <w:t>(1)</w:t>
      </w:r>
      <w:r w:rsidR="002A35F2" w:rsidRPr="00C71A30">
        <w:rPr>
          <w:rFonts w:asciiTheme="majorBidi" w:hAnsiTheme="majorBidi" w:cstheme="majorBidi"/>
          <w:sz w:val="24"/>
          <w:szCs w:val="24"/>
          <w:shd w:val="clear" w:color="auto" w:fill="FFFFFF"/>
          <w:lang w:val="en-GB"/>
        </w:rPr>
        <w:t>:</w:t>
      </w:r>
      <w:r w:rsidRPr="00C71A30">
        <w:rPr>
          <w:rFonts w:asciiTheme="majorBidi" w:hAnsiTheme="majorBidi" w:cstheme="majorBidi"/>
          <w:sz w:val="24"/>
          <w:szCs w:val="24"/>
          <w:shd w:val="clear" w:color="auto" w:fill="FFFFFF"/>
          <w:lang w:val="en-GB"/>
        </w:rPr>
        <w:t xml:space="preserve"> 59-89. </w:t>
      </w:r>
      <w:r w:rsidR="007B17C9" w:rsidRPr="00C71A30">
        <w:rPr>
          <w:rFonts w:asciiTheme="majorBidi" w:hAnsiTheme="majorBidi" w:cstheme="majorBidi"/>
          <w:sz w:val="24"/>
          <w:szCs w:val="24"/>
          <w:shd w:val="clear" w:color="auto" w:fill="FFFFFF"/>
          <w:lang w:val="en-GB"/>
        </w:rPr>
        <w:t>doi:</w:t>
      </w:r>
      <w:r w:rsidR="004C05AD" w:rsidRPr="00C71A30">
        <w:rPr>
          <w:rFonts w:asciiTheme="majorBidi" w:hAnsiTheme="majorBidi" w:cstheme="majorBidi"/>
          <w:sz w:val="24"/>
          <w:szCs w:val="24"/>
          <w:shd w:val="clear" w:color="auto" w:fill="FFFFFF"/>
          <w:lang w:val="en-GB"/>
        </w:rPr>
        <w:t>10.1023/B:EDPR.0000012345.71645.d4</w:t>
      </w:r>
      <w:r w:rsidR="00C71A30" w:rsidRPr="00C71A30">
        <w:rPr>
          <w:rFonts w:asciiTheme="majorBidi" w:hAnsiTheme="majorBidi" w:cstheme="majorBidi"/>
          <w:sz w:val="24"/>
          <w:szCs w:val="24"/>
          <w:shd w:val="clear" w:color="auto" w:fill="FFFFFF"/>
          <w:lang w:val="en-GB"/>
        </w:rPr>
        <w:t>.</w:t>
      </w:r>
    </w:p>
    <w:p w14:paraId="5D5BCD06" w14:textId="6198FB5F" w:rsidR="004C05AD" w:rsidRPr="00E67EA2" w:rsidRDefault="003546A5" w:rsidP="00C03772">
      <w:pPr>
        <w:spacing w:after="0" w:line="480" w:lineRule="auto"/>
        <w:ind w:left="720" w:hanging="720"/>
        <w:rPr>
          <w:rFonts w:asciiTheme="majorBidi" w:hAnsiTheme="majorBidi" w:cstheme="majorBidi"/>
          <w:sz w:val="24"/>
          <w:szCs w:val="24"/>
          <w:shd w:val="clear" w:color="auto" w:fill="FFFFFF"/>
          <w:lang w:val="en-GB"/>
        </w:rPr>
      </w:pPr>
      <w:r w:rsidRPr="00E67EA2">
        <w:rPr>
          <w:rFonts w:asciiTheme="majorBidi" w:hAnsiTheme="majorBidi" w:cstheme="majorBidi"/>
          <w:spacing w:val="4"/>
          <w:sz w:val="24"/>
          <w:szCs w:val="24"/>
          <w:shd w:val="clear" w:color="auto" w:fill="FCFCFC"/>
          <w:lang w:val="en-GB"/>
        </w:rPr>
        <w:t>Santa R. 2018</w:t>
      </w:r>
      <w:r w:rsidR="002C64EA" w:rsidRPr="00E67EA2">
        <w:rPr>
          <w:rFonts w:asciiTheme="majorBidi" w:hAnsiTheme="majorBidi" w:cstheme="majorBidi"/>
          <w:spacing w:val="4"/>
          <w:sz w:val="24"/>
          <w:szCs w:val="24"/>
          <w:shd w:val="clear" w:color="auto" w:fill="FCFCFC"/>
          <w:lang w:val="en-GB"/>
        </w:rPr>
        <w:t>.</w:t>
      </w:r>
      <w:r w:rsidR="004C05AD" w:rsidRPr="00E67EA2">
        <w:rPr>
          <w:rFonts w:asciiTheme="majorBidi" w:hAnsiTheme="majorBidi" w:cstheme="majorBidi"/>
          <w:spacing w:val="4"/>
          <w:sz w:val="24"/>
          <w:szCs w:val="24"/>
          <w:shd w:val="clear" w:color="auto" w:fill="FCFCFC"/>
          <w:lang w:val="en-GB"/>
        </w:rPr>
        <w:t xml:space="preserve"> </w:t>
      </w:r>
      <w:r w:rsidR="00EE6480" w:rsidRPr="00E67EA2">
        <w:rPr>
          <w:rFonts w:asciiTheme="majorBidi" w:hAnsiTheme="majorBidi" w:cstheme="majorBidi"/>
          <w:spacing w:val="4"/>
          <w:sz w:val="24"/>
          <w:szCs w:val="24"/>
          <w:shd w:val="clear" w:color="auto" w:fill="FCFCFC"/>
          <w:lang w:val="en-GB"/>
        </w:rPr>
        <w:t>“</w:t>
      </w:r>
      <w:r w:rsidR="004C05AD" w:rsidRPr="00E67EA2">
        <w:rPr>
          <w:rFonts w:asciiTheme="majorBidi" w:hAnsiTheme="majorBidi" w:cstheme="majorBidi"/>
          <w:spacing w:val="4"/>
          <w:sz w:val="24"/>
          <w:szCs w:val="24"/>
          <w:shd w:val="clear" w:color="auto" w:fill="FCFCFC"/>
          <w:lang w:val="en-GB"/>
        </w:rPr>
        <w:t>The Future of European Higher Education in an Age of Demographic Headwinds: The Impact of Demographic Decline on Higher Education System Structures Funding in Romania Polan</w:t>
      </w:r>
      <w:r w:rsidR="00542E45" w:rsidRPr="00E67EA2">
        <w:rPr>
          <w:rFonts w:asciiTheme="majorBidi" w:hAnsiTheme="majorBidi" w:cstheme="majorBidi"/>
          <w:spacing w:val="4"/>
          <w:sz w:val="24"/>
          <w:szCs w:val="24"/>
          <w:shd w:val="clear" w:color="auto" w:fill="FCFCFC"/>
          <w:lang w:val="en-GB"/>
        </w:rPr>
        <w:t>d Russia</w:t>
      </w:r>
      <w:r w:rsidR="00EE6480" w:rsidRPr="00E67EA2">
        <w:rPr>
          <w:rFonts w:asciiTheme="majorBidi" w:hAnsiTheme="majorBidi" w:cstheme="majorBidi"/>
          <w:spacing w:val="4"/>
          <w:sz w:val="24"/>
          <w:szCs w:val="24"/>
          <w:shd w:val="clear" w:color="auto" w:fill="FCFCFC"/>
          <w:lang w:val="en-GB"/>
        </w:rPr>
        <w:t>.”</w:t>
      </w:r>
      <w:r w:rsidR="00542E45" w:rsidRPr="00E67EA2">
        <w:rPr>
          <w:rFonts w:asciiTheme="majorBidi" w:hAnsiTheme="majorBidi" w:cstheme="majorBidi"/>
          <w:spacing w:val="4"/>
          <w:sz w:val="24"/>
          <w:szCs w:val="24"/>
          <w:shd w:val="clear" w:color="auto" w:fill="FCFCFC"/>
          <w:lang w:val="en-GB"/>
        </w:rPr>
        <w:t xml:space="preserve"> In</w:t>
      </w:r>
      <w:r w:rsidR="00270C91" w:rsidRPr="00E67EA2">
        <w:rPr>
          <w:rFonts w:asciiTheme="majorBidi" w:hAnsiTheme="majorBidi" w:cstheme="majorBidi"/>
          <w:spacing w:val="4"/>
          <w:sz w:val="24"/>
          <w:szCs w:val="24"/>
          <w:shd w:val="clear" w:color="auto" w:fill="FCFCFC"/>
          <w:lang w:val="en-GB"/>
        </w:rPr>
        <w:t xml:space="preserve"> </w:t>
      </w:r>
      <w:r w:rsidR="00270C91" w:rsidRPr="00E67EA2">
        <w:rPr>
          <w:rFonts w:asciiTheme="majorBidi" w:hAnsiTheme="majorBidi" w:cstheme="majorBidi"/>
          <w:i/>
          <w:iCs/>
          <w:spacing w:val="4"/>
          <w:sz w:val="24"/>
          <w:szCs w:val="24"/>
          <w:shd w:val="clear" w:color="auto" w:fill="FCFCFC"/>
          <w:lang w:val="en-GB"/>
        </w:rPr>
        <w:t>European Higher Education Area: The Impact of Past and Future Policies,</w:t>
      </w:r>
      <w:r w:rsidR="00270C91" w:rsidRPr="00E67EA2">
        <w:rPr>
          <w:rFonts w:asciiTheme="majorBidi" w:hAnsiTheme="majorBidi" w:cstheme="majorBidi"/>
          <w:spacing w:val="4"/>
          <w:sz w:val="24"/>
          <w:szCs w:val="24"/>
          <w:shd w:val="clear" w:color="auto" w:fill="FCFCFC"/>
          <w:lang w:val="en-GB"/>
        </w:rPr>
        <w:t xml:space="preserve"> edited by</w:t>
      </w:r>
      <w:r w:rsidR="00542E45" w:rsidRPr="00E67EA2">
        <w:rPr>
          <w:rFonts w:asciiTheme="majorBidi" w:hAnsiTheme="majorBidi" w:cstheme="majorBidi"/>
          <w:spacing w:val="4"/>
          <w:sz w:val="24"/>
          <w:szCs w:val="24"/>
          <w:shd w:val="clear" w:color="auto" w:fill="FCFCFC"/>
          <w:lang w:val="en-GB"/>
        </w:rPr>
        <w:t xml:space="preserve"> </w:t>
      </w:r>
      <w:r w:rsidR="00270C91" w:rsidRPr="00E67EA2">
        <w:rPr>
          <w:rFonts w:asciiTheme="majorBidi" w:hAnsiTheme="majorBidi" w:cstheme="majorBidi"/>
          <w:spacing w:val="4"/>
          <w:sz w:val="24"/>
          <w:szCs w:val="24"/>
          <w:shd w:val="clear" w:color="auto" w:fill="FCFCFC"/>
          <w:lang w:val="en-GB"/>
        </w:rPr>
        <w:t xml:space="preserve">A. </w:t>
      </w:r>
      <w:proofErr w:type="spellStart"/>
      <w:r w:rsidR="00542E45" w:rsidRPr="00E67EA2">
        <w:rPr>
          <w:rFonts w:asciiTheme="majorBidi" w:hAnsiTheme="majorBidi" w:cstheme="majorBidi"/>
          <w:spacing w:val="4"/>
          <w:sz w:val="24"/>
          <w:szCs w:val="24"/>
          <w:shd w:val="clear" w:color="auto" w:fill="FCFCFC"/>
          <w:lang w:val="en-GB"/>
        </w:rPr>
        <w:t>Curaj</w:t>
      </w:r>
      <w:proofErr w:type="spellEnd"/>
      <w:r w:rsidR="00542E45" w:rsidRPr="00E67EA2">
        <w:rPr>
          <w:rFonts w:asciiTheme="majorBidi" w:hAnsiTheme="majorBidi" w:cstheme="majorBidi"/>
          <w:spacing w:val="4"/>
          <w:sz w:val="24"/>
          <w:szCs w:val="24"/>
          <w:shd w:val="clear" w:color="auto" w:fill="FCFCFC"/>
          <w:lang w:val="en-GB"/>
        </w:rPr>
        <w:t xml:space="preserve">, </w:t>
      </w:r>
      <w:r w:rsidR="00270C91" w:rsidRPr="00E67EA2">
        <w:rPr>
          <w:rFonts w:asciiTheme="majorBidi" w:hAnsiTheme="majorBidi" w:cstheme="majorBidi"/>
          <w:spacing w:val="4"/>
          <w:sz w:val="24"/>
          <w:szCs w:val="24"/>
          <w:shd w:val="clear" w:color="auto" w:fill="FCFCFC"/>
          <w:lang w:val="en-GB"/>
        </w:rPr>
        <w:t xml:space="preserve">L. </w:t>
      </w:r>
      <w:proofErr w:type="spellStart"/>
      <w:r w:rsidR="00542E45" w:rsidRPr="00E67EA2">
        <w:rPr>
          <w:rFonts w:asciiTheme="majorBidi" w:hAnsiTheme="majorBidi" w:cstheme="majorBidi"/>
          <w:spacing w:val="4"/>
          <w:sz w:val="24"/>
          <w:szCs w:val="24"/>
          <w:shd w:val="clear" w:color="auto" w:fill="FCFCFC"/>
          <w:lang w:val="en-GB"/>
        </w:rPr>
        <w:t>Deca</w:t>
      </w:r>
      <w:proofErr w:type="spellEnd"/>
      <w:r w:rsidR="00270C91" w:rsidRPr="00E67EA2">
        <w:rPr>
          <w:rFonts w:asciiTheme="majorBidi" w:hAnsiTheme="majorBidi" w:cstheme="majorBidi"/>
          <w:spacing w:val="4"/>
          <w:sz w:val="24"/>
          <w:szCs w:val="24"/>
          <w:shd w:val="clear" w:color="auto" w:fill="FCFCFC"/>
          <w:lang w:val="en-GB"/>
        </w:rPr>
        <w:t>, and</w:t>
      </w:r>
      <w:r w:rsidR="004C05AD" w:rsidRPr="00E67EA2">
        <w:rPr>
          <w:rFonts w:asciiTheme="majorBidi" w:hAnsiTheme="majorBidi" w:cstheme="majorBidi"/>
          <w:spacing w:val="4"/>
          <w:sz w:val="24"/>
          <w:szCs w:val="24"/>
          <w:shd w:val="clear" w:color="auto" w:fill="FCFCFC"/>
          <w:lang w:val="en-GB"/>
        </w:rPr>
        <w:t xml:space="preserve"> </w:t>
      </w:r>
      <w:r w:rsidR="00270C91" w:rsidRPr="00E67EA2">
        <w:rPr>
          <w:rFonts w:asciiTheme="majorBidi" w:hAnsiTheme="majorBidi" w:cstheme="majorBidi"/>
          <w:spacing w:val="4"/>
          <w:sz w:val="24"/>
          <w:szCs w:val="24"/>
          <w:shd w:val="clear" w:color="auto" w:fill="FCFCFC"/>
          <w:lang w:val="en-GB"/>
        </w:rPr>
        <w:t xml:space="preserve">R. </w:t>
      </w:r>
      <w:proofErr w:type="spellStart"/>
      <w:r w:rsidR="004C05AD" w:rsidRPr="00E67EA2">
        <w:rPr>
          <w:rFonts w:asciiTheme="majorBidi" w:hAnsiTheme="majorBidi" w:cstheme="majorBidi"/>
          <w:spacing w:val="4"/>
          <w:sz w:val="24"/>
          <w:szCs w:val="24"/>
          <w:shd w:val="clear" w:color="auto" w:fill="FCFCFC"/>
          <w:lang w:val="en-GB"/>
        </w:rPr>
        <w:t>Pricopie</w:t>
      </w:r>
      <w:proofErr w:type="spellEnd"/>
      <w:r w:rsidR="00270C91" w:rsidRPr="00E67EA2">
        <w:rPr>
          <w:rFonts w:asciiTheme="majorBidi" w:hAnsiTheme="majorBidi" w:cstheme="majorBidi"/>
          <w:spacing w:val="4"/>
          <w:sz w:val="24"/>
          <w:szCs w:val="24"/>
          <w:shd w:val="clear" w:color="auto" w:fill="FCFCFC"/>
          <w:lang w:val="en-GB"/>
        </w:rPr>
        <w:t>, 369-386</w:t>
      </w:r>
      <w:r w:rsidR="0081544A" w:rsidRPr="00E67EA2">
        <w:rPr>
          <w:rFonts w:asciiTheme="majorBidi" w:hAnsiTheme="majorBidi" w:cstheme="majorBidi"/>
          <w:spacing w:val="4"/>
          <w:sz w:val="24"/>
          <w:szCs w:val="24"/>
          <w:shd w:val="clear" w:color="auto" w:fill="FCFCFC"/>
          <w:lang w:val="en-GB"/>
        </w:rPr>
        <w:t>.</w:t>
      </w:r>
      <w:r w:rsidR="004C05AD" w:rsidRPr="00E67EA2">
        <w:rPr>
          <w:rFonts w:asciiTheme="majorBidi" w:hAnsiTheme="majorBidi" w:cstheme="majorBidi"/>
          <w:spacing w:val="4"/>
          <w:sz w:val="24"/>
          <w:szCs w:val="24"/>
          <w:shd w:val="clear" w:color="auto" w:fill="FCFCFC"/>
          <w:lang w:val="en-GB"/>
        </w:rPr>
        <w:t xml:space="preserve"> </w:t>
      </w:r>
      <w:r w:rsidR="00533DEF" w:rsidRPr="00E67EA2">
        <w:rPr>
          <w:rFonts w:asciiTheme="majorBidi" w:hAnsiTheme="majorBidi" w:cstheme="majorBidi"/>
          <w:spacing w:val="4"/>
          <w:sz w:val="24"/>
          <w:szCs w:val="24"/>
          <w:shd w:val="clear" w:color="auto" w:fill="FCFCFC"/>
          <w:lang w:val="en-GB"/>
        </w:rPr>
        <w:t xml:space="preserve">Cham: </w:t>
      </w:r>
      <w:r w:rsidR="00267135" w:rsidRPr="00E67EA2">
        <w:rPr>
          <w:rFonts w:asciiTheme="majorBidi" w:hAnsiTheme="majorBidi" w:cstheme="majorBidi"/>
          <w:spacing w:val="4"/>
          <w:sz w:val="24"/>
          <w:szCs w:val="24"/>
          <w:shd w:val="clear" w:color="auto" w:fill="FCFCFC"/>
          <w:lang w:val="en-GB"/>
        </w:rPr>
        <w:t>Springer</w:t>
      </w:r>
      <w:r w:rsidR="004C05AD" w:rsidRPr="00E67EA2">
        <w:rPr>
          <w:rFonts w:asciiTheme="majorBidi" w:hAnsiTheme="majorBidi" w:cstheme="majorBidi"/>
          <w:spacing w:val="4"/>
          <w:sz w:val="24"/>
          <w:szCs w:val="24"/>
          <w:shd w:val="clear" w:color="auto" w:fill="FCFCFC"/>
          <w:lang w:val="en-GB"/>
        </w:rPr>
        <w:t>.</w:t>
      </w:r>
      <w:r w:rsidR="00542E45" w:rsidRPr="00E67EA2">
        <w:rPr>
          <w:rFonts w:asciiTheme="majorBidi" w:hAnsiTheme="majorBidi" w:cstheme="majorBidi"/>
          <w:spacing w:val="4"/>
          <w:sz w:val="24"/>
          <w:szCs w:val="24"/>
          <w:shd w:val="clear" w:color="auto" w:fill="FCFCFC"/>
          <w:lang w:val="en-GB"/>
        </w:rPr>
        <w:t xml:space="preserve"> http://dx.doi.org/10.1007/978-3-319-77407-7_23</w:t>
      </w:r>
    </w:p>
    <w:p w14:paraId="3316DAA0" w14:textId="095B8622" w:rsidR="00F8163D" w:rsidRPr="00334BD5" w:rsidRDefault="0080134F" w:rsidP="00C03772">
      <w:pPr>
        <w:spacing w:after="0" w:line="480" w:lineRule="auto"/>
        <w:ind w:left="720" w:hanging="720"/>
        <w:rPr>
          <w:rFonts w:asciiTheme="majorBidi" w:hAnsiTheme="majorBidi" w:cstheme="majorBidi"/>
          <w:sz w:val="24"/>
          <w:szCs w:val="24"/>
          <w:lang w:val="en-GB"/>
        </w:rPr>
      </w:pPr>
      <w:r w:rsidRPr="00334BD5">
        <w:rPr>
          <w:rFonts w:asciiTheme="majorBidi" w:hAnsiTheme="majorBidi" w:cstheme="majorBidi"/>
          <w:sz w:val="24"/>
          <w:szCs w:val="24"/>
          <w:shd w:val="clear" w:color="auto" w:fill="FFFFFF"/>
          <w:lang w:val="en-GB"/>
        </w:rPr>
        <w:t>Schafer, J. L. 1999</w:t>
      </w:r>
      <w:r w:rsidR="00F8163D" w:rsidRPr="00334BD5">
        <w:rPr>
          <w:rFonts w:asciiTheme="majorBidi" w:hAnsiTheme="majorBidi" w:cstheme="majorBidi"/>
          <w:sz w:val="24"/>
          <w:szCs w:val="24"/>
          <w:shd w:val="clear" w:color="auto" w:fill="FFFFFF"/>
          <w:lang w:val="en-GB"/>
        </w:rPr>
        <w:t xml:space="preserve">. </w:t>
      </w:r>
      <w:r w:rsidRPr="00334BD5">
        <w:rPr>
          <w:rFonts w:asciiTheme="majorBidi" w:hAnsiTheme="majorBidi" w:cstheme="majorBidi"/>
          <w:sz w:val="24"/>
          <w:szCs w:val="24"/>
          <w:shd w:val="clear" w:color="auto" w:fill="FFFFFF"/>
          <w:lang w:val="en-GB"/>
        </w:rPr>
        <w:t>“</w:t>
      </w:r>
      <w:r w:rsidR="00924D05">
        <w:rPr>
          <w:rFonts w:asciiTheme="majorBidi" w:hAnsiTheme="majorBidi" w:cstheme="majorBidi"/>
          <w:sz w:val="24"/>
          <w:szCs w:val="24"/>
          <w:shd w:val="clear" w:color="auto" w:fill="FFFFFF"/>
          <w:lang w:val="en-GB"/>
        </w:rPr>
        <w:t>Multiple I</w:t>
      </w:r>
      <w:r w:rsidR="00F8163D" w:rsidRPr="00334BD5">
        <w:rPr>
          <w:rFonts w:asciiTheme="majorBidi" w:hAnsiTheme="majorBidi" w:cstheme="majorBidi"/>
          <w:sz w:val="24"/>
          <w:szCs w:val="24"/>
          <w:shd w:val="clear" w:color="auto" w:fill="FFFFFF"/>
          <w:lang w:val="en-GB"/>
        </w:rPr>
        <w:t xml:space="preserve">mputation: </w:t>
      </w:r>
      <w:r w:rsidR="00924D05">
        <w:rPr>
          <w:rFonts w:asciiTheme="majorBidi" w:hAnsiTheme="majorBidi" w:cstheme="majorBidi"/>
          <w:sz w:val="24"/>
          <w:szCs w:val="24"/>
          <w:shd w:val="clear" w:color="auto" w:fill="FFFFFF"/>
          <w:lang w:val="en-GB"/>
        </w:rPr>
        <w:t>A</w:t>
      </w:r>
      <w:r w:rsidR="00F8163D" w:rsidRPr="00334BD5">
        <w:rPr>
          <w:rFonts w:asciiTheme="majorBidi" w:hAnsiTheme="majorBidi" w:cstheme="majorBidi"/>
          <w:sz w:val="24"/>
          <w:szCs w:val="24"/>
          <w:shd w:val="clear" w:color="auto" w:fill="FFFFFF"/>
          <w:lang w:val="en-GB"/>
        </w:rPr>
        <w:t xml:space="preserve"> </w:t>
      </w:r>
      <w:r w:rsidR="00924D05">
        <w:rPr>
          <w:rFonts w:asciiTheme="majorBidi" w:hAnsiTheme="majorBidi" w:cstheme="majorBidi"/>
          <w:sz w:val="24"/>
          <w:szCs w:val="24"/>
          <w:shd w:val="clear" w:color="auto" w:fill="FFFFFF"/>
          <w:lang w:val="en-GB"/>
        </w:rPr>
        <w:t>P</w:t>
      </w:r>
      <w:r w:rsidR="00F8163D" w:rsidRPr="00334BD5">
        <w:rPr>
          <w:rFonts w:asciiTheme="majorBidi" w:hAnsiTheme="majorBidi" w:cstheme="majorBidi"/>
          <w:sz w:val="24"/>
          <w:szCs w:val="24"/>
          <w:shd w:val="clear" w:color="auto" w:fill="FFFFFF"/>
          <w:lang w:val="en-GB"/>
        </w:rPr>
        <w:t>rimer.</w:t>
      </w:r>
      <w:r w:rsidRPr="00334BD5">
        <w:rPr>
          <w:rFonts w:asciiTheme="majorBidi" w:hAnsiTheme="majorBidi" w:cstheme="majorBidi"/>
          <w:sz w:val="24"/>
          <w:szCs w:val="24"/>
          <w:shd w:val="clear" w:color="auto" w:fill="FFFFFF"/>
          <w:lang w:val="en-GB"/>
        </w:rPr>
        <w:t>”</w:t>
      </w:r>
      <w:r w:rsidR="00F8163D" w:rsidRPr="00334BD5">
        <w:rPr>
          <w:rFonts w:asciiTheme="majorBidi" w:hAnsiTheme="majorBidi" w:cstheme="majorBidi"/>
          <w:sz w:val="24"/>
          <w:szCs w:val="24"/>
          <w:shd w:val="clear" w:color="auto" w:fill="FFFFFF"/>
          <w:lang w:val="en-GB"/>
        </w:rPr>
        <w:t> </w:t>
      </w:r>
      <w:r w:rsidR="00F8163D" w:rsidRPr="00334BD5">
        <w:rPr>
          <w:rFonts w:asciiTheme="majorBidi" w:hAnsiTheme="majorBidi" w:cstheme="majorBidi"/>
          <w:i/>
          <w:iCs/>
          <w:sz w:val="24"/>
          <w:szCs w:val="24"/>
          <w:shd w:val="clear" w:color="auto" w:fill="FFFFFF"/>
          <w:lang w:val="en-GB"/>
        </w:rPr>
        <w:t xml:space="preserve">Statistical </w:t>
      </w:r>
      <w:r w:rsidR="00924D05">
        <w:rPr>
          <w:rFonts w:asciiTheme="majorBidi" w:hAnsiTheme="majorBidi" w:cstheme="majorBidi"/>
          <w:i/>
          <w:iCs/>
          <w:sz w:val="24"/>
          <w:szCs w:val="24"/>
          <w:shd w:val="clear" w:color="auto" w:fill="FFFFFF"/>
          <w:lang w:val="en-GB"/>
        </w:rPr>
        <w:t>M</w:t>
      </w:r>
      <w:r w:rsidR="00F8163D" w:rsidRPr="00334BD5">
        <w:rPr>
          <w:rFonts w:asciiTheme="majorBidi" w:hAnsiTheme="majorBidi" w:cstheme="majorBidi"/>
          <w:i/>
          <w:iCs/>
          <w:sz w:val="24"/>
          <w:szCs w:val="24"/>
          <w:shd w:val="clear" w:color="auto" w:fill="FFFFFF"/>
          <w:lang w:val="en-GB"/>
        </w:rPr>
        <w:t xml:space="preserve">ethods in </w:t>
      </w:r>
      <w:r w:rsidR="00924D05">
        <w:rPr>
          <w:rFonts w:asciiTheme="majorBidi" w:hAnsiTheme="majorBidi" w:cstheme="majorBidi"/>
          <w:i/>
          <w:iCs/>
          <w:sz w:val="24"/>
          <w:szCs w:val="24"/>
          <w:shd w:val="clear" w:color="auto" w:fill="FFFFFF"/>
          <w:lang w:val="en-GB"/>
        </w:rPr>
        <w:t>M</w:t>
      </w:r>
      <w:r w:rsidR="00F8163D" w:rsidRPr="00334BD5">
        <w:rPr>
          <w:rFonts w:asciiTheme="majorBidi" w:hAnsiTheme="majorBidi" w:cstheme="majorBidi"/>
          <w:i/>
          <w:iCs/>
          <w:sz w:val="24"/>
          <w:szCs w:val="24"/>
          <w:shd w:val="clear" w:color="auto" w:fill="FFFFFF"/>
          <w:lang w:val="en-GB"/>
        </w:rPr>
        <w:t xml:space="preserve">edical </w:t>
      </w:r>
      <w:r w:rsidR="00924D05">
        <w:rPr>
          <w:rFonts w:asciiTheme="majorBidi" w:hAnsiTheme="majorBidi" w:cstheme="majorBidi"/>
          <w:i/>
          <w:iCs/>
          <w:sz w:val="24"/>
          <w:szCs w:val="24"/>
          <w:shd w:val="clear" w:color="auto" w:fill="FFFFFF"/>
          <w:lang w:val="en-GB"/>
        </w:rPr>
        <w:t>R</w:t>
      </w:r>
      <w:r w:rsidR="00F8163D" w:rsidRPr="00334BD5">
        <w:rPr>
          <w:rFonts w:asciiTheme="majorBidi" w:hAnsiTheme="majorBidi" w:cstheme="majorBidi"/>
          <w:i/>
          <w:iCs/>
          <w:sz w:val="24"/>
          <w:szCs w:val="24"/>
          <w:shd w:val="clear" w:color="auto" w:fill="FFFFFF"/>
          <w:lang w:val="en-GB"/>
        </w:rPr>
        <w:t>esearch</w:t>
      </w:r>
      <w:r w:rsidR="00F8163D" w:rsidRPr="00334BD5">
        <w:rPr>
          <w:rFonts w:asciiTheme="majorBidi" w:hAnsiTheme="majorBidi" w:cstheme="majorBidi"/>
          <w:sz w:val="24"/>
          <w:szCs w:val="24"/>
          <w:shd w:val="clear" w:color="auto" w:fill="FFFFFF"/>
          <w:lang w:val="en-GB"/>
        </w:rPr>
        <w:t> </w:t>
      </w:r>
      <w:r w:rsidR="00F8163D" w:rsidRPr="00334BD5">
        <w:rPr>
          <w:rFonts w:asciiTheme="majorBidi" w:hAnsiTheme="majorBidi" w:cstheme="majorBidi"/>
          <w:iCs/>
          <w:sz w:val="24"/>
          <w:szCs w:val="24"/>
          <w:shd w:val="clear" w:color="auto" w:fill="FFFFFF"/>
          <w:lang w:val="en-GB"/>
        </w:rPr>
        <w:t>8</w:t>
      </w:r>
      <w:r w:rsidRPr="00334BD5">
        <w:rPr>
          <w:rFonts w:asciiTheme="majorBidi" w:hAnsiTheme="majorBidi" w:cstheme="majorBidi"/>
          <w:sz w:val="24"/>
          <w:szCs w:val="24"/>
          <w:shd w:val="clear" w:color="auto" w:fill="FFFFFF"/>
          <w:lang w:val="en-GB"/>
        </w:rPr>
        <w:t xml:space="preserve"> </w:t>
      </w:r>
      <w:r w:rsidR="00F8163D" w:rsidRPr="00334BD5">
        <w:rPr>
          <w:rFonts w:asciiTheme="majorBidi" w:hAnsiTheme="majorBidi" w:cstheme="majorBidi"/>
          <w:sz w:val="24"/>
          <w:szCs w:val="24"/>
          <w:shd w:val="clear" w:color="auto" w:fill="FFFFFF"/>
          <w:lang w:val="en-GB"/>
        </w:rPr>
        <w:t>(1)</w:t>
      </w:r>
      <w:r w:rsidRPr="00334BD5">
        <w:rPr>
          <w:rFonts w:asciiTheme="majorBidi" w:hAnsiTheme="majorBidi" w:cstheme="majorBidi"/>
          <w:sz w:val="24"/>
          <w:szCs w:val="24"/>
          <w:shd w:val="clear" w:color="auto" w:fill="FFFFFF"/>
          <w:lang w:val="en-GB"/>
        </w:rPr>
        <w:t>:</w:t>
      </w:r>
      <w:r w:rsidR="00F8163D" w:rsidRPr="00334BD5">
        <w:rPr>
          <w:rFonts w:asciiTheme="majorBidi" w:hAnsiTheme="majorBidi" w:cstheme="majorBidi"/>
          <w:sz w:val="24"/>
          <w:szCs w:val="24"/>
          <w:shd w:val="clear" w:color="auto" w:fill="FFFFFF"/>
          <w:lang w:val="en-GB"/>
        </w:rPr>
        <w:t xml:space="preserve"> 3-15. </w:t>
      </w:r>
      <w:proofErr w:type="gramStart"/>
      <w:r w:rsidRPr="00334BD5">
        <w:rPr>
          <w:rFonts w:asciiTheme="majorBidi" w:hAnsiTheme="majorBidi" w:cstheme="majorBidi"/>
          <w:sz w:val="24"/>
          <w:szCs w:val="24"/>
          <w:shd w:val="clear" w:color="auto" w:fill="FFFFFF"/>
          <w:lang w:val="en-GB"/>
        </w:rPr>
        <w:t>doi:</w:t>
      </w:r>
      <w:proofErr w:type="gramEnd"/>
      <w:r w:rsidR="00F8163D" w:rsidRPr="00334BD5">
        <w:rPr>
          <w:rFonts w:asciiTheme="majorBidi" w:hAnsiTheme="majorBidi" w:cstheme="majorBidi"/>
          <w:sz w:val="24"/>
          <w:szCs w:val="24"/>
          <w:shd w:val="clear" w:color="auto" w:fill="FFFFFF"/>
          <w:lang w:val="en-GB"/>
        </w:rPr>
        <w:t>10.1191/096228099671525676</w:t>
      </w:r>
      <w:r w:rsidR="00334BD5" w:rsidRPr="00334BD5">
        <w:rPr>
          <w:rFonts w:asciiTheme="majorBidi" w:hAnsiTheme="majorBidi" w:cstheme="majorBidi"/>
          <w:sz w:val="24"/>
          <w:szCs w:val="24"/>
          <w:shd w:val="clear" w:color="auto" w:fill="FFFFFF"/>
          <w:lang w:val="en-GB"/>
        </w:rPr>
        <w:t>.</w:t>
      </w:r>
    </w:p>
    <w:p w14:paraId="0ECDF0B0" w14:textId="404A11AC" w:rsidR="00F8163D" w:rsidRPr="002411A9" w:rsidRDefault="00F8163D" w:rsidP="00C03772">
      <w:pPr>
        <w:spacing w:after="0" w:line="480" w:lineRule="auto"/>
        <w:ind w:left="720" w:hanging="720"/>
        <w:rPr>
          <w:rFonts w:asciiTheme="majorBidi" w:hAnsiTheme="majorBidi" w:cstheme="majorBidi"/>
          <w:spacing w:val="2"/>
          <w:sz w:val="24"/>
          <w:szCs w:val="24"/>
          <w:shd w:val="clear" w:color="auto" w:fill="FCFCFC"/>
          <w:lang w:val="en-GB"/>
        </w:rPr>
      </w:pPr>
      <w:r w:rsidRPr="002411A9">
        <w:rPr>
          <w:rFonts w:asciiTheme="majorBidi" w:hAnsiTheme="majorBidi" w:cstheme="majorBidi"/>
          <w:spacing w:val="2"/>
          <w:sz w:val="24"/>
          <w:szCs w:val="24"/>
          <w:shd w:val="clear" w:color="auto" w:fill="FCFCFC"/>
          <w:lang w:val="en-GB"/>
        </w:rPr>
        <w:t xml:space="preserve">Sewell, W. H., </w:t>
      </w:r>
      <w:r w:rsidR="00187BDA" w:rsidRPr="002411A9">
        <w:rPr>
          <w:rFonts w:asciiTheme="majorBidi" w:hAnsiTheme="majorBidi" w:cstheme="majorBidi"/>
          <w:spacing w:val="2"/>
          <w:sz w:val="24"/>
          <w:szCs w:val="24"/>
          <w:shd w:val="clear" w:color="auto" w:fill="FCFCFC"/>
          <w:lang w:val="en-GB"/>
        </w:rPr>
        <w:t xml:space="preserve">A. O. </w:t>
      </w:r>
      <w:r w:rsidRPr="002411A9">
        <w:rPr>
          <w:rFonts w:asciiTheme="majorBidi" w:hAnsiTheme="majorBidi" w:cstheme="majorBidi"/>
          <w:spacing w:val="2"/>
          <w:sz w:val="24"/>
          <w:szCs w:val="24"/>
          <w:shd w:val="clear" w:color="auto" w:fill="FCFCFC"/>
          <w:lang w:val="en-GB"/>
        </w:rPr>
        <w:t xml:space="preserve">Haller, </w:t>
      </w:r>
      <w:r w:rsidR="00187BDA" w:rsidRPr="002411A9">
        <w:rPr>
          <w:rFonts w:asciiTheme="majorBidi" w:hAnsiTheme="majorBidi" w:cstheme="majorBidi"/>
          <w:spacing w:val="2"/>
          <w:sz w:val="24"/>
          <w:szCs w:val="24"/>
          <w:shd w:val="clear" w:color="auto" w:fill="FCFCFC"/>
          <w:lang w:val="en-GB"/>
        </w:rPr>
        <w:t>and</w:t>
      </w:r>
      <w:r w:rsidRPr="002411A9">
        <w:rPr>
          <w:rFonts w:asciiTheme="majorBidi" w:hAnsiTheme="majorBidi" w:cstheme="majorBidi"/>
          <w:spacing w:val="2"/>
          <w:sz w:val="24"/>
          <w:szCs w:val="24"/>
          <w:shd w:val="clear" w:color="auto" w:fill="FCFCFC"/>
          <w:lang w:val="en-GB"/>
        </w:rPr>
        <w:t xml:space="preserve"> </w:t>
      </w:r>
      <w:r w:rsidR="00187BDA" w:rsidRPr="002411A9">
        <w:rPr>
          <w:rFonts w:asciiTheme="majorBidi" w:hAnsiTheme="majorBidi" w:cstheme="majorBidi"/>
          <w:spacing w:val="2"/>
          <w:sz w:val="24"/>
          <w:szCs w:val="24"/>
          <w:shd w:val="clear" w:color="auto" w:fill="FCFCFC"/>
          <w:lang w:val="en-GB"/>
        </w:rPr>
        <w:t xml:space="preserve">G. W. </w:t>
      </w:r>
      <w:proofErr w:type="spellStart"/>
      <w:r w:rsidRPr="002411A9">
        <w:rPr>
          <w:rFonts w:asciiTheme="majorBidi" w:hAnsiTheme="majorBidi" w:cstheme="majorBidi"/>
          <w:spacing w:val="2"/>
          <w:sz w:val="24"/>
          <w:szCs w:val="24"/>
          <w:shd w:val="clear" w:color="auto" w:fill="FCFCFC"/>
          <w:lang w:val="en-GB"/>
        </w:rPr>
        <w:t>Ohlendorf</w:t>
      </w:r>
      <w:proofErr w:type="spellEnd"/>
      <w:r w:rsidR="00187BDA" w:rsidRPr="002411A9">
        <w:rPr>
          <w:rFonts w:asciiTheme="majorBidi" w:hAnsiTheme="majorBidi" w:cstheme="majorBidi"/>
          <w:spacing w:val="2"/>
          <w:sz w:val="24"/>
          <w:szCs w:val="24"/>
          <w:shd w:val="clear" w:color="auto" w:fill="FCFCFC"/>
          <w:lang w:val="en-GB"/>
        </w:rPr>
        <w:t>. 1970</w:t>
      </w:r>
      <w:r w:rsidRPr="002411A9">
        <w:rPr>
          <w:rFonts w:asciiTheme="majorBidi" w:hAnsiTheme="majorBidi" w:cstheme="majorBidi"/>
          <w:spacing w:val="2"/>
          <w:sz w:val="24"/>
          <w:szCs w:val="24"/>
          <w:shd w:val="clear" w:color="auto" w:fill="FCFCFC"/>
          <w:lang w:val="en-GB"/>
        </w:rPr>
        <w:t xml:space="preserve">. </w:t>
      </w:r>
      <w:r w:rsidR="00187BDA" w:rsidRPr="002411A9">
        <w:rPr>
          <w:rFonts w:asciiTheme="majorBidi" w:hAnsiTheme="majorBidi" w:cstheme="majorBidi"/>
          <w:spacing w:val="2"/>
          <w:sz w:val="24"/>
          <w:szCs w:val="24"/>
          <w:shd w:val="clear" w:color="auto" w:fill="FCFCFC"/>
          <w:lang w:val="en-GB"/>
        </w:rPr>
        <w:t>“</w:t>
      </w:r>
      <w:r w:rsidR="00C520E4" w:rsidRPr="00C520E4">
        <w:rPr>
          <w:rFonts w:asciiTheme="majorBidi" w:hAnsiTheme="majorBidi" w:cstheme="majorBidi"/>
          <w:spacing w:val="2"/>
          <w:sz w:val="24"/>
          <w:szCs w:val="24"/>
          <w:shd w:val="clear" w:color="auto" w:fill="FCFCFC"/>
          <w:lang w:val="en-GB"/>
        </w:rPr>
        <w:t>The Educational and Early Occupational Status Attainment Process: Replication and Revision</w:t>
      </w:r>
      <w:r w:rsidRPr="002411A9">
        <w:rPr>
          <w:rFonts w:asciiTheme="majorBidi" w:hAnsiTheme="majorBidi" w:cstheme="majorBidi"/>
          <w:spacing w:val="2"/>
          <w:sz w:val="24"/>
          <w:szCs w:val="24"/>
          <w:shd w:val="clear" w:color="auto" w:fill="FCFCFC"/>
          <w:lang w:val="en-GB"/>
        </w:rPr>
        <w:t>.</w:t>
      </w:r>
      <w:r w:rsidR="00187BDA" w:rsidRPr="002411A9">
        <w:rPr>
          <w:rFonts w:asciiTheme="majorBidi" w:hAnsiTheme="majorBidi" w:cstheme="majorBidi"/>
          <w:spacing w:val="2"/>
          <w:sz w:val="24"/>
          <w:szCs w:val="24"/>
          <w:shd w:val="clear" w:color="auto" w:fill="FCFCFC"/>
          <w:lang w:val="en-GB"/>
        </w:rPr>
        <w:t>”</w:t>
      </w:r>
      <w:r w:rsidRPr="002411A9">
        <w:rPr>
          <w:rFonts w:asciiTheme="majorBidi" w:hAnsiTheme="majorBidi" w:cstheme="majorBidi"/>
          <w:spacing w:val="2"/>
          <w:sz w:val="24"/>
          <w:szCs w:val="24"/>
          <w:shd w:val="clear" w:color="auto" w:fill="FCFCFC"/>
          <w:lang w:val="en-GB"/>
        </w:rPr>
        <w:t> </w:t>
      </w:r>
      <w:r w:rsidRPr="002411A9">
        <w:rPr>
          <w:rStyle w:val="Emphasis"/>
          <w:rFonts w:asciiTheme="majorBidi" w:hAnsiTheme="majorBidi" w:cstheme="majorBidi"/>
          <w:spacing w:val="2"/>
          <w:sz w:val="24"/>
          <w:szCs w:val="24"/>
          <w:shd w:val="clear" w:color="auto" w:fill="FCFCFC"/>
          <w:lang w:val="en-GB"/>
        </w:rPr>
        <w:t>American Sociological Review</w:t>
      </w:r>
      <w:r w:rsidRPr="002411A9">
        <w:rPr>
          <w:rFonts w:asciiTheme="majorBidi" w:hAnsiTheme="majorBidi" w:cstheme="majorBidi"/>
          <w:spacing w:val="2"/>
          <w:sz w:val="24"/>
          <w:szCs w:val="24"/>
          <w:shd w:val="clear" w:color="auto" w:fill="FCFCFC"/>
          <w:lang w:val="en-GB"/>
        </w:rPr>
        <w:t> </w:t>
      </w:r>
      <w:r w:rsidRPr="002411A9">
        <w:rPr>
          <w:rStyle w:val="Emphasis"/>
          <w:rFonts w:asciiTheme="majorBidi" w:hAnsiTheme="majorBidi" w:cstheme="majorBidi"/>
          <w:i w:val="0"/>
          <w:spacing w:val="2"/>
          <w:sz w:val="24"/>
          <w:szCs w:val="24"/>
          <w:shd w:val="clear" w:color="auto" w:fill="FCFCFC"/>
          <w:lang w:val="en-GB"/>
        </w:rPr>
        <w:t>35</w:t>
      </w:r>
      <w:r w:rsidR="00187BDA" w:rsidRPr="002411A9">
        <w:rPr>
          <w:rFonts w:asciiTheme="majorBidi" w:hAnsiTheme="majorBidi" w:cstheme="majorBidi"/>
          <w:spacing w:val="2"/>
          <w:sz w:val="24"/>
          <w:szCs w:val="24"/>
          <w:shd w:val="clear" w:color="auto" w:fill="FCFCFC"/>
          <w:lang w:val="en-GB"/>
        </w:rPr>
        <w:t>:</w:t>
      </w:r>
      <w:r w:rsidRPr="002411A9">
        <w:rPr>
          <w:rFonts w:asciiTheme="majorBidi" w:hAnsiTheme="majorBidi" w:cstheme="majorBidi"/>
          <w:spacing w:val="2"/>
          <w:sz w:val="24"/>
          <w:szCs w:val="24"/>
          <w:shd w:val="clear" w:color="auto" w:fill="FCFCFC"/>
          <w:lang w:val="en-GB"/>
        </w:rPr>
        <w:t xml:space="preserve"> 1014–1027. </w:t>
      </w:r>
      <w:proofErr w:type="gramStart"/>
      <w:r w:rsidR="00187BDA" w:rsidRPr="002411A9">
        <w:rPr>
          <w:rFonts w:asciiTheme="majorBidi" w:hAnsiTheme="majorBidi" w:cstheme="majorBidi"/>
          <w:sz w:val="24"/>
          <w:szCs w:val="24"/>
          <w:shd w:val="clear" w:color="auto" w:fill="FFFFFF"/>
          <w:lang w:val="en-GB"/>
        </w:rPr>
        <w:t>doi:</w:t>
      </w:r>
      <w:proofErr w:type="gramEnd"/>
      <w:r w:rsidRPr="002411A9">
        <w:rPr>
          <w:rFonts w:asciiTheme="majorBidi" w:hAnsiTheme="majorBidi" w:cstheme="majorBidi"/>
          <w:spacing w:val="2"/>
          <w:sz w:val="24"/>
          <w:szCs w:val="24"/>
          <w:shd w:val="clear" w:color="auto" w:fill="FCFCFC"/>
          <w:lang w:val="en-GB"/>
        </w:rPr>
        <w:t>10.2307/2093379</w:t>
      </w:r>
      <w:r w:rsidR="00187BDA" w:rsidRPr="002411A9">
        <w:rPr>
          <w:rFonts w:asciiTheme="majorBidi" w:hAnsiTheme="majorBidi" w:cstheme="majorBidi"/>
          <w:spacing w:val="2"/>
          <w:sz w:val="24"/>
          <w:szCs w:val="24"/>
          <w:shd w:val="clear" w:color="auto" w:fill="FCFCFC"/>
          <w:lang w:val="en-GB"/>
        </w:rPr>
        <w:t>.</w:t>
      </w:r>
    </w:p>
    <w:p w14:paraId="0D974B22" w14:textId="13BBFFD3" w:rsidR="00F8163D" w:rsidRPr="00AD6315" w:rsidRDefault="00F8163D" w:rsidP="00C03772">
      <w:pPr>
        <w:spacing w:after="0" w:line="480" w:lineRule="auto"/>
        <w:ind w:left="720" w:hanging="720"/>
        <w:rPr>
          <w:rFonts w:asciiTheme="majorBidi" w:hAnsiTheme="majorBidi" w:cstheme="majorBidi"/>
          <w:spacing w:val="2"/>
          <w:sz w:val="24"/>
          <w:szCs w:val="24"/>
          <w:shd w:val="clear" w:color="auto" w:fill="FCFCFC"/>
          <w:lang w:val="en-GB"/>
        </w:rPr>
      </w:pPr>
      <w:r w:rsidRPr="00AD6315">
        <w:rPr>
          <w:rFonts w:asciiTheme="majorBidi" w:hAnsiTheme="majorBidi" w:cstheme="majorBidi"/>
          <w:spacing w:val="2"/>
          <w:sz w:val="24"/>
          <w:szCs w:val="24"/>
          <w:shd w:val="clear" w:color="auto" w:fill="FCFCFC"/>
          <w:lang w:val="en-GB"/>
        </w:rPr>
        <w:lastRenderedPageBreak/>
        <w:t xml:space="preserve">Sewell, W. H., </w:t>
      </w:r>
      <w:r w:rsidR="00AD257D" w:rsidRPr="00AD6315">
        <w:rPr>
          <w:rFonts w:asciiTheme="majorBidi" w:hAnsiTheme="majorBidi" w:cstheme="majorBidi"/>
          <w:spacing w:val="2"/>
          <w:sz w:val="24"/>
          <w:szCs w:val="24"/>
          <w:shd w:val="clear" w:color="auto" w:fill="FCFCFC"/>
          <w:lang w:val="en-GB"/>
        </w:rPr>
        <w:t xml:space="preserve">A. O. </w:t>
      </w:r>
      <w:r w:rsidRPr="00AD6315">
        <w:rPr>
          <w:rFonts w:asciiTheme="majorBidi" w:hAnsiTheme="majorBidi" w:cstheme="majorBidi"/>
          <w:spacing w:val="2"/>
          <w:sz w:val="24"/>
          <w:szCs w:val="24"/>
          <w:shd w:val="clear" w:color="auto" w:fill="FCFCFC"/>
          <w:lang w:val="en-GB"/>
        </w:rPr>
        <w:t xml:space="preserve">Haller, </w:t>
      </w:r>
      <w:r w:rsidR="00AD257D" w:rsidRPr="00AD6315">
        <w:rPr>
          <w:rFonts w:asciiTheme="majorBidi" w:hAnsiTheme="majorBidi" w:cstheme="majorBidi"/>
          <w:spacing w:val="2"/>
          <w:sz w:val="24"/>
          <w:szCs w:val="24"/>
          <w:shd w:val="clear" w:color="auto" w:fill="FCFCFC"/>
          <w:lang w:val="en-GB"/>
        </w:rPr>
        <w:t>and</w:t>
      </w:r>
      <w:r w:rsidRPr="00AD6315">
        <w:rPr>
          <w:rFonts w:asciiTheme="majorBidi" w:hAnsiTheme="majorBidi" w:cstheme="majorBidi"/>
          <w:spacing w:val="2"/>
          <w:sz w:val="24"/>
          <w:szCs w:val="24"/>
          <w:shd w:val="clear" w:color="auto" w:fill="FCFCFC"/>
          <w:lang w:val="en-GB"/>
        </w:rPr>
        <w:t xml:space="preserve"> </w:t>
      </w:r>
      <w:r w:rsidR="00AD257D" w:rsidRPr="00AD6315">
        <w:rPr>
          <w:rFonts w:asciiTheme="majorBidi" w:hAnsiTheme="majorBidi" w:cstheme="majorBidi"/>
          <w:spacing w:val="2"/>
          <w:sz w:val="24"/>
          <w:szCs w:val="24"/>
          <w:shd w:val="clear" w:color="auto" w:fill="FCFCFC"/>
          <w:lang w:val="en-GB"/>
        </w:rPr>
        <w:t xml:space="preserve">A. </w:t>
      </w:r>
      <w:proofErr w:type="spellStart"/>
      <w:r w:rsidRPr="00AD6315">
        <w:rPr>
          <w:rFonts w:asciiTheme="majorBidi" w:hAnsiTheme="majorBidi" w:cstheme="majorBidi"/>
          <w:spacing w:val="2"/>
          <w:sz w:val="24"/>
          <w:szCs w:val="24"/>
          <w:shd w:val="clear" w:color="auto" w:fill="FCFCFC"/>
          <w:lang w:val="en-GB"/>
        </w:rPr>
        <w:t>Portes</w:t>
      </w:r>
      <w:proofErr w:type="spellEnd"/>
      <w:r w:rsidRPr="00AD6315">
        <w:rPr>
          <w:rFonts w:asciiTheme="majorBidi" w:hAnsiTheme="majorBidi" w:cstheme="majorBidi"/>
          <w:spacing w:val="2"/>
          <w:sz w:val="24"/>
          <w:szCs w:val="24"/>
          <w:shd w:val="clear" w:color="auto" w:fill="FCFCFC"/>
          <w:lang w:val="en-GB"/>
        </w:rPr>
        <w:t xml:space="preserve">. </w:t>
      </w:r>
      <w:r w:rsidR="00AD257D" w:rsidRPr="00AD6315">
        <w:rPr>
          <w:rFonts w:asciiTheme="majorBidi" w:hAnsiTheme="majorBidi" w:cstheme="majorBidi"/>
          <w:spacing w:val="2"/>
          <w:sz w:val="24"/>
          <w:szCs w:val="24"/>
          <w:shd w:val="clear" w:color="auto" w:fill="FCFCFC"/>
          <w:lang w:val="en-GB"/>
        </w:rPr>
        <w:t>1969</w:t>
      </w:r>
      <w:r w:rsidRPr="00AD6315">
        <w:rPr>
          <w:rFonts w:asciiTheme="majorBidi" w:hAnsiTheme="majorBidi" w:cstheme="majorBidi"/>
          <w:spacing w:val="2"/>
          <w:sz w:val="24"/>
          <w:szCs w:val="24"/>
          <w:shd w:val="clear" w:color="auto" w:fill="FCFCFC"/>
          <w:lang w:val="en-GB"/>
        </w:rPr>
        <w:t xml:space="preserve">. </w:t>
      </w:r>
      <w:r w:rsidR="00AD257D" w:rsidRPr="00AD6315">
        <w:rPr>
          <w:rFonts w:asciiTheme="majorBidi" w:hAnsiTheme="majorBidi" w:cstheme="majorBidi"/>
          <w:spacing w:val="2"/>
          <w:sz w:val="24"/>
          <w:szCs w:val="24"/>
          <w:shd w:val="clear" w:color="auto" w:fill="FCFCFC"/>
          <w:lang w:val="en-GB"/>
        </w:rPr>
        <w:t>“</w:t>
      </w:r>
      <w:r w:rsidR="00025415" w:rsidRPr="00025415">
        <w:rPr>
          <w:rFonts w:asciiTheme="majorBidi" w:hAnsiTheme="majorBidi" w:cstheme="majorBidi"/>
          <w:spacing w:val="2"/>
          <w:sz w:val="24"/>
          <w:szCs w:val="24"/>
          <w:shd w:val="clear" w:color="auto" w:fill="FCFCFC"/>
          <w:lang w:val="en-GB"/>
        </w:rPr>
        <w:t>The Educational and Early Occupational Status Attainment Process</w:t>
      </w:r>
      <w:r w:rsidRPr="00AD6315">
        <w:rPr>
          <w:rFonts w:asciiTheme="majorBidi" w:hAnsiTheme="majorBidi" w:cstheme="majorBidi"/>
          <w:spacing w:val="2"/>
          <w:sz w:val="24"/>
          <w:szCs w:val="24"/>
          <w:shd w:val="clear" w:color="auto" w:fill="FCFCFC"/>
          <w:lang w:val="en-GB"/>
        </w:rPr>
        <w:t>.</w:t>
      </w:r>
      <w:r w:rsidR="00AD257D" w:rsidRPr="00AD6315">
        <w:rPr>
          <w:rFonts w:asciiTheme="majorBidi" w:hAnsiTheme="majorBidi" w:cstheme="majorBidi"/>
          <w:spacing w:val="2"/>
          <w:sz w:val="24"/>
          <w:szCs w:val="24"/>
          <w:shd w:val="clear" w:color="auto" w:fill="FCFCFC"/>
          <w:lang w:val="en-GB"/>
        </w:rPr>
        <w:t>”</w:t>
      </w:r>
      <w:r w:rsidRPr="00AD6315">
        <w:rPr>
          <w:rFonts w:asciiTheme="majorBidi" w:hAnsiTheme="majorBidi" w:cstheme="majorBidi"/>
          <w:spacing w:val="2"/>
          <w:sz w:val="24"/>
          <w:szCs w:val="24"/>
          <w:shd w:val="clear" w:color="auto" w:fill="FCFCFC"/>
          <w:lang w:val="en-GB"/>
        </w:rPr>
        <w:t> </w:t>
      </w:r>
      <w:r w:rsidRPr="00AD6315">
        <w:rPr>
          <w:rStyle w:val="Emphasis"/>
          <w:rFonts w:asciiTheme="majorBidi" w:hAnsiTheme="majorBidi" w:cstheme="majorBidi"/>
          <w:spacing w:val="2"/>
          <w:sz w:val="24"/>
          <w:szCs w:val="24"/>
          <w:shd w:val="clear" w:color="auto" w:fill="FCFCFC"/>
          <w:lang w:val="en-GB"/>
        </w:rPr>
        <w:t>American Sociological Review</w:t>
      </w:r>
      <w:r w:rsidRPr="00AD6315">
        <w:rPr>
          <w:rFonts w:asciiTheme="majorBidi" w:hAnsiTheme="majorBidi" w:cstheme="majorBidi"/>
          <w:spacing w:val="2"/>
          <w:sz w:val="24"/>
          <w:szCs w:val="24"/>
          <w:shd w:val="clear" w:color="auto" w:fill="FCFCFC"/>
          <w:lang w:val="en-GB"/>
        </w:rPr>
        <w:t xml:space="preserve"> 34</w:t>
      </w:r>
      <w:r w:rsidR="00AD257D" w:rsidRPr="00AD6315">
        <w:rPr>
          <w:rFonts w:asciiTheme="majorBidi" w:hAnsiTheme="majorBidi" w:cstheme="majorBidi"/>
          <w:spacing w:val="2"/>
          <w:sz w:val="24"/>
          <w:szCs w:val="24"/>
          <w:shd w:val="clear" w:color="auto" w:fill="FCFCFC"/>
          <w:lang w:val="en-GB"/>
        </w:rPr>
        <w:t>:</w:t>
      </w:r>
      <w:r w:rsidRPr="00AD6315">
        <w:rPr>
          <w:rFonts w:asciiTheme="majorBidi" w:hAnsiTheme="majorBidi" w:cstheme="majorBidi"/>
          <w:spacing w:val="2"/>
          <w:sz w:val="24"/>
          <w:szCs w:val="24"/>
          <w:shd w:val="clear" w:color="auto" w:fill="FCFCFC"/>
          <w:lang w:val="en-GB"/>
        </w:rPr>
        <w:t xml:space="preserve"> 82–92.</w:t>
      </w:r>
    </w:p>
    <w:p w14:paraId="002A1DDD" w14:textId="26DBE283" w:rsidR="00F8163D" w:rsidRPr="004D4A9D" w:rsidRDefault="00F8163D" w:rsidP="00C03772">
      <w:pPr>
        <w:spacing w:after="0" w:line="480" w:lineRule="auto"/>
        <w:ind w:left="720" w:hanging="720"/>
        <w:rPr>
          <w:rFonts w:asciiTheme="majorBidi" w:hAnsiTheme="majorBidi" w:cstheme="majorBidi"/>
          <w:sz w:val="24"/>
          <w:szCs w:val="24"/>
          <w:shd w:val="clear" w:color="auto" w:fill="FFFFFF"/>
          <w:lang w:val="en-GB"/>
        </w:rPr>
      </w:pPr>
      <w:r w:rsidRPr="004D4A9D">
        <w:rPr>
          <w:rFonts w:asciiTheme="majorBidi" w:hAnsiTheme="majorBidi" w:cstheme="majorBidi"/>
          <w:sz w:val="24"/>
          <w:szCs w:val="24"/>
          <w:shd w:val="clear" w:color="auto" w:fill="FFFFFF"/>
          <w:lang w:val="en-GB"/>
        </w:rPr>
        <w:t xml:space="preserve">Sewell, W. H., </w:t>
      </w:r>
      <w:r w:rsidR="007D6827" w:rsidRPr="004D4A9D">
        <w:rPr>
          <w:rFonts w:asciiTheme="majorBidi" w:hAnsiTheme="majorBidi" w:cstheme="majorBidi"/>
          <w:sz w:val="24"/>
          <w:szCs w:val="24"/>
          <w:shd w:val="clear" w:color="auto" w:fill="FFFFFF"/>
          <w:lang w:val="en-GB"/>
        </w:rPr>
        <w:t>and</w:t>
      </w:r>
      <w:r w:rsidRPr="004D4A9D">
        <w:rPr>
          <w:rFonts w:asciiTheme="majorBidi" w:hAnsiTheme="majorBidi" w:cstheme="majorBidi"/>
          <w:sz w:val="24"/>
          <w:szCs w:val="24"/>
          <w:shd w:val="clear" w:color="auto" w:fill="FFFFFF"/>
          <w:lang w:val="en-GB"/>
        </w:rPr>
        <w:t xml:space="preserve"> </w:t>
      </w:r>
      <w:r w:rsidR="007D6827" w:rsidRPr="004D4A9D">
        <w:rPr>
          <w:rFonts w:asciiTheme="majorBidi" w:hAnsiTheme="majorBidi" w:cstheme="majorBidi"/>
          <w:sz w:val="24"/>
          <w:szCs w:val="24"/>
          <w:shd w:val="clear" w:color="auto" w:fill="FFFFFF"/>
          <w:lang w:val="en-GB"/>
        </w:rPr>
        <w:t xml:space="preserve">R. M. </w:t>
      </w:r>
      <w:r w:rsidRPr="004D4A9D">
        <w:rPr>
          <w:rFonts w:asciiTheme="majorBidi" w:hAnsiTheme="majorBidi" w:cstheme="majorBidi"/>
          <w:sz w:val="24"/>
          <w:szCs w:val="24"/>
          <w:shd w:val="clear" w:color="auto" w:fill="FFFFFF"/>
          <w:lang w:val="en-GB"/>
        </w:rPr>
        <w:t>Hauser</w:t>
      </w:r>
      <w:r w:rsidR="007D6827" w:rsidRPr="004D4A9D">
        <w:rPr>
          <w:rFonts w:asciiTheme="majorBidi" w:hAnsiTheme="majorBidi" w:cstheme="majorBidi"/>
          <w:sz w:val="24"/>
          <w:szCs w:val="24"/>
          <w:shd w:val="clear" w:color="auto" w:fill="FFFFFF"/>
          <w:lang w:val="en-GB"/>
        </w:rPr>
        <w:t xml:space="preserve">. </w:t>
      </w:r>
      <w:r w:rsidRPr="004D4A9D">
        <w:rPr>
          <w:rFonts w:asciiTheme="majorBidi" w:hAnsiTheme="majorBidi" w:cstheme="majorBidi"/>
          <w:sz w:val="24"/>
          <w:szCs w:val="24"/>
          <w:shd w:val="clear" w:color="auto" w:fill="FFFFFF"/>
          <w:lang w:val="en-GB"/>
        </w:rPr>
        <w:t xml:space="preserve">1972. </w:t>
      </w:r>
      <w:r w:rsidR="007D6827" w:rsidRPr="004D4A9D">
        <w:rPr>
          <w:rFonts w:asciiTheme="majorBidi" w:hAnsiTheme="majorBidi" w:cstheme="majorBidi"/>
          <w:sz w:val="24"/>
          <w:szCs w:val="24"/>
          <w:shd w:val="clear" w:color="auto" w:fill="FFFFFF"/>
          <w:lang w:val="en-GB"/>
        </w:rPr>
        <w:t>“</w:t>
      </w:r>
      <w:r w:rsidR="002B6507" w:rsidRPr="002B6507">
        <w:rPr>
          <w:rFonts w:asciiTheme="majorBidi" w:hAnsiTheme="majorBidi" w:cstheme="majorBidi"/>
          <w:sz w:val="24"/>
          <w:szCs w:val="24"/>
          <w:shd w:val="clear" w:color="auto" w:fill="FFFFFF"/>
          <w:lang w:val="en-GB"/>
        </w:rPr>
        <w:t>Causes and Consequences of Higher Education: Models of the Status Attainment Process</w:t>
      </w:r>
      <w:r w:rsidRPr="004D4A9D">
        <w:rPr>
          <w:rFonts w:asciiTheme="majorBidi" w:hAnsiTheme="majorBidi" w:cstheme="majorBidi"/>
          <w:sz w:val="24"/>
          <w:szCs w:val="24"/>
          <w:shd w:val="clear" w:color="auto" w:fill="FFFFFF"/>
          <w:lang w:val="en-GB"/>
        </w:rPr>
        <w:t>.</w:t>
      </w:r>
      <w:r w:rsidR="007D6827" w:rsidRPr="004D4A9D">
        <w:rPr>
          <w:rFonts w:asciiTheme="majorBidi" w:hAnsiTheme="majorBidi" w:cstheme="majorBidi"/>
          <w:sz w:val="24"/>
          <w:szCs w:val="24"/>
          <w:shd w:val="clear" w:color="auto" w:fill="FFFFFF"/>
          <w:lang w:val="en-GB"/>
        </w:rPr>
        <w:t>”</w:t>
      </w:r>
      <w:r w:rsidRPr="004D4A9D">
        <w:rPr>
          <w:rFonts w:asciiTheme="majorBidi" w:hAnsiTheme="majorBidi" w:cstheme="majorBidi"/>
          <w:sz w:val="24"/>
          <w:szCs w:val="24"/>
          <w:shd w:val="clear" w:color="auto" w:fill="FFFFFF"/>
          <w:lang w:val="en-GB"/>
        </w:rPr>
        <w:t> </w:t>
      </w:r>
      <w:r w:rsidRPr="004D4A9D">
        <w:rPr>
          <w:rFonts w:asciiTheme="majorBidi" w:hAnsiTheme="majorBidi" w:cstheme="majorBidi"/>
          <w:i/>
          <w:iCs/>
          <w:sz w:val="24"/>
          <w:szCs w:val="24"/>
          <w:shd w:val="clear" w:color="auto" w:fill="FFFFFF"/>
          <w:lang w:val="en-GB"/>
        </w:rPr>
        <w:t>American Journal of Agricultural Economics</w:t>
      </w:r>
      <w:r w:rsidRPr="004D4A9D">
        <w:rPr>
          <w:rFonts w:asciiTheme="majorBidi" w:hAnsiTheme="majorBidi" w:cstheme="majorBidi"/>
          <w:sz w:val="24"/>
          <w:szCs w:val="24"/>
          <w:shd w:val="clear" w:color="auto" w:fill="FFFFFF"/>
          <w:lang w:val="en-GB"/>
        </w:rPr>
        <w:t> </w:t>
      </w:r>
      <w:r w:rsidRPr="004D4A9D">
        <w:rPr>
          <w:rFonts w:asciiTheme="majorBidi" w:hAnsiTheme="majorBidi" w:cstheme="majorBidi"/>
          <w:iCs/>
          <w:sz w:val="24"/>
          <w:szCs w:val="24"/>
          <w:shd w:val="clear" w:color="auto" w:fill="FFFFFF"/>
          <w:lang w:val="en-GB"/>
        </w:rPr>
        <w:t>54</w:t>
      </w:r>
      <w:r w:rsidR="007D6827" w:rsidRPr="004D4A9D">
        <w:rPr>
          <w:rFonts w:asciiTheme="majorBidi" w:hAnsiTheme="majorBidi" w:cstheme="majorBidi"/>
          <w:sz w:val="24"/>
          <w:szCs w:val="24"/>
          <w:shd w:val="clear" w:color="auto" w:fill="FFFFFF"/>
          <w:lang w:val="en-GB"/>
        </w:rPr>
        <w:t xml:space="preserve"> </w:t>
      </w:r>
      <w:r w:rsidRPr="004D4A9D">
        <w:rPr>
          <w:rFonts w:asciiTheme="majorBidi" w:hAnsiTheme="majorBidi" w:cstheme="majorBidi"/>
          <w:sz w:val="24"/>
          <w:szCs w:val="24"/>
          <w:shd w:val="clear" w:color="auto" w:fill="FFFFFF"/>
          <w:lang w:val="en-GB"/>
        </w:rPr>
        <w:t>(5)</w:t>
      </w:r>
      <w:r w:rsidR="007D6827" w:rsidRPr="004D4A9D">
        <w:rPr>
          <w:rFonts w:asciiTheme="majorBidi" w:hAnsiTheme="majorBidi" w:cstheme="majorBidi"/>
          <w:sz w:val="24"/>
          <w:szCs w:val="24"/>
          <w:shd w:val="clear" w:color="auto" w:fill="FFFFFF"/>
          <w:lang w:val="en-GB"/>
        </w:rPr>
        <w:t>:</w:t>
      </w:r>
      <w:r w:rsidRPr="004D4A9D">
        <w:rPr>
          <w:rFonts w:asciiTheme="majorBidi" w:hAnsiTheme="majorBidi" w:cstheme="majorBidi"/>
          <w:sz w:val="24"/>
          <w:szCs w:val="24"/>
          <w:shd w:val="clear" w:color="auto" w:fill="FFFFFF"/>
          <w:lang w:val="en-GB"/>
        </w:rPr>
        <w:t xml:space="preserve"> 851-861. </w:t>
      </w:r>
      <w:proofErr w:type="gramStart"/>
      <w:r w:rsidR="007D6827" w:rsidRPr="004D4A9D">
        <w:rPr>
          <w:rFonts w:asciiTheme="majorBidi" w:hAnsiTheme="majorBidi" w:cstheme="majorBidi"/>
          <w:sz w:val="24"/>
          <w:szCs w:val="24"/>
          <w:shd w:val="clear" w:color="auto" w:fill="FFFFFF"/>
          <w:lang w:val="en-GB"/>
        </w:rPr>
        <w:t>doi:</w:t>
      </w:r>
      <w:proofErr w:type="gramEnd"/>
      <w:r w:rsidRPr="004D4A9D">
        <w:rPr>
          <w:rFonts w:asciiTheme="majorBidi" w:hAnsiTheme="majorBidi" w:cstheme="majorBidi"/>
          <w:sz w:val="24"/>
          <w:szCs w:val="24"/>
          <w:shd w:val="clear" w:color="auto" w:fill="FFFFFF"/>
          <w:lang w:val="en-GB"/>
        </w:rPr>
        <w:t>10.2307/1239228</w:t>
      </w:r>
      <w:r w:rsidR="004D4A9D" w:rsidRPr="004D4A9D">
        <w:rPr>
          <w:rFonts w:asciiTheme="majorBidi" w:hAnsiTheme="majorBidi" w:cstheme="majorBidi"/>
          <w:sz w:val="24"/>
          <w:szCs w:val="24"/>
          <w:shd w:val="clear" w:color="auto" w:fill="FFFFFF"/>
          <w:lang w:val="en-GB"/>
        </w:rPr>
        <w:t>.</w:t>
      </w:r>
    </w:p>
    <w:p w14:paraId="6AC857D6" w14:textId="7420EE1B" w:rsidR="00F8163D" w:rsidRPr="00974AF9" w:rsidRDefault="00454FD4" w:rsidP="00C03772">
      <w:pPr>
        <w:spacing w:after="0" w:line="480" w:lineRule="auto"/>
        <w:ind w:left="720" w:hanging="720"/>
        <w:rPr>
          <w:rFonts w:asciiTheme="majorBidi" w:hAnsiTheme="majorBidi" w:cstheme="majorBidi"/>
          <w:sz w:val="24"/>
          <w:szCs w:val="24"/>
          <w:shd w:val="clear" w:color="auto" w:fill="FFFFFF"/>
          <w:lang w:val="en-GB"/>
        </w:rPr>
      </w:pPr>
      <w:proofErr w:type="spellStart"/>
      <w:r w:rsidRPr="00974AF9">
        <w:rPr>
          <w:rFonts w:asciiTheme="majorBidi" w:hAnsiTheme="majorBidi" w:cstheme="majorBidi"/>
          <w:sz w:val="24"/>
          <w:szCs w:val="24"/>
          <w:shd w:val="clear" w:color="auto" w:fill="FFFFFF"/>
          <w:lang w:val="en-GB"/>
        </w:rPr>
        <w:t>Sommet</w:t>
      </w:r>
      <w:proofErr w:type="spellEnd"/>
      <w:r w:rsidRPr="00974AF9">
        <w:rPr>
          <w:rFonts w:asciiTheme="majorBidi" w:hAnsiTheme="majorBidi" w:cstheme="majorBidi"/>
          <w:sz w:val="24"/>
          <w:szCs w:val="24"/>
          <w:shd w:val="clear" w:color="auto" w:fill="FFFFFF"/>
          <w:lang w:val="en-GB"/>
        </w:rPr>
        <w:t>, N., and</w:t>
      </w:r>
      <w:r w:rsidR="00F8163D" w:rsidRPr="00974AF9">
        <w:rPr>
          <w:rFonts w:asciiTheme="majorBidi" w:hAnsiTheme="majorBidi" w:cstheme="majorBidi"/>
          <w:sz w:val="24"/>
          <w:szCs w:val="24"/>
          <w:shd w:val="clear" w:color="auto" w:fill="FFFFFF"/>
          <w:lang w:val="en-GB"/>
        </w:rPr>
        <w:t xml:space="preserve"> </w:t>
      </w:r>
      <w:r w:rsidRPr="00974AF9">
        <w:rPr>
          <w:rFonts w:asciiTheme="majorBidi" w:hAnsiTheme="majorBidi" w:cstheme="majorBidi"/>
          <w:sz w:val="24"/>
          <w:szCs w:val="24"/>
          <w:shd w:val="clear" w:color="auto" w:fill="FFFFFF"/>
          <w:lang w:val="en-GB"/>
        </w:rPr>
        <w:t xml:space="preserve">D. </w:t>
      </w:r>
      <w:proofErr w:type="spellStart"/>
      <w:r w:rsidR="00F8163D" w:rsidRPr="00974AF9">
        <w:rPr>
          <w:rFonts w:asciiTheme="majorBidi" w:hAnsiTheme="majorBidi" w:cstheme="majorBidi"/>
          <w:sz w:val="24"/>
          <w:szCs w:val="24"/>
          <w:shd w:val="clear" w:color="auto" w:fill="FFFFFF"/>
          <w:lang w:val="en-GB"/>
        </w:rPr>
        <w:t>Morselli</w:t>
      </w:r>
      <w:proofErr w:type="spellEnd"/>
      <w:r w:rsidRPr="00974AF9">
        <w:rPr>
          <w:rFonts w:asciiTheme="majorBidi" w:hAnsiTheme="majorBidi" w:cstheme="majorBidi"/>
          <w:sz w:val="24"/>
          <w:szCs w:val="24"/>
          <w:shd w:val="clear" w:color="auto" w:fill="FFFFFF"/>
          <w:lang w:val="en-GB"/>
        </w:rPr>
        <w:t>. 2017</w:t>
      </w:r>
      <w:r w:rsidR="00F8163D" w:rsidRPr="00974AF9">
        <w:rPr>
          <w:rFonts w:asciiTheme="majorBidi" w:hAnsiTheme="majorBidi" w:cstheme="majorBidi"/>
          <w:sz w:val="24"/>
          <w:szCs w:val="24"/>
          <w:shd w:val="clear" w:color="auto" w:fill="FFFFFF"/>
          <w:lang w:val="en-GB"/>
        </w:rPr>
        <w:t xml:space="preserve">. </w:t>
      </w:r>
      <w:r w:rsidRPr="00974AF9">
        <w:rPr>
          <w:rFonts w:asciiTheme="majorBidi" w:hAnsiTheme="majorBidi" w:cstheme="majorBidi"/>
          <w:sz w:val="24"/>
          <w:szCs w:val="24"/>
          <w:shd w:val="clear" w:color="auto" w:fill="FFFFFF"/>
          <w:lang w:val="en-GB"/>
        </w:rPr>
        <w:t>“</w:t>
      </w:r>
      <w:r w:rsidR="00BA109D" w:rsidRPr="00BA109D">
        <w:rPr>
          <w:rFonts w:asciiTheme="majorBidi" w:hAnsiTheme="majorBidi" w:cstheme="majorBidi"/>
          <w:sz w:val="24"/>
          <w:szCs w:val="24"/>
          <w:shd w:val="clear" w:color="auto" w:fill="FFFFFF"/>
          <w:lang w:val="en-GB"/>
        </w:rPr>
        <w:t xml:space="preserve">Keep Calm and Learn Multilevel Logistic </w:t>
      </w:r>
      <w:proofErr w:type="spellStart"/>
      <w:r w:rsidR="00BA109D" w:rsidRPr="00BA109D">
        <w:rPr>
          <w:rFonts w:asciiTheme="majorBidi" w:hAnsiTheme="majorBidi" w:cstheme="majorBidi"/>
          <w:sz w:val="24"/>
          <w:szCs w:val="24"/>
          <w:shd w:val="clear" w:color="auto" w:fill="FFFFFF"/>
          <w:lang w:val="en-GB"/>
        </w:rPr>
        <w:t>Modeling</w:t>
      </w:r>
      <w:proofErr w:type="spellEnd"/>
      <w:r w:rsidR="00BA109D" w:rsidRPr="00BA109D">
        <w:rPr>
          <w:rFonts w:asciiTheme="majorBidi" w:hAnsiTheme="majorBidi" w:cstheme="majorBidi"/>
          <w:sz w:val="24"/>
          <w:szCs w:val="24"/>
          <w:shd w:val="clear" w:color="auto" w:fill="FFFFFF"/>
          <w:lang w:val="en-GB"/>
        </w:rPr>
        <w:t xml:space="preserve">: A Simplified Three-Step Procedure Using Stata, R, </w:t>
      </w:r>
      <w:proofErr w:type="spellStart"/>
      <w:r w:rsidR="00BA109D" w:rsidRPr="00BA109D">
        <w:rPr>
          <w:rFonts w:asciiTheme="majorBidi" w:hAnsiTheme="majorBidi" w:cstheme="majorBidi"/>
          <w:sz w:val="24"/>
          <w:szCs w:val="24"/>
          <w:shd w:val="clear" w:color="auto" w:fill="FFFFFF"/>
          <w:lang w:val="en-GB"/>
        </w:rPr>
        <w:t>Mplus</w:t>
      </w:r>
      <w:proofErr w:type="spellEnd"/>
      <w:r w:rsidR="00BA109D" w:rsidRPr="00BA109D">
        <w:rPr>
          <w:rFonts w:asciiTheme="majorBidi" w:hAnsiTheme="majorBidi" w:cstheme="majorBidi"/>
          <w:sz w:val="24"/>
          <w:szCs w:val="24"/>
          <w:shd w:val="clear" w:color="auto" w:fill="FFFFFF"/>
          <w:lang w:val="en-GB"/>
        </w:rPr>
        <w:t>, and SPSS</w:t>
      </w:r>
      <w:r w:rsidR="00F8163D" w:rsidRPr="00974AF9">
        <w:rPr>
          <w:rFonts w:asciiTheme="majorBidi" w:hAnsiTheme="majorBidi" w:cstheme="majorBidi"/>
          <w:sz w:val="24"/>
          <w:szCs w:val="24"/>
          <w:shd w:val="clear" w:color="auto" w:fill="FFFFFF"/>
          <w:lang w:val="en-GB"/>
        </w:rPr>
        <w:t>.</w:t>
      </w:r>
      <w:r w:rsidRPr="00974AF9">
        <w:rPr>
          <w:rFonts w:asciiTheme="majorBidi" w:hAnsiTheme="majorBidi" w:cstheme="majorBidi"/>
          <w:sz w:val="24"/>
          <w:szCs w:val="24"/>
          <w:shd w:val="clear" w:color="auto" w:fill="FFFFFF"/>
          <w:lang w:val="en-GB"/>
        </w:rPr>
        <w:t>”</w:t>
      </w:r>
      <w:r w:rsidR="00F8163D" w:rsidRPr="00974AF9">
        <w:rPr>
          <w:rFonts w:asciiTheme="majorBidi" w:hAnsiTheme="majorBidi" w:cstheme="majorBidi"/>
          <w:sz w:val="24"/>
          <w:szCs w:val="24"/>
          <w:shd w:val="clear" w:color="auto" w:fill="FFFFFF"/>
          <w:lang w:val="en-GB"/>
        </w:rPr>
        <w:t> </w:t>
      </w:r>
      <w:r w:rsidR="00F8163D" w:rsidRPr="00974AF9">
        <w:rPr>
          <w:rFonts w:asciiTheme="majorBidi" w:hAnsiTheme="majorBidi" w:cstheme="majorBidi"/>
          <w:i/>
          <w:iCs/>
          <w:sz w:val="24"/>
          <w:szCs w:val="24"/>
          <w:shd w:val="clear" w:color="auto" w:fill="FFFFFF"/>
          <w:lang w:val="en-GB"/>
        </w:rPr>
        <w:t>International Review of Social Psychology</w:t>
      </w:r>
      <w:r w:rsidRPr="00974AF9">
        <w:rPr>
          <w:rFonts w:asciiTheme="majorBidi" w:hAnsiTheme="majorBidi" w:cstheme="majorBidi"/>
          <w:i/>
          <w:iCs/>
          <w:sz w:val="24"/>
          <w:szCs w:val="24"/>
          <w:shd w:val="clear" w:color="auto" w:fill="FFFFFF"/>
          <w:lang w:val="en-GB"/>
        </w:rPr>
        <w:t xml:space="preserve"> </w:t>
      </w:r>
      <w:r w:rsidR="00F8163D" w:rsidRPr="00974AF9">
        <w:rPr>
          <w:rFonts w:asciiTheme="majorBidi" w:hAnsiTheme="majorBidi" w:cstheme="majorBidi"/>
          <w:iCs/>
          <w:sz w:val="24"/>
          <w:szCs w:val="24"/>
          <w:shd w:val="clear" w:color="auto" w:fill="FFFFFF"/>
          <w:lang w:val="en-GB"/>
        </w:rPr>
        <w:t>30</w:t>
      </w:r>
      <w:r w:rsidRPr="00974AF9">
        <w:rPr>
          <w:rFonts w:asciiTheme="majorBidi" w:hAnsiTheme="majorBidi" w:cstheme="majorBidi"/>
          <w:sz w:val="24"/>
          <w:szCs w:val="24"/>
          <w:shd w:val="clear" w:color="auto" w:fill="FFFFFF"/>
          <w:lang w:val="en-GB"/>
        </w:rPr>
        <w:t xml:space="preserve"> </w:t>
      </w:r>
      <w:r w:rsidR="00F8163D" w:rsidRPr="00974AF9">
        <w:rPr>
          <w:rFonts w:asciiTheme="majorBidi" w:hAnsiTheme="majorBidi" w:cstheme="majorBidi"/>
          <w:sz w:val="24"/>
          <w:szCs w:val="24"/>
          <w:shd w:val="clear" w:color="auto" w:fill="FFFFFF"/>
          <w:lang w:val="en-GB"/>
        </w:rPr>
        <w:t>(1)</w:t>
      </w:r>
      <w:r w:rsidR="00974AF9" w:rsidRPr="00974AF9">
        <w:rPr>
          <w:rFonts w:asciiTheme="majorBidi" w:hAnsiTheme="majorBidi" w:cstheme="majorBidi"/>
          <w:sz w:val="24"/>
          <w:szCs w:val="24"/>
          <w:shd w:val="clear" w:color="auto" w:fill="FFFFFF"/>
          <w:lang w:val="en-GB"/>
        </w:rPr>
        <w:t>: 203–218.</w:t>
      </w:r>
      <w:r w:rsidR="00F8163D" w:rsidRPr="00974AF9">
        <w:rPr>
          <w:rFonts w:asciiTheme="majorBidi" w:hAnsiTheme="majorBidi" w:cstheme="majorBidi"/>
          <w:sz w:val="24"/>
          <w:szCs w:val="24"/>
          <w:shd w:val="clear" w:color="auto" w:fill="FFFFFF"/>
          <w:lang w:val="en-GB"/>
        </w:rPr>
        <w:t xml:space="preserve"> </w:t>
      </w:r>
      <w:r w:rsidRPr="00974AF9">
        <w:rPr>
          <w:rFonts w:asciiTheme="majorBidi" w:hAnsiTheme="majorBidi" w:cstheme="majorBidi"/>
          <w:sz w:val="24"/>
          <w:szCs w:val="24"/>
          <w:shd w:val="clear" w:color="auto" w:fill="FFFFFF"/>
          <w:lang w:val="en-GB"/>
        </w:rPr>
        <w:t>doi:</w:t>
      </w:r>
      <w:r w:rsidR="00F8163D" w:rsidRPr="00974AF9">
        <w:rPr>
          <w:rFonts w:asciiTheme="majorBidi" w:hAnsiTheme="majorBidi" w:cstheme="majorBidi"/>
          <w:sz w:val="24"/>
          <w:szCs w:val="24"/>
          <w:shd w:val="clear" w:color="auto" w:fill="FFFFFF"/>
          <w:lang w:val="en-GB"/>
        </w:rPr>
        <w:t>10.5334/irsp.90</w:t>
      </w:r>
      <w:r w:rsidRPr="00974AF9">
        <w:rPr>
          <w:rFonts w:asciiTheme="majorBidi" w:hAnsiTheme="majorBidi" w:cstheme="majorBidi"/>
          <w:sz w:val="24"/>
          <w:szCs w:val="24"/>
          <w:shd w:val="clear" w:color="auto" w:fill="FFFFFF"/>
          <w:lang w:val="en-GB"/>
        </w:rPr>
        <w:t>.</w:t>
      </w:r>
    </w:p>
    <w:p w14:paraId="22DEA18F" w14:textId="2A26BF67" w:rsidR="00F8163D" w:rsidRPr="009348CD" w:rsidRDefault="00F8163D" w:rsidP="00C03772">
      <w:pPr>
        <w:spacing w:after="0" w:line="480" w:lineRule="auto"/>
        <w:ind w:left="720" w:hanging="720"/>
        <w:rPr>
          <w:rFonts w:asciiTheme="majorBidi" w:hAnsiTheme="majorBidi" w:cstheme="majorBidi"/>
          <w:sz w:val="24"/>
          <w:szCs w:val="24"/>
          <w:shd w:val="clear" w:color="auto" w:fill="FFFFFF"/>
          <w:lang w:val="en-GB"/>
        </w:rPr>
      </w:pPr>
      <w:r w:rsidRPr="009348CD">
        <w:rPr>
          <w:rFonts w:asciiTheme="majorBidi" w:hAnsiTheme="majorBidi" w:cstheme="majorBidi"/>
          <w:sz w:val="24"/>
          <w:szCs w:val="24"/>
          <w:lang w:val="en-GB"/>
        </w:rPr>
        <w:t>St</w:t>
      </w:r>
      <w:r w:rsidR="00777C03" w:rsidRPr="009348CD">
        <w:rPr>
          <w:rFonts w:asciiTheme="majorBidi" w:hAnsiTheme="majorBidi" w:cstheme="majorBidi"/>
          <w:sz w:val="24"/>
          <w:szCs w:val="24"/>
          <w:lang w:val="en-GB"/>
        </w:rPr>
        <w:t>atista. 2018a</w:t>
      </w:r>
      <w:r w:rsidR="006A528D" w:rsidRPr="009348CD">
        <w:rPr>
          <w:rFonts w:asciiTheme="majorBidi" w:hAnsiTheme="majorBidi" w:cstheme="majorBidi"/>
          <w:sz w:val="24"/>
          <w:szCs w:val="24"/>
          <w:lang w:val="en-GB"/>
        </w:rPr>
        <w:t xml:space="preserve">. </w:t>
      </w:r>
      <w:r w:rsidR="00777C03" w:rsidRPr="009348CD">
        <w:rPr>
          <w:rFonts w:asciiTheme="majorBidi" w:hAnsiTheme="majorBidi" w:cstheme="majorBidi"/>
          <w:sz w:val="24"/>
          <w:szCs w:val="24"/>
          <w:lang w:val="en-GB"/>
        </w:rPr>
        <w:t>“</w:t>
      </w:r>
      <w:r w:rsidR="006A528D" w:rsidRPr="009348CD">
        <w:rPr>
          <w:rFonts w:asciiTheme="majorBidi" w:hAnsiTheme="majorBidi" w:cstheme="majorBidi"/>
          <w:sz w:val="24"/>
          <w:szCs w:val="24"/>
          <w:lang w:val="en-GB"/>
        </w:rPr>
        <w:t xml:space="preserve">Undergraduate </w:t>
      </w:r>
      <w:proofErr w:type="spellStart"/>
      <w:r w:rsidR="006A528D" w:rsidRPr="009348CD">
        <w:rPr>
          <w:rFonts w:asciiTheme="majorBidi" w:hAnsiTheme="majorBidi" w:cstheme="majorBidi"/>
          <w:sz w:val="24"/>
          <w:szCs w:val="24"/>
          <w:lang w:val="en-GB"/>
        </w:rPr>
        <w:t>E</w:t>
      </w:r>
      <w:r w:rsidRPr="009348CD">
        <w:rPr>
          <w:rFonts w:asciiTheme="majorBidi" w:hAnsiTheme="majorBidi" w:cstheme="majorBidi"/>
          <w:sz w:val="24"/>
          <w:szCs w:val="24"/>
          <w:lang w:val="en-GB"/>
        </w:rPr>
        <w:t>nrollment</w:t>
      </w:r>
      <w:proofErr w:type="spellEnd"/>
      <w:r w:rsidRPr="009348CD">
        <w:rPr>
          <w:rFonts w:asciiTheme="majorBidi" w:hAnsiTheme="majorBidi" w:cstheme="majorBidi"/>
          <w:sz w:val="24"/>
          <w:szCs w:val="24"/>
          <w:lang w:val="en-GB"/>
        </w:rPr>
        <w:t xml:space="preserve"> </w:t>
      </w:r>
      <w:r w:rsidR="006A528D" w:rsidRPr="009348CD">
        <w:rPr>
          <w:rFonts w:asciiTheme="majorBidi" w:hAnsiTheme="majorBidi" w:cstheme="majorBidi"/>
          <w:sz w:val="24"/>
          <w:szCs w:val="24"/>
          <w:lang w:val="en-GB"/>
        </w:rPr>
        <w:t>N</w:t>
      </w:r>
      <w:r w:rsidRPr="009348CD">
        <w:rPr>
          <w:rFonts w:asciiTheme="majorBidi" w:hAnsiTheme="majorBidi" w:cstheme="majorBidi"/>
          <w:sz w:val="24"/>
          <w:szCs w:val="24"/>
          <w:lang w:val="en-GB"/>
        </w:rPr>
        <w:t xml:space="preserve">umbers in the United States from 1970 to 2027, by </w:t>
      </w:r>
      <w:r w:rsidR="006A528D" w:rsidRPr="009348CD">
        <w:rPr>
          <w:rFonts w:asciiTheme="majorBidi" w:hAnsiTheme="majorBidi" w:cstheme="majorBidi"/>
          <w:sz w:val="24"/>
          <w:szCs w:val="24"/>
          <w:lang w:val="en-GB"/>
        </w:rPr>
        <w:t>G</w:t>
      </w:r>
      <w:r w:rsidRPr="009348CD">
        <w:rPr>
          <w:rFonts w:asciiTheme="majorBidi" w:hAnsiTheme="majorBidi" w:cstheme="majorBidi"/>
          <w:sz w:val="24"/>
          <w:szCs w:val="24"/>
          <w:lang w:val="en-GB"/>
        </w:rPr>
        <w:t>ender (in 1,000).</w:t>
      </w:r>
      <w:r w:rsidR="00777C03" w:rsidRPr="009348CD">
        <w:rPr>
          <w:rFonts w:asciiTheme="majorBidi" w:hAnsiTheme="majorBidi" w:cstheme="majorBidi"/>
          <w:sz w:val="24"/>
          <w:szCs w:val="24"/>
          <w:lang w:val="en-GB"/>
        </w:rPr>
        <w:t>”</w:t>
      </w:r>
      <w:r w:rsidRPr="009348CD">
        <w:rPr>
          <w:rFonts w:asciiTheme="majorBidi" w:hAnsiTheme="majorBidi" w:cstheme="majorBidi"/>
          <w:sz w:val="24"/>
          <w:szCs w:val="24"/>
          <w:lang w:val="en-GB"/>
        </w:rPr>
        <w:t xml:space="preserve"> Statista. </w:t>
      </w:r>
      <w:r w:rsidR="00777C03" w:rsidRPr="009348CD">
        <w:rPr>
          <w:rFonts w:asciiTheme="majorBidi" w:hAnsiTheme="majorBidi" w:cstheme="majorBidi"/>
          <w:sz w:val="24"/>
          <w:szCs w:val="24"/>
          <w:shd w:val="clear" w:color="auto" w:fill="FFFFFF"/>
          <w:lang w:val="en-GB"/>
        </w:rPr>
        <w:t xml:space="preserve">Accessed June 7 2019. </w:t>
      </w:r>
      <w:r w:rsidRPr="009348CD">
        <w:rPr>
          <w:rFonts w:asciiTheme="majorBidi" w:hAnsiTheme="majorBidi" w:cstheme="majorBidi"/>
          <w:sz w:val="24"/>
          <w:szCs w:val="24"/>
          <w:lang w:val="en-GB"/>
        </w:rPr>
        <w:t>https://www.statista.com/statistics/236360/undergraduate-enrollment-in-us-by-gender/</w:t>
      </w:r>
    </w:p>
    <w:p w14:paraId="51E8B3B4" w14:textId="1A28D271" w:rsidR="00F8163D" w:rsidRPr="0025270E" w:rsidRDefault="00A455E2" w:rsidP="00C03772">
      <w:pPr>
        <w:spacing w:after="0" w:line="480" w:lineRule="auto"/>
        <w:ind w:left="720" w:hanging="720"/>
        <w:rPr>
          <w:rFonts w:asciiTheme="majorBidi" w:hAnsiTheme="majorBidi" w:cstheme="majorBidi"/>
          <w:sz w:val="24"/>
          <w:szCs w:val="24"/>
          <w:shd w:val="clear" w:color="auto" w:fill="FFFFFF"/>
          <w:lang w:val="en-GB"/>
        </w:rPr>
      </w:pPr>
      <w:r w:rsidRPr="0025270E">
        <w:rPr>
          <w:rFonts w:asciiTheme="majorBidi" w:hAnsiTheme="majorBidi" w:cstheme="majorBidi"/>
          <w:sz w:val="24"/>
          <w:szCs w:val="24"/>
          <w:lang w:val="en-GB"/>
        </w:rPr>
        <w:t xml:space="preserve">Statista. </w:t>
      </w:r>
      <w:r w:rsidR="001F4E05" w:rsidRPr="0025270E">
        <w:rPr>
          <w:rFonts w:asciiTheme="majorBidi" w:hAnsiTheme="majorBidi" w:cstheme="majorBidi"/>
          <w:sz w:val="24"/>
          <w:szCs w:val="24"/>
          <w:lang w:val="en-GB"/>
        </w:rPr>
        <w:t xml:space="preserve">2018b. </w:t>
      </w:r>
      <w:r w:rsidR="001620A8" w:rsidRPr="0025270E">
        <w:rPr>
          <w:rFonts w:asciiTheme="majorBidi" w:hAnsiTheme="majorBidi" w:cstheme="majorBidi"/>
          <w:sz w:val="24"/>
          <w:szCs w:val="24"/>
          <w:lang w:val="en-GB"/>
        </w:rPr>
        <w:t>“</w:t>
      </w:r>
      <w:r w:rsidR="001F4E05" w:rsidRPr="0025270E">
        <w:rPr>
          <w:rFonts w:asciiTheme="majorBidi" w:hAnsiTheme="majorBidi" w:cstheme="majorBidi"/>
          <w:sz w:val="24"/>
          <w:szCs w:val="24"/>
          <w:lang w:val="en-GB"/>
        </w:rPr>
        <w:t>Percentage of the U.S. P</w:t>
      </w:r>
      <w:r w:rsidR="00F8163D" w:rsidRPr="0025270E">
        <w:rPr>
          <w:rFonts w:asciiTheme="majorBidi" w:hAnsiTheme="majorBidi" w:cstheme="majorBidi"/>
          <w:sz w:val="24"/>
          <w:szCs w:val="24"/>
          <w:lang w:val="en-GB"/>
        </w:rPr>
        <w:t xml:space="preserve">opulation </w:t>
      </w:r>
      <w:r w:rsidR="001F4E05" w:rsidRPr="0025270E">
        <w:rPr>
          <w:rFonts w:asciiTheme="majorBidi" w:hAnsiTheme="majorBidi" w:cstheme="majorBidi"/>
          <w:sz w:val="24"/>
          <w:szCs w:val="24"/>
          <w:lang w:val="en-GB"/>
        </w:rPr>
        <w:t>W</w:t>
      </w:r>
      <w:r w:rsidR="00F8163D" w:rsidRPr="0025270E">
        <w:rPr>
          <w:rFonts w:asciiTheme="majorBidi" w:hAnsiTheme="majorBidi" w:cstheme="majorBidi"/>
          <w:sz w:val="24"/>
          <w:szCs w:val="24"/>
          <w:lang w:val="en-GB"/>
        </w:rPr>
        <w:t xml:space="preserve">ho </w:t>
      </w:r>
      <w:r w:rsidR="001F4E05" w:rsidRPr="0025270E">
        <w:rPr>
          <w:rFonts w:asciiTheme="majorBidi" w:hAnsiTheme="majorBidi" w:cstheme="majorBidi"/>
          <w:sz w:val="24"/>
          <w:szCs w:val="24"/>
          <w:lang w:val="en-GB"/>
        </w:rPr>
        <w:t>H</w:t>
      </w:r>
      <w:r w:rsidR="00F8163D" w:rsidRPr="0025270E">
        <w:rPr>
          <w:rFonts w:asciiTheme="majorBidi" w:hAnsiTheme="majorBidi" w:cstheme="majorBidi"/>
          <w:sz w:val="24"/>
          <w:szCs w:val="24"/>
          <w:lang w:val="en-GB"/>
        </w:rPr>
        <w:t xml:space="preserve">ave </w:t>
      </w:r>
      <w:r w:rsidR="001F4E05" w:rsidRPr="0025270E">
        <w:rPr>
          <w:rFonts w:asciiTheme="majorBidi" w:hAnsiTheme="majorBidi" w:cstheme="majorBidi"/>
          <w:sz w:val="24"/>
          <w:szCs w:val="24"/>
          <w:lang w:val="en-GB"/>
        </w:rPr>
        <w:t>C</w:t>
      </w:r>
      <w:r w:rsidR="00F8163D" w:rsidRPr="0025270E">
        <w:rPr>
          <w:rFonts w:asciiTheme="majorBidi" w:hAnsiTheme="majorBidi" w:cstheme="majorBidi"/>
          <w:sz w:val="24"/>
          <w:szCs w:val="24"/>
          <w:lang w:val="en-GB"/>
        </w:rPr>
        <w:t xml:space="preserve">ompleted </w:t>
      </w:r>
      <w:r w:rsidR="001F4E05" w:rsidRPr="0025270E">
        <w:rPr>
          <w:rFonts w:asciiTheme="majorBidi" w:hAnsiTheme="majorBidi" w:cstheme="majorBidi"/>
          <w:sz w:val="24"/>
          <w:szCs w:val="24"/>
          <w:lang w:val="en-GB"/>
        </w:rPr>
        <w:t>F</w:t>
      </w:r>
      <w:r w:rsidR="00F8163D" w:rsidRPr="0025270E">
        <w:rPr>
          <w:rFonts w:asciiTheme="majorBidi" w:hAnsiTheme="majorBidi" w:cstheme="majorBidi"/>
          <w:sz w:val="24"/>
          <w:szCs w:val="24"/>
          <w:lang w:val="en-GB"/>
        </w:rPr>
        <w:t xml:space="preserve">our </w:t>
      </w:r>
      <w:r w:rsidR="001F4E05" w:rsidRPr="0025270E">
        <w:rPr>
          <w:rFonts w:asciiTheme="majorBidi" w:hAnsiTheme="majorBidi" w:cstheme="majorBidi"/>
          <w:sz w:val="24"/>
          <w:szCs w:val="24"/>
          <w:lang w:val="en-GB"/>
        </w:rPr>
        <w:t>Y</w:t>
      </w:r>
      <w:r w:rsidR="00F8163D" w:rsidRPr="0025270E">
        <w:rPr>
          <w:rFonts w:asciiTheme="majorBidi" w:hAnsiTheme="majorBidi" w:cstheme="majorBidi"/>
          <w:sz w:val="24"/>
          <w:szCs w:val="24"/>
          <w:lang w:val="en-GB"/>
        </w:rPr>
        <w:t xml:space="preserve">ears of </w:t>
      </w:r>
      <w:r w:rsidR="001F4E05" w:rsidRPr="0025270E">
        <w:rPr>
          <w:rFonts w:asciiTheme="majorBidi" w:hAnsiTheme="majorBidi" w:cstheme="majorBidi"/>
          <w:sz w:val="24"/>
          <w:szCs w:val="24"/>
          <w:lang w:val="en-GB"/>
        </w:rPr>
        <w:t>C</w:t>
      </w:r>
      <w:r w:rsidR="00F8163D" w:rsidRPr="0025270E">
        <w:rPr>
          <w:rFonts w:asciiTheme="majorBidi" w:hAnsiTheme="majorBidi" w:cstheme="majorBidi"/>
          <w:sz w:val="24"/>
          <w:szCs w:val="24"/>
          <w:lang w:val="en-GB"/>
        </w:rPr>
        <w:t xml:space="preserve">ollege or </w:t>
      </w:r>
      <w:r w:rsidR="001F4E05" w:rsidRPr="0025270E">
        <w:rPr>
          <w:rFonts w:asciiTheme="majorBidi" w:hAnsiTheme="majorBidi" w:cstheme="majorBidi"/>
          <w:sz w:val="24"/>
          <w:szCs w:val="24"/>
          <w:lang w:val="en-GB"/>
        </w:rPr>
        <w:t>M</w:t>
      </w:r>
      <w:r w:rsidR="00F8163D" w:rsidRPr="0025270E">
        <w:rPr>
          <w:rFonts w:asciiTheme="majorBidi" w:hAnsiTheme="majorBidi" w:cstheme="majorBidi"/>
          <w:sz w:val="24"/>
          <w:szCs w:val="24"/>
          <w:lang w:val="en-GB"/>
        </w:rPr>
        <w:t xml:space="preserve">ore </w:t>
      </w:r>
      <w:proofErr w:type="gramStart"/>
      <w:r w:rsidR="001F4E05" w:rsidRPr="0025270E">
        <w:rPr>
          <w:rFonts w:asciiTheme="majorBidi" w:hAnsiTheme="majorBidi" w:cstheme="majorBidi"/>
          <w:sz w:val="24"/>
          <w:szCs w:val="24"/>
          <w:lang w:val="en-GB"/>
        </w:rPr>
        <w:t>F</w:t>
      </w:r>
      <w:r w:rsidR="00F8163D" w:rsidRPr="0025270E">
        <w:rPr>
          <w:rFonts w:asciiTheme="majorBidi" w:hAnsiTheme="majorBidi" w:cstheme="majorBidi"/>
          <w:sz w:val="24"/>
          <w:szCs w:val="24"/>
          <w:lang w:val="en-GB"/>
        </w:rPr>
        <w:t>rom</w:t>
      </w:r>
      <w:proofErr w:type="gramEnd"/>
      <w:r w:rsidR="00F8163D" w:rsidRPr="0025270E">
        <w:rPr>
          <w:rFonts w:asciiTheme="majorBidi" w:hAnsiTheme="majorBidi" w:cstheme="majorBidi"/>
          <w:sz w:val="24"/>
          <w:szCs w:val="24"/>
          <w:lang w:val="en-GB"/>
        </w:rPr>
        <w:t xml:space="preserve"> 1940 to 2017, by </w:t>
      </w:r>
      <w:r w:rsidR="001F4E05" w:rsidRPr="0025270E">
        <w:rPr>
          <w:rFonts w:asciiTheme="majorBidi" w:hAnsiTheme="majorBidi" w:cstheme="majorBidi"/>
          <w:sz w:val="24"/>
          <w:szCs w:val="24"/>
          <w:lang w:val="en-GB"/>
        </w:rPr>
        <w:t>G</w:t>
      </w:r>
      <w:r w:rsidR="00F8163D" w:rsidRPr="0025270E">
        <w:rPr>
          <w:rFonts w:asciiTheme="majorBidi" w:hAnsiTheme="majorBidi" w:cstheme="majorBidi"/>
          <w:sz w:val="24"/>
          <w:szCs w:val="24"/>
          <w:lang w:val="en-GB"/>
        </w:rPr>
        <w:t>ender.</w:t>
      </w:r>
      <w:r w:rsidR="001620A8" w:rsidRPr="0025270E">
        <w:rPr>
          <w:rFonts w:asciiTheme="majorBidi" w:hAnsiTheme="majorBidi" w:cstheme="majorBidi"/>
          <w:sz w:val="24"/>
          <w:szCs w:val="24"/>
          <w:lang w:val="en-GB"/>
        </w:rPr>
        <w:t>”</w:t>
      </w:r>
      <w:r w:rsidR="00F8163D" w:rsidRPr="0025270E">
        <w:rPr>
          <w:rFonts w:asciiTheme="majorBidi" w:hAnsiTheme="majorBidi" w:cstheme="majorBidi"/>
          <w:sz w:val="24"/>
          <w:szCs w:val="24"/>
          <w:lang w:val="en-GB"/>
        </w:rPr>
        <w:t xml:space="preserve"> Statista. </w:t>
      </w:r>
      <w:r w:rsidR="009348CD" w:rsidRPr="0025270E">
        <w:rPr>
          <w:rFonts w:asciiTheme="majorBidi" w:hAnsiTheme="majorBidi" w:cstheme="majorBidi"/>
          <w:sz w:val="24"/>
          <w:szCs w:val="24"/>
          <w:shd w:val="clear" w:color="auto" w:fill="FFFFFF"/>
          <w:lang w:val="en-GB"/>
        </w:rPr>
        <w:t xml:space="preserve">Accessed June 7 2019. </w:t>
      </w:r>
      <w:r w:rsidR="00F8163D" w:rsidRPr="0025270E">
        <w:rPr>
          <w:rFonts w:asciiTheme="majorBidi" w:hAnsiTheme="majorBidi" w:cstheme="majorBidi"/>
          <w:sz w:val="24"/>
          <w:szCs w:val="24"/>
          <w:lang w:val="en-GB"/>
        </w:rPr>
        <w:t>https://www.statista.com/statistics/184272/educational-attainment-of-college-diploma-or-higher-by-gender/</w:t>
      </w:r>
    </w:p>
    <w:p w14:paraId="6742E88A" w14:textId="40B7F571" w:rsidR="00F8163D" w:rsidRPr="00237E5E" w:rsidRDefault="00F8163D" w:rsidP="00C03772">
      <w:pPr>
        <w:spacing w:after="0" w:line="480" w:lineRule="auto"/>
        <w:ind w:left="720" w:hanging="720"/>
        <w:rPr>
          <w:rFonts w:asciiTheme="majorBidi" w:hAnsiTheme="majorBidi" w:cstheme="majorBidi"/>
          <w:sz w:val="24"/>
          <w:szCs w:val="24"/>
          <w:shd w:val="clear" w:color="auto" w:fill="FFFFFF"/>
          <w:lang w:val="en-GB"/>
        </w:rPr>
      </w:pPr>
      <w:proofErr w:type="spellStart"/>
      <w:r w:rsidRPr="00237E5E">
        <w:rPr>
          <w:rFonts w:asciiTheme="majorBidi" w:hAnsiTheme="majorBidi" w:cstheme="majorBidi"/>
          <w:sz w:val="24"/>
          <w:szCs w:val="24"/>
          <w:shd w:val="clear" w:color="auto" w:fill="FFFFFF"/>
          <w:lang w:val="en-GB"/>
        </w:rPr>
        <w:t>Stiefel</w:t>
      </w:r>
      <w:proofErr w:type="spellEnd"/>
      <w:r w:rsidRPr="00237E5E">
        <w:rPr>
          <w:rFonts w:asciiTheme="majorBidi" w:hAnsiTheme="majorBidi" w:cstheme="majorBidi"/>
          <w:sz w:val="24"/>
          <w:szCs w:val="24"/>
          <w:shd w:val="clear" w:color="auto" w:fill="FFFFFF"/>
          <w:lang w:val="en-GB"/>
        </w:rPr>
        <w:t xml:space="preserve">, L., </w:t>
      </w:r>
      <w:r w:rsidR="00851CAE" w:rsidRPr="00237E5E">
        <w:rPr>
          <w:rFonts w:asciiTheme="majorBidi" w:hAnsiTheme="majorBidi" w:cstheme="majorBidi"/>
          <w:sz w:val="24"/>
          <w:szCs w:val="24"/>
          <w:shd w:val="clear" w:color="auto" w:fill="FFFFFF"/>
          <w:lang w:val="en-GB"/>
        </w:rPr>
        <w:t xml:space="preserve">R. </w:t>
      </w:r>
      <w:r w:rsidRPr="00237E5E">
        <w:rPr>
          <w:rFonts w:asciiTheme="majorBidi" w:hAnsiTheme="majorBidi" w:cstheme="majorBidi"/>
          <w:sz w:val="24"/>
          <w:szCs w:val="24"/>
          <w:shd w:val="clear" w:color="auto" w:fill="FFFFFF"/>
          <w:lang w:val="en-GB"/>
        </w:rPr>
        <w:t xml:space="preserve">Berne, </w:t>
      </w:r>
      <w:r w:rsidR="00851CAE" w:rsidRPr="00237E5E">
        <w:rPr>
          <w:rFonts w:asciiTheme="majorBidi" w:hAnsiTheme="majorBidi" w:cstheme="majorBidi"/>
          <w:sz w:val="24"/>
          <w:szCs w:val="24"/>
          <w:shd w:val="clear" w:color="auto" w:fill="FFFFFF"/>
          <w:lang w:val="en-GB"/>
        </w:rPr>
        <w:t xml:space="preserve">P. </w:t>
      </w:r>
      <w:proofErr w:type="spellStart"/>
      <w:r w:rsidRPr="00237E5E">
        <w:rPr>
          <w:rFonts w:asciiTheme="majorBidi" w:hAnsiTheme="majorBidi" w:cstheme="majorBidi"/>
          <w:sz w:val="24"/>
          <w:szCs w:val="24"/>
          <w:shd w:val="clear" w:color="auto" w:fill="FFFFFF"/>
          <w:lang w:val="en-GB"/>
        </w:rPr>
        <w:t>Iatarola</w:t>
      </w:r>
      <w:proofErr w:type="spellEnd"/>
      <w:r w:rsidRPr="00237E5E">
        <w:rPr>
          <w:rFonts w:asciiTheme="majorBidi" w:hAnsiTheme="majorBidi" w:cstheme="majorBidi"/>
          <w:sz w:val="24"/>
          <w:szCs w:val="24"/>
          <w:shd w:val="clear" w:color="auto" w:fill="FFFFFF"/>
          <w:lang w:val="en-GB"/>
        </w:rPr>
        <w:t xml:space="preserve">, </w:t>
      </w:r>
      <w:r w:rsidR="00851CAE" w:rsidRPr="00237E5E">
        <w:rPr>
          <w:rFonts w:asciiTheme="majorBidi" w:hAnsiTheme="majorBidi" w:cstheme="majorBidi"/>
          <w:sz w:val="24"/>
          <w:szCs w:val="24"/>
          <w:shd w:val="clear" w:color="auto" w:fill="FFFFFF"/>
          <w:lang w:val="en-GB"/>
        </w:rPr>
        <w:t>and</w:t>
      </w:r>
      <w:r w:rsidRPr="00237E5E">
        <w:rPr>
          <w:rFonts w:asciiTheme="majorBidi" w:hAnsiTheme="majorBidi" w:cstheme="majorBidi"/>
          <w:sz w:val="24"/>
          <w:szCs w:val="24"/>
          <w:shd w:val="clear" w:color="auto" w:fill="FFFFFF"/>
          <w:lang w:val="en-GB"/>
        </w:rPr>
        <w:t xml:space="preserve"> </w:t>
      </w:r>
      <w:r w:rsidR="00851CAE" w:rsidRPr="00237E5E">
        <w:rPr>
          <w:rFonts w:asciiTheme="majorBidi" w:hAnsiTheme="majorBidi" w:cstheme="majorBidi"/>
          <w:sz w:val="24"/>
          <w:szCs w:val="24"/>
          <w:shd w:val="clear" w:color="auto" w:fill="FFFFFF"/>
          <w:lang w:val="en-GB"/>
        </w:rPr>
        <w:t xml:space="preserve">N. </w:t>
      </w:r>
      <w:proofErr w:type="spellStart"/>
      <w:r w:rsidRPr="00237E5E">
        <w:rPr>
          <w:rFonts w:asciiTheme="majorBidi" w:hAnsiTheme="majorBidi" w:cstheme="majorBidi"/>
          <w:sz w:val="24"/>
          <w:szCs w:val="24"/>
          <w:shd w:val="clear" w:color="auto" w:fill="FFFFFF"/>
          <w:lang w:val="en-GB"/>
        </w:rPr>
        <w:t>Fruchter</w:t>
      </w:r>
      <w:proofErr w:type="spellEnd"/>
      <w:r w:rsidR="00851CAE" w:rsidRPr="00237E5E">
        <w:rPr>
          <w:rFonts w:asciiTheme="majorBidi" w:hAnsiTheme="majorBidi" w:cstheme="majorBidi"/>
          <w:sz w:val="24"/>
          <w:szCs w:val="24"/>
          <w:shd w:val="clear" w:color="auto" w:fill="FFFFFF"/>
          <w:lang w:val="en-GB"/>
        </w:rPr>
        <w:t>. 2000</w:t>
      </w:r>
      <w:r w:rsidRPr="00237E5E">
        <w:rPr>
          <w:rFonts w:asciiTheme="majorBidi" w:hAnsiTheme="majorBidi" w:cstheme="majorBidi"/>
          <w:sz w:val="24"/>
          <w:szCs w:val="24"/>
          <w:shd w:val="clear" w:color="auto" w:fill="FFFFFF"/>
          <w:lang w:val="en-GB"/>
        </w:rPr>
        <w:t xml:space="preserve">. </w:t>
      </w:r>
      <w:r w:rsidR="00851CAE" w:rsidRPr="00237E5E">
        <w:rPr>
          <w:rFonts w:asciiTheme="majorBidi" w:hAnsiTheme="majorBidi" w:cstheme="majorBidi"/>
          <w:sz w:val="24"/>
          <w:szCs w:val="24"/>
          <w:shd w:val="clear" w:color="auto" w:fill="FFFFFF"/>
          <w:lang w:val="en-GB"/>
        </w:rPr>
        <w:t>“</w:t>
      </w:r>
      <w:r w:rsidR="00043495" w:rsidRPr="00043495">
        <w:rPr>
          <w:rFonts w:asciiTheme="majorBidi" w:hAnsiTheme="majorBidi" w:cstheme="majorBidi"/>
          <w:sz w:val="24"/>
          <w:szCs w:val="24"/>
          <w:shd w:val="clear" w:color="auto" w:fill="FFFFFF"/>
          <w:lang w:val="en-GB"/>
        </w:rPr>
        <w:t>High School Size: Effects on Budgets and Performance in New York City</w:t>
      </w:r>
      <w:r w:rsidRPr="00237E5E">
        <w:rPr>
          <w:rFonts w:asciiTheme="majorBidi" w:hAnsiTheme="majorBidi" w:cstheme="majorBidi"/>
          <w:sz w:val="24"/>
          <w:szCs w:val="24"/>
          <w:shd w:val="clear" w:color="auto" w:fill="FFFFFF"/>
          <w:lang w:val="en-GB"/>
        </w:rPr>
        <w:t>.</w:t>
      </w:r>
      <w:r w:rsidR="00851CAE" w:rsidRPr="00237E5E">
        <w:rPr>
          <w:rFonts w:asciiTheme="majorBidi" w:hAnsiTheme="majorBidi" w:cstheme="majorBidi"/>
          <w:sz w:val="24"/>
          <w:szCs w:val="24"/>
          <w:shd w:val="clear" w:color="auto" w:fill="FFFFFF"/>
          <w:lang w:val="en-GB"/>
        </w:rPr>
        <w:t>”</w:t>
      </w:r>
      <w:r w:rsidRPr="00237E5E">
        <w:rPr>
          <w:rFonts w:asciiTheme="majorBidi" w:hAnsiTheme="majorBidi" w:cstheme="majorBidi"/>
          <w:sz w:val="24"/>
          <w:szCs w:val="24"/>
          <w:shd w:val="clear" w:color="auto" w:fill="FFFFFF"/>
          <w:lang w:val="en-GB"/>
        </w:rPr>
        <w:t> </w:t>
      </w:r>
      <w:r w:rsidRPr="00237E5E">
        <w:rPr>
          <w:rFonts w:asciiTheme="majorBidi" w:hAnsiTheme="majorBidi" w:cstheme="majorBidi"/>
          <w:i/>
          <w:iCs/>
          <w:sz w:val="24"/>
          <w:szCs w:val="24"/>
          <w:shd w:val="clear" w:color="auto" w:fill="FFFFFF"/>
          <w:lang w:val="en-GB"/>
        </w:rPr>
        <w:t>Educational Evaluation and Policy Analysis</w:t>
      </w:r>
      <w:r w:rsidRPr="00237E5E">
        <w:rPr>
          <w:rFonts w:asciiTheme="majorBidi" w:hAnsiTheme="majorBidi" w:cstheme="majorBidi"/>
          <w:sz w:val="24"/>
          <w:szCs w:val="24"/>
          <w:shd w:val="clear" w:color="auto" w:fill="FFFFFF"/>
          <w:lang w:val="en-GB"/>
        </w:rPr>
        <w:t> </w:t>
      </w:r>
      <w:r w:rsidRPr="00237E5E">
        <w:rPr>
          <w:rFonts w:asciiTheme="majorBidi" w:hAnsiTheme="majorBidi" w:cstheme="majorBidi"/>
          <w:iCs/>
          <w:sz w:val="24"/>
          <w:szCs w:val="24"/>
          <w:shd w:val="clear" w:color="auto" w:fill="FFFFFF"/>
          <w:lang w:val="en-GB"/>
        </w:rPr>
        <w:t>22</w:t>
      </w:r>
      <w:r w:rsidR="00851CAE" w:rsidRPr="00237E5E">
        <w:rPr>
          <w:rFonts w:asciiTheme="majorBidi" w:hAnsiTheme="majorBidi" w:cstheme="majorBidi"/>
          <w:sz w:val="24"/>
          <w:szCs w:val="24"/>
          <w:shd w:val="clear" w:color="auto" w:fill="FFFFFF"/>
          <w:lang w:val="en-GB"/>
        </w:rPr>
        <w:t xml:space="preserve"> </w:t>
      </w:r>
      <w:r w:rsidRPr="00237E5E">
        <w:rPr>
          <w:rFonts w:asciiTheme="majorBidi" w:hAnsiTheme="majorBidi" w:cstheme="majorBidi"/>
          <w:sz w:val="24"/>
          <w:szCs w:val="24"/>
          <w:shd w:val="clear" w:color="auto" w:fill="FFFFFF"/>
          <w:lang w:val="en-GB"/>
        </w:rPr>
        <w:t>(1)</w:t>
      </w:r>
      <w:r w:rsidR="00851CAE" w:rsidRPr="00237E5E">
        <w:rPr>
          <w:rFonts w:asciiTheme="majorBidi" w:hAnsiTheme="majorBidi" w:cstheme="majorBidi"/>
          <w:sz w:val="24"/>
          <w:szCs w:val="24"/>
          <w:shd w:val="clear" w:color="auto" w:fill="FFFFFF"/>
          <w:lang w:val="en-GB"/>
        </w:rPr>
        <w:t>:</w:t>
      </w:r>
      <w:r w:rsidRPr="00237E5E">
        <w:rPr>
          <w:rFonts w:asciiTheme="majorBidi" w:hAnsiTheme="majorBidi" w:cstheme="majorBidi"/>
          <w:sz w:val="24"/>
          <w:szCs w:val="24"/>
          <w:shd w:val="clear" w:color="auto" w:fill="FFFFFF"/>
          <w:lang w:val="en-GB"/>
        </w:rPr>
        <w:t xml:space="preserve"> 27-39. </w:t>
      </w:r>
      <w:proofErr w:type="gramStart"/>
      <w:r w:rsidR="00851CAE" w:rsidRPr="00237E5E">
        <w:rPr>
          <w:rFonts w:asciiTheme="majorBidi" w:hAnsiTheme="majorBidi" w:cstheme="majorBidi"/>
          <w:sz w:val="24"/>
          <w:szCs w:val="24"/>
          <w:shd w:val="clear" w:color="auto" w:fill="FFFFFF"/>
          <w:lang w:val="en-GB"/>
        </w:rPr>
        <w:t>doi:</w:t>
      </w:r>
      <w:proofErr w:type="gramEnd"/>
      <w:r w:rsidRPr="00237E5E">
        <w:rPr>
          <w:rFonts w:asciiTheme="majorBidi" w:hAnsiTheme="majorBidi" w:cstheme="majorBidi"/>
          <w:sz w:val="24"/>
          <w:szCs w:val="24"/>
          <w:shd w:val="clear" w:color="auto" w:fill="FFFFFF"/>
          <w:lang w:val="en-GB"/>
        </w:rPr>
        <w:t>10.3102/01623737022001027</w:t>
      </w:r>
      <w:r w:rsidR="00237E5E" w:rsidRPr="00237E5E">
        <w:rPr>
          <w:rFonts w:asciiTheme="majorBidi" w:hAnsiTheme="majorBidi" w:cstheme="majorBidi"/>
          <w:sz w:val="24"/>
          <w:szCs w:val="24"/>
          <w:shd w:val="clear" w:color="auto" w:fill="FFFFFF"/>
          <w:lang w:val="en-GB"/>
        </w:rPr>
        <w:t>.</w:t>
      </w:r>
    </w:p>
    <w:p w14:paraId="0CDFE268" w14:textId="57FAB1F4" w:rsidR="00F8163D" w:rsidRPr="000B06CB" w:rsidRDefault="00F8163D" w:rsidP="00C03772">
      <w:pPr>
        <w:spacing w:after="0" w:line="480" w:lineRule="auto"/>
        <w:ind w:left="720" w:hanging="720"/>
        <w:rPr>
          <w:rFonts w:asciiTheme="majorBidi" w:hAnsiTheme="majorBidi" w:cstheme="majorBidi"/>
          <w:sz w:val="24"/>
          <w:szCs w:val="24"/>
          <w:shd w:val="clear" w:color="auto" w:fill="FFFFFF"/>
          <w:lang w:val="en-GB"/>
        </w:rPr>
      </w:pPr>
      <w:proofErr w:type="spellStart"/>
      <w:r w:rsidRPr="000B06CB">
        <w:rPr>
          <w:rFonts w:asciiTheme="majorBidi" w:hAnsiTheme="majorBidi" w:cstheme="majorBidi"/>
          <w:sz w:val="24"/>
          <w:szCs w:val="24"/>
          <w:shd w:val="clear" w:color="auto" w:fill="FFFFFF"/>
          <w:lang w:val="en-GB"/>
        </w:rPr>
        <w:t>Tkalec</w:t>
      </w:r>
      <w:proofErr w:type="spellEnd"/>
      <w:r w:rsidRPr="000B06CB">
        <w:rPr>
          <w:rFonts w:asciiTheme="majorBidi" w:hAnsiTheme="majorBidi" w:cstheme="majorBidi"/>
          <w:sz w:val="24"/>
          <w:szCs w:val="24"/>
          <w:shd w:val="clear" w:color="auto" w:fill="FFFFFF"/>
          <w:lang w:val="en-GB"/>
        </w:rPr>
        <w:t xml:space="preserve">, M., </w:t>
      </w:r>
      <w:r w:rsidR="006F1757" w:rsidRPr="000B06CB">
        <w:rPr>
          <w:rFonts w:asciiTheme="majorBidi" w:hAnsiTheme="majorBidi" w:cstheme="majorBidi"/>
          <w:sz w:val="24"/>
          <w:szCs w:val="24"/>
          <w:shd w:val="clear" w:color="auto" w:fill="FFFFFF"/>
          <w:lang w:val="en-GB"/>
        </w:rPr>
        <w:t xml:space="preserve">M. </w:t>
      </w:r>
      <w:proofErr w:type="spellStart"/>
      <w:r w:rsidRPr="000B06CB">
        <w:rPr>
          <w:rFonts w:asciiTheme="majorBidi" w:hAnsiTheme="majorBidi" w:cstheme="majorBidi"/>
          <w:sz w:val="24"/>
          <w:szCs w:val="24"/>
          <w:shd w:val="clear" w:color="auto" w:fill="FFFFFF"/>
          <w:lang w:val="en-GB"/>
        </w:rPr>
        <w:t>Vizek</w:t>
      </w:r>
      <w:proofErr w:type="spellEnd"/>
      <w:r w:rsidRPr="000B06CB">
        <w:rPr>
          <w:rFonts w:asciiTheme="majorBidi" w:hAnsiTheme="majorBidi" w:cstheme="majorBidi"/>
          <w:sz w:val="24"/>
          <w:szCs w:val="24"/>
          <w:shd w:val="clear" w:color="auto" w:fill="FFFFFF"/>
          <w:lang w:val="en-GB"/>
        </w:rPr>
        <w:t xml:space="preserve">, </w:t>
      </w:r>
      <w:r w:rsidR="006F1757" w:rsidRPr="000B06CB">
        <w:rPr>
          <w:rFonts w:asciiTheme="majorBidi" w:hAnsiTheme="majorBidi" w:cstheme="majorBidi"/>
          <w:sz w:val="24"/>
          <w:szCs w:val="24"/>
          <w:shd w:val="clear" w:color="auto" w:fill="FFFFFF"/>
          <w:lang w:val="en-GB"/>
        </w:rPr>
        <w:t>and</w:t>
      </w:r>
      <w:r w:rsidRPr="000B06CB">
        <w:rPr>
          <w:rFonts w:asciiTheme="majorBidi" w:hAnsiTheme="majorBidi" w:cstheme="majorBidi"/>
          <w:sz w:val="24"/>
          <w:szCs w:val="24"/>
          <w:shd w:val="clear" w:color="auto" w:fill="FFFFFF"/>
          <w:lang w:val="en-GB"/>
        </w:rPr>
        <w:t xml:space="preserve"> </w:t>
      </w:r>
      <w:r w:rsidR="006F1757" w:rsidRPr="000B06CB">
        <w:rPr>
          <w:rFonts w:asciiTheme="majorBidi" w:hAnsiTheme="majorBidi" w:cstheme="majorBidi"/>
          <w:sz w:val="24"/>
          <w:szCs w:val="24"/>
          <w:shd w:val="clear" w:color="auto" w:fill="FFFFFF"/>
          <w:lang w:val="en-GB"/>
        </w:rPr>
        <w:t xml:space="preserve">I. </w:t>
      </w:r>
      <w:proofErr w:type="spellStart"/>
      <w:r w:rsidRPr="000B06CB">
        <w:rPr>
          <w:rFonts w:asciiTheme="majorBidi" w:hAnsiTheme="majorBidi" w:cstheme="majorBidi"/>
          <w:sz w:val="24"/>
          <w:szCs w:val="24"/>
          <w:shd w:val="clear" w:color="auto" w:fill="FFFFFF"/>
          <w:lang w:val="en-GB"/>
        </w:rPr>
        <w:t>Žilić</w:t>
      </w:r>
      <w:proofErr w:type="spellEnd"/>
      <w:r w:rsidR="006F1757" w:rsidRPr="000B06CB">
        <w:rPr>
          <w:rFonts w:asciiTheme="majorBidi" w:hAnsiTheme="majorBidi" w:cstheme="majorBidi"/>
          <w:sz w:val="24"/>
          <w:szCs w:val="24"/>
          <w:shd w:val="clear" w:color="auto" w:fill="FFFFFF"/>
          <w:lang w:val="en-GB"/>
        </w:rPr>
        <w:t>. 2018</w:t>
      </w:r>
      <w:r w:rsidRPr="000B06CB">
        <w:rPr>
          <w:rFonts w:asciiTheme="majorBidi" w:hAnsiTheme="majorBidi" w:cstheme="majorBidi"/>
          <w:sz w:val="24"/>
          <w:szCs w:val="24"/>
          <w:shd w:val="clear" w:color="auto" w:fill="FFFFFF"/>
          <w:lang w:val="en-GB"/>
        </w:rPr>
        <w:t xml:space="preserve">. </w:t>
      </w:r>
      <w:proofErr w:type="spellStart"/>
      <w:r w:rsidRPr="000B06CB">
        <w:rPr>
          <w:rFonts w:asciiTheme="majorBidi" w:hAnsiTheme="majorBidi" w:cstheme="majorBidi"/>
          <w:i/>
          <w:sz w:val="24"/>
          <w:szCs w:val="24"/>
          <w:shd w:val="clear" w:color="auto" w:fill="FFFFFF"/>
          <w:lang w:val="en-GB"/>
        </w:rPr>
        <w:t>Pregled</w:t>
      </w:r>
      <w:proofErr w:type="spellEnd"/>
      <w:r w:rsidRPr="000B06CB">
        <w:rPr>
          <w:rFonts w:asciiTheme="majorBidi" w:hAnsiTheme="majorBidi" w:cstheme="majorBidi"/>
          <w:i/>
          <w:sz w:val="24"/>
          <w:szCs w:val="24"/>
          <w:shd w:val="clear" w:color="auto" w:fill="FFFFFF"/>
          <w:lang w:val="en-GB"/>
        </w:rPr>
        <w:t xml:space="preserve"> </w:t>
      </w:r>
      <w:proofErr w:type="spellStart"/>
      <w:r w:rsidRPr="000B06CB">
        <w:rPr>
          <w:rFonts w:asciiTheme="majorBidi" w:hAnsiTheme="majorBidi" w:cstheme="majorBidi"/>
          <w:i/>
          <w:sz w:val="24"/>
          <w:szCs w:val="24"/>
          <w:shd w:val="clear" w:color="auto" w:fill="FFFFFF"/>
          <w:lang w:val="en-GB"/>
        </w:rPr>
        <w:t>tržišt</w:t>
      </w:r>
      <w:r w:rsidR="000B06CB" w:rsidRPr="000B06CB">
        <w:rPr>
          <w:rFonts w:asciiTheme="majorBidi" w:hAnsiTheme="majorBidi" w:cstheme="majorBidi"/>
          <w:i/>
          <w:sz w:val="24"/>
          <w:szCs w:val="24"/>
          <w:shd w:val="clear" w:color="auto" w:fill="FFFFFF"/>
          <w:lang w:val="en-GB"/>
        </w:rPr>
        <w:t>a</w:t>
      </w:r>
      <w:proofErr w:type="spellEnd"/>
      <w:r w:rsidR="000B06CB" w:rsidRPr="000B06CB">
        <w:rPr>
          <w:rFonts w:asciiTheme="majorBidi" w:hAnsiTheme="majorBidi" w:cstheme="majorBidi"/>
          <w:i/>
          <w:sz w:val="24"/>
          <w:szCs w:val="24"/>
          <w:shd w:val="clear" w:color="auto" w:fill="FFFFFF"/>
          <w:lang w:val="en-GB"/>
        </w:rPr>
        <w:t xml:space="preserve"> </w:t>
      </w:r>
      <w:proofErr w:type="spellStart"/>
      <w:r w:rsidR="000B06CB" w:rsidRPr="000B06CB">
        <w:rPr>
          <w:rFonts w:asciiTheme="majorBidi" w:hAnsiTheme="majorBidi" w:cstheme="majorBidi"/>
          <w:i/>
          <w:sz w:val="24"/>
          <w:szCs w:val="24"/>
          <w:shd w:val="clear" w:color="auto" w:fill="FFFFFF"/>
          <w:lang w:val="en-GB"/>
        </w:rPr>
        <w:t>nekretnina</w:t>
      </w:r>
      <w:proofErr w:type="spellEnd"/>
      <w:r w:rsidR="000B06CB" w:rsidRPr="000B06CB">
        <w:rPr>
          <w:rFonts w:asciiTheme="majorBidi" w:hAnsiTheme="majorBidi" w:cstheme="majorBidi"/>
          <w:i/>
          <w:sz w:val="24"/>
          <w:szCs w:val="24"/>
          <w:shd w:val="clear" w:color="auto" w:fill="FFFFFF"/>
          <w:lang w:val="en-GB"/>
        </w:rPr>
        <w:t xml:space="preserve"> </w:t>
      </w:r>
      <w:proofErr w:type="spellStart"/>
      <w:r w:rsidR="000B06CB" w:rsidRPr="000B06CB">
        <w:rPr>
          <w:rFonts w:asciiTheme="majorBidi" w:hAnsiTheme="majorBidi" w:cstheme="majorBidi"/>
          <w:i/>
          <w:sz w:val="24"/>
          <w:szCs w:val="24"/>
          <w:shd w:val="clear" w:color="auto" w:fill="FFFFFF"/>
          <w:lang w:val="en-GB"/>
        </w:rPr>
        <w:t>Republike</w:t>
      </w:r>
      <w:proofErr w:type="spellEnd"/>
      <w:r w:rsidR="000B06CB" w:rsidRPr="000B06CB">
        <w:rPr>
          <w:rFonts w:asciiTheme="majorBidi" w:hAnsiTheme="majorBidi" w:cstheme="majorBidi"/>
          <w:i/>
          <w:sz w:val="24"/>
          <w:szCs w:val="24"/>
          <w:shd w:val="clear" w:color="auto" w:fill="FFFFFF"/>
          <w:lang w:val="en-GB"/>
        </w:rPr>
        <w:t xml:space="preserve"> </w:t>
      </w:r>
      <w:proofErr w:type="spellStart"/>
      <w:r w:rsidR="000B06CB" w:rsidRPr="000B06CB">
        <w:rPr>
          <w:rFonts w:asciiTheme="majorBidi" w:hAnsiTheme="majorBidi" w:cstheme="majorBidi"/>
          <w:i/>
          <w:sz w:val="24"/>
          <w:szCs w:val="24"/>
          <w:shd w:val="clear" w:color="auto" w:fill="FFFFFF"/>
          <w:lang w:val="en-GB"/>
        </w:rPr>
        <w:t>Hrvatske</w:t>
      </w:r>
      <w:proofErr w:type="spellEnd"/>
      <w:r w:rsidRPr="000B06CB">
        <w:rPr>
          <w:rFonts w:asciiTheme="majorBidi" w:hAnsiTheme="majorBidi" w:cstheme="majorBidi"/>
          <w:i/>
          <w:sz w:val="24"/>
          <w:szCs w:val="24"/>
          <w:shd w:val="clear" w:color="auto" w:fill="FFFFFF"/>
          <w:lang w:val="en-GB"/>
        </w:rPr>
        <w:t xml:space="preserve"> </w:t>
      </w:r>
      <w:r w:rsidRPr="000B06CB">
        <w:rPr>
          <w:rFonts w:asciiTheme="majorBidi" w:hAnsiTheme="majorBidi" w:cstheme="majorBidi"/>
          <w:sz w:val="24"/>
          <w:szCs w:val="24"/>
          <w:shd w:val="clear" w:color="auto" w:fill="FFFFFF"/>
          <w:lang w:val="en-GB"/>
        </w:rPr>
        <w:t>[The Review of the Real Estate Market in the Republic of Croatia]</w:t>
      </w:r>
      <w:r w:rsidRPr="000B06CB">
        <w:rPr>
          <w:rFonts w:asciiTheme="majorBidi" w:hAnsiTheme="majorBidi" w:cstheme="majorBidi"/>
          <w:i/>
          <w:sz w:val="24"/>
          <w:szCs w:val="24"/>
          <w:shd w:val="clear" w:color="auto" w:fill="FFFFFF"/>
          <w:lang w:val="en-GB"/>
        </w:rPr>
        <w:t>.</w:t>
      </w:r>
      <w:r w:rsidRPr="000B06CB">
        <w:rPr>
          <w:rFonts w:asciiTheme="majorBidi" w:hAnsiTheme="majorBidi" w:cstheme="majorBidi"/>
          <w:sz w:val="24"/>
          <w:szCs w:val="24"/>
          <w:shd w:val="clear" w:color="auto" w:fill="FFFFFF"/>
          <w:lang w:val="en-GB"/>
        </w:rPr>
        <w:t xml:space="preserve"> Zagreb: The Institute of Economics.</w:t>
      </w:r>
    </w:p>
    <w:p w14:paraId="03FD7552" w14:textId="7819F936" w:rsidR="00F8163D" w:rsidRPr="00C5117F" w:rsidRDefault="002376B2" w:rsidP="00C03772">
      <w:pPr>
        <w:spacing w:after="0" w:line="480" w:lineRule="auto"/>
        <w:ind w:left="720" w:hanging="720"/>
        <w:rPr>
          <w:rFonts w:asciiTheme="majorBidi" w:hAnsiTheme="majorBidi" w:cstheme="majorBidi"/>
          <w:sz w:val="24"/>
          <w:szCs w:val="24"/>
          <w:shd w:val="clear" w:color="auto" w:fill="FFFFFF"/>
          <w:lang w:val="en-GB"/>
        </w:rPr>
      </w:pPr>
      <w:r w:rsidRPr="00C5117F">
        <w:rPr>
          <w:rFonts w:asciiTheme="majorBidi" w:hAnsiTheme="majorBidi" w:cstheme="majorBidi"/>
          <w:sz w:val="24"/>
          <w:szCs w:val="24"/>
          <w:shd w:val="clear" w:color="auto" w:fill="FFFFFF"/>
          <w:lang w:val="en-GB"/>
        </w:rPr>
        <w:t>Trusty, J. 2000</w:t>
      </w:r>
      <w:r w:rsidR="00F8163D" w:rsidRPr="00C5117F">
        <w:rPr>
          <w:rFonts w:asciiTheme="majorBidi" w:hAnsiTheme="majorBidi" w:cstheme="majorBidi"/>
          <w:sz w:val="24"/>
          <w:szCs w:val="24"/>
          <w:shd w:val="clear" w:color="auto" w:fill="FFFFFF"/>
          <w:lang w:val="en-GB"/>
        </w:rPr>
        <w:t xml:space="preserve">. </w:t>
      </w:r>
      <w:r w:rsidRPr="00C5117F">
        <w:rPr>
          <w:rFonts w:asciiTheme="majorBidi" w:hAnsiTheme="majorBidi" w:cstheme="majorBidi"/>
          <w:sz w:val="24"/>
          <w:szCs w:val="24"/>
          <w:shd w:val="clear" w:color="auto" w:fill="FFFFFF"/>
          <w:lang w:val="en-GB"/>
        </w:rPr>
        <w:t>“</w:t>
      </w:r>
      <w:r w:rsidR="00CD6A46" w:rsidRPr="00CD6A46">
        <w:rPr>
          <w:rFonts w:asciiTheme="majorBidi" w:hAnsiTheme="majorBidi" w:cstheme="majorBidi"/>
          <w:sz w:val="24"/>
          <w:szCs w:val="24"/>
          <w:shd w:val="clear" w:color="auto" w:fill="FFFFFF"/>
          <w:lang w:val="en-GB"/>
        </w:rPr>
        <w:t xml:space="preserve">High Educational Expectations and Low Achievement: Stability of Educational Goals </w:t>
      </w:r>
      <w:proofErr w:type="gramStart"/>
      <w:r w:rsidR="00CD6A46" w:rsidRPr="00CD6A46">
        <w:rPr>
          <w:rFonts w:asciiTheme="majorBidi" w:hAnsiTheme="majorBidi" w:cstheme="majorBidi"/>
          <w:sz w:val="24"/>
          <w:szCs w:val="24"/>
          <w:shd w:val="clear" w:color="auto" w:fill="FFFFFF"/>
          <w:lang w:val="en-GB"/>
        </w:rPr>
        <w:t>Across</w:t>
      </w:r>
      <w:proofErr w:type="gramEnd"/>
      <w:r w:rsidR="00CD6A46" w:rsidRPr="00CD6A46">
        <w:rPr>
          <w:rFonts w:asciiTheme="majorBidi" w:hAnsiTheme="majorBidi" w:cstheme="majorBidi"/>
          <w:sz w:val="24"/>
          <w:szCs w:val="24"/>
          <w:shd w:val="clear" w:color="auto" w:fill="FFFFFF"/>
          <w:lang w:val="en-GB"/>
        </w:rPr>
        <w:t xml:space="preserve"> Adolescence</w:t>
      </w:r>
      <w:r w:rsidR="00F8163D" w:rsidRPr="00C5117F">
        <w:rPr>
          <w:rFonts w:asciiTheme="majorBidi" w:hAnsiTheme="majorBidi" w:cstheme="majorBidi"/>
          <w:sz w:val="24"/>
          <w:szCs w:val="24"/>
          <w:shd w:val="clear" w:color="auto" w:fill="FFFFFF"/>
          <w:lang w:val="en-GB"/>
        </w:rPr>
        <w:t>.</w:t>
      </w:r>
      <w:r w:rsidRPr="00C5117F">
        <w:rPr>
          <w:rFonts w:asciiTheme="majorBidi" w:hAnsiTheme="majorBidi" w:cstheme="majorBidi"/>
          <w:sz w:val="24"/>
          <w:szCs w:val="24"/>
          <w:shd w:val="clear" w:color="auto" w:fill="FFFFFF"/>
          <w:lang w:val="en-GB"/>
        </w:rPr>
        <w:t>”</w:t>
      </w:r>
      <w:r w:rsidR="00F8163D" w:rsidRPr="00C5117F">
        <w:rPr>
          <w:rFonts w:asciiTheme="majorBidi" w:hAnsiTheme="majorBidi" w:cstheme="majorBidi"/>
          <w:sz w:val="24"/>
          <w:szCs w:val="24"/>
          <w:shd w:val="clear" w:color="auto" w:fill="FFFFFF"/>
          <w:lang w:val="en-GB"/>
        </w:rPr>
        <w:t> </w:t>
      </w:r>
      <w:r w:rsidR="00D212A6">
        <w:rPr>
          <w:rFonts w:asciiTheme="majorBidi" w:hAnsiTheme="majorBidi" w:cstheme="majorBidi"/>
          <w:i/>
          <w:iCs/>
          <w:sz w:val="24"/>
          <w:szCs w:val="24"/>
          <w:shd w:val="clear" w:color="auto" w:fill="FFFFFF"/>
          <w:lang w:val="en-GB"/>
        </w:rPr>
        <w:t>The J</w:t>
      </w:r>
      <w:r w:rsidR="00F8163D" w:rsidRPr="00C5117F">
        <w:rPr>
          <w:rFonts w:asciiTheme="majorBidi" w:hAnsiTheme="majorBidi" w:cstheme="majorBidi"/>
          <w:i/>
          <w:iCs/>
          <w:sz w:val="24"/>
          <w:szCs w:val="24"/>
          <w:shd w:val="clear" w:color="auto" w:fill="FFFFFF"/>
          <w:lang w:val="en-GB"/>
        </w:rPr>
        <w:t xml:space="preserve">ournal of </w:t>
      </w:r>
      <w:r w:rsidR="00D212A6">
        <w:rPr>
          <w:rFonts w:asciiTheme="majorBidi" w:hAnsiTheme="majorBidi" w:cstheme="majorBidi"/>
          <w:i/>
          <w:iCs/>
          <w:sz w:val="24"/>
          <w:szCs w:val="24"/>
          <w:shd w:val="clear" w:color="auto" w:fill="FFFFFF"/>
          <w:lang w:val="en-GB"/>
        </w:rPr>
        <w:t>E</w:t>
      </w:r>
      <w:r w:rsidR="00F8163D" w:rsidRPr="00C5117F">
        <w:rPr>
          <w:rFonts w:asciiTheme="majorBidi" w:hAnsiTheme="majorBidi" w:cstheme="majorBidi"/>
          <w:i/>
          <w:iCs/>
          <w:sz w:val="24"/>
          <w:szCs w:val="24"/>
          <w:shd w:val="clear" w:color="auto" w:fill="FFFFFF"/>
          <w:lang w:val="en-GB"/>
        </w:rPr>
        <w:t xml:space="preserve">ducational </w:t>
      </w:r>
      <w:r w:rsidR="00D212A6">
        <w:rPr>
          <w:rFonts w:asciiTheme="majorBidi" w:hAnsiTheme="majorBidi" w:cstheme="majorBidi"/>
          <w:i/>
          <w:iCs/>
          <w:sz w:val="24"/>
          <w:szCs w:val="24"/>
          <w:shd w:val="clear" w:color="auto" w:fill="FFFFFF"/>
          <w:lang w:val="en-GB"/>
        </w:rPr>
        <w:t>R</w:t>
      </w:r>
      <w:r w:rsidR="00F8163D" w:rsidRPr="00C5117F">
        <w:rPr>
          <w:rFonts w:asciiTheme="majorBidi" w:hAnsiTheme="majorBidi" w:cstheme="majorBidi"/>
          <w:i/>
          <w:iCs/>
          <w:sz w:val="24"/>
          <w:szCs w:val="24"/>
          <w:shd w:val="clear" w:color="auto" w:fill="FFFFFF"/>
          <w:lang w:val="en-GB"/>
        </w:rPr>
        <w:t>esearch</w:t>
      </w:r>
      <w:r w:rsidRPr="00C5117F">
        <w:rPr>
          <w:rFonts w:asciiTheme="majorBidi" w:hAnsiTheme="majorBidi" w:cstheme="majorBidi"/>
          <w:sz w:val="24"/>
          <w:szCs w:val="24"/>
          <w:shd w:val="clear" w:color="auto" w:fill="FFFFFF"/>
          <w:lang w:val="en-GB"/>
        </w:rPr>
        <w:t xml:space="preserve"> </w:t>
      </w:r>
      <w:r w:rsidR="00F8163D" w:rsidRPr="00C5117F">
        <w:rPr>
          <w:rFonts w:asciiTheme="majorBidi" w:hAnsiTheme="majorBidi" w:cstheme="majorBidi"/>
          <w:iCs/>
          <w:sz w:val="24"/>
          <w:szCs w:val="24"/>
          <w:shd w:val="clear" w:color="auto" w:fill="FFFFFF"/>
          <w:lang w:val="en-GB"/>
        </w:rPr>
        <w:t>93</w:t>
      </w:r>
      <w:r w:rsidRPr="00C5117F">
        <w:rPr>
          <w:rFonts w:asciiTheme="majorBidi" w:hAnsiTheme="majorBidi" w:cstheme="majorBidi"/>
          <w:sz w:val="24"/>
          <w:szCs w:val="24"/>
          <w:shd w:val="clear" w:color="auto" w:fill="FFFFFF"/>
          <w:lang w:val="en-GB"/>
        </w:rPr>
        <w:t xml:space="preserve"> </w:t>
      </w:r>
      <w:r w:rsidR="00F8163D" w:rsidRPr="00C5117F">
        <w:rPr>
          <w:rFonts w:asciiTheme="majorBidi" w:hAnsiTheme="majorBidi" w:cstheme="majorBidi"/>
          <w:sz w:val="24"/>
          <w:szCs w:val="24"/>
          <w:shd w:val="clear" w:color="auto" w:fill="FFFFFF"/>
          <w:lang w:val="en-GB"/>
        </w:rPr>
        <w:t>(6)</w:t>
      </w:r>
      <w:r w:rsidRPr="00C5117F">
        <w:rPr>
          <w:rFonts w:asciiTheme="majorBidi" w:hAnsiTheme="majorBidi" w:cstheme="majorBidi"/>
          <w:sz w:val="24"/>
          <w:szCs w:val="24"/>
          <w:shd w:val="clear" w:color="auto" w:fill="FFFFFF"/>
          <w:lang w:val="en-GB"/>
        </w:rPr>
        <w:t>:</w:t>
      </w:r>
      <w:r w:rsidR="00F8163D" w:rsidRPr="00C5117F">
        <w:rPr>
          <w:rFonts w:asciiTheme="majorBidi" w:hAnsiTheme="majorBidi" w:cstheme="majorBidi"/>
          <w:sz w:val="24"/>
          <w:szCs w:val="24"/>
          <w:shd w:val="clear" w:color="auto" w:fill="FFFFFF"/>
          <w:lang w:val="en-GB"/>
        </w:rPr>
        <w:t xml:space="preserve"> 356-365. </w:t>
      </w:r>
      <w:proofErr w:type="gramStart"/>
      <w:r w:rsidRPr="00C5117F">
        <w:rPr>
          <w:rFonts w:asciiTheme="majorBidi" w:hAnsiTheme="majorBidi" w:cstheme="majorBidi"/>
          <w:sz w:val="24"/>
          <w:szCs w:val="24"/>
          <w:shd w:val="clear" w:color="auto" w:fill="FFFFFF"/>
          <w:lang w:val="en-GB"/>
        </w:rPr>
        <w:t>doi:</w:t>
      </w:r>
      <w:proofErr w:type="gramEnd"/>
      <w:r w:rsidR="00FD54DB" w:rsidRPr="00C5117F">
        <w:rPr>
          <w:rFonts w:asciiTheme="majorBidi" w:hAnsiTheme="majorBidi" w:cstheme="majorBidi"/>
          <w:sz w:val="24"/>
          <w:szCs w:val="24"/>
          <w:shd w:val="clear" w:color="auto" w:fill="FFFFFF"/>
          <w:lang w:val="en-GB"/>
        </w:rPr>
        <w:t>10.1080/00220670009598730</w:t>
      </w:r>
      <w:r w:rsidR="00C5117F" w:rsidRPr="00C5117F">
        <w:rPr>
          <w:rFonts w:asciiTheme="majorBidi" w:hAnsiTheme="majorBidi" w:cstheme="majorBidi"/>
          <w:sz w:val="24"/>
          <w:szCs w:val="24"/>
          <w:shd w:val="clear" w:color="auto" w:fill="FFFFFF"/>
          <w:lang w:val="en-GB"/>
        </w:rPr>
        <w:t>.</w:t>
      </w:r>
    </w:p>
    <w:p w14:paraId="2FA1C465" w14:textId="5745C6D3" w:rsidR="00FD54DB" w:rsidRPr="00237276" w:rsidRDefault="00FD54DB" w:rsidP="00C03772">
      <w:pPr>
        <w:spacing w:after="0" w:line="480" w:lineRule="auto"/>
        <w:ind w:left="720" w:hanging="720"/>
        <w:rPr>
          <w:rFonts w:asciiTheme="majorBidi" w:hAnsiTheme="majorBidi" w:cstheme="majorBidi"/>
          <w:sz w:val="24"/>
          <w:szCs w:val="24"/>
          <w:shd w:val="clear" w:color="auto" w:fill="FFFFFF"/>
          <w:lang w:val="en-GB"/>
        </w:rPr>
      </w:pPr>
      <w:r w:rsidRPr="00237276">
        <w:rPr>
          <w:rFonts w:asciiTheme="majorBidi" w:hAnsiTheme="majorBidi" w:cstheme="majorBidi"/>
          <w:sz w:val="24"/>
          <w:szCs w:val="24"/>
          <w:shd w:val="clear" w:color="auto" w:fill="FFFFFF"/>
          <w:lang w:val="en-GB"/>
        </w:rPr>
        <w:lastRenderedPageBreak/>
        <w:t>University an</w:t>
      </w:r>
      <w:r w:rsidR="00237276" w:rsidRPr="00237276">
        <w:rPr>
          <w:rFonts w:asciiTheme="majorBidi" w:hAnsiTheme="majorBidi" w:cstheme="majorBidi"/>
          <w:sz w:val="24"/>
          <w:szCs w:val="24"/>
          <w:shd w:val="clear" w:color="auto" w:fill="FFFFFF"/>
          <w:lang w:val="en-GB"/>
        </w:rPr>
        <w:t>d Colleges Admissions Service. 2018</w:t>
      </w:r>
      <w:r w:rsidRPr="00237276">
        <w:rPr>
          <w:rFonts w:asciiTheme="majorBidi" w:hAnsiTheme="majorBidi" w:cstheme="majorBidi"/>
          <w:sz w:val="24"/>
          <w:szCs w:val="24"/>
          <w:shd w:val="clear" w:color="auto" w:fill="FFFFFF"/>
          <w:lang w:val="en-GB"/>
        </w:rPr>
        <w:t xml:space="preserve">. </w:t>
      </w:r>
      <w:r w:rsidR="00E103E9">
        <w:rPr>
          <w:rFonts w:asciiTheme="majorBidi" w:hAnsiTheme="majorBidi" w:cstheme="majorBidi"/>
          <w:i/>
          <w:iCs/>
          <w:sz w:val="24"/>
          <w:szCs w:val="24"/>
          <w:shd w:val="clear" w:color="auto" w:fill="FFFFFF"/>
          <w:lang w:val="en-GB"/>
        </w:rPr>
        <w:t>End of C</w:t>
      </w:r>
      <w:r w:rsidRPr="00237276">
        <w:rPr>
          <w:rFonts w:asciiTheme="majorBidi" w:hAnsiTheme="majorBidi" w:cstheme="majorBidi"/>
          <w:i/>
          <w:iCs/>
          <w:sz w:val="24"/>
          <w:szCs w:val="24"/>
          <w:shd w:val="clear" w:color="auto" w:fill="FFFFFF"/>
          <w:lang w:val="en-GB"/>
        </w:rPr>
        <w:t xml:space="preserve">ycle </w:t>
      </w:r>
      <w:r w:rsidR="00E103E9">
        <w:rPr>
          <w:rFonts w:asciiTheme="majorBidi" w:hAnsiTheme="majorBidi" w:cstheme="majorBidi"/>
          <w:i/>
          <w:iCs/>
          <w:sz w:val="24"/>
          <w:szCs w:val="24"/>
          <w:shd w:val="clear" w:color="auto" w:fill="FFFFFF"/>
          <w:lang w:val="en-GB"/>
        </w:rPr>
        <w:t>R</w:t>
      </w:r>
      <w:r w:rsidRPr="00237276">
        <w:rPr>
          <w:rFonts w:asciiTheme="majorBidi" w:hAnsiTheme="majorBidi" w:cstheme="majorBidi"/>
          <w:i/>
          <w:iCs/>
          <w:sz w:val="24"/>
          <w:szCs w:val="24"/>
          <w:shd w:val="clear" w:color="auto" w:fill="FFFFFF"/>
          <w:lang w:val="en-GB"/>
        </w:rPr>
        <w:t xml:space="preserve">eport 2018. Chapter 4. Patterns by </w:t>
      </w:r>
      <w:r w:rsidR="00E103E9">
        <w:rPr>
          <w:rFonts w:asciiTheme="majorBidi" w:hAnsiTheme="majorBidi" w:cstheme="majorBidi"/>
          <w:i/>
          <w:iCs/>
          <w:sz w:val="24"/>
          <w:szCs w:val="24"/>
          <w:shd w:val="clear" w:color="auto" w:fill="FFFFFF"/>
          <w:lang w:val="en-GB"/>
        </w:rPr>
        <w:t>A</w:t>
      </w:r>
      <w:r w:rsidRPr="00237276">
        <w:rPr>
          <w:rFonts w:asciiTheme="majorBidi" w:hAnsiTheme="majorBidi" w:cstheme="majorBidi"/>
          <w:i/>
          <w:iCs/>
          <w:sz w:val="24"/>
          <w:szCs w:val="24"/>
          <w:shd w:val="clear" w:color="auto" w:fill="FFFFFF"/>
          <w:lang w:val="en-GB"/>
        </w:rPr>
        <w:t xml:space="preserve">pplicant </w:t>
      </w:r>
      <w:r w:rsidR="00E103E9">
        <w:rPr>
          <w:rFonts w:asciiTheme="majorBidi" w:hAnsiTheme="majorBidi" w:cstheme="majorBidi"/>
          <w:i/>
          <w:iCs/>
          <w:sz w:val="24"/>
          <w:szCs w:val="24"/>
          <w:shd w:val="clear" w:color="auto" w:fill="FFFFFF"/>
          <w:lang w:val="en-GB"/>
        </w:rPr>
        <w:t>C</w:t>
      </w:r>
      <w:r w:rsidRPr="00237276">
        <w:rPr>
          <w:rFonts w:asciiTheme="majorBidi" w:hAnsiTheme="majorBidi" w:cstheme="majorBidi"/>
          <w:i/>
          <w:iCs/>
          <w:sz w:val="24"/>
          <w:szCs w:val="24"/>
          <w:shd w:val="clear" w:color="auto" w:fill="FFFFFF"/>
          <w:lang w:val="en-GB"/>
        </w:rPr>
        <w:t>haracteristics</w:t>
      </w:r>
      <w:r w:rsidRPr="00237276">
        <w:rPr>
          <w:rFonts w:asciiTheme="majorBidi" w:hAnsiTheme="majorBidi" w:cstheme="majorBidi"/>
          <w:sz w:val="24"/>
          <w:szCs w:val="24"/>
          <w:shd w:val="clear" w:color="auto" w:fill="FFFFFF"/>
          <w:lang w:val="en-GB"/>
        </w:rPr>
        <w:t xml:space="preserve">. Cheltenham: UCAS. </w:t>
      </w:r>
    </w:p>
    <w:p w14:paraId="2D8A6D7B" w14:textId="06265694" w:rsidR="00F8163D" w:rsidRPr="00567488" w:rsidRDefault="00F8163D" w:rsidP="00C03772">
      <w:pPr>
        <w:spacing w:after="0" w:line="480" w:lineRule="auto"/>
        <w:ind w:left="720" w:hanging="720"/>
        <w:rPr>
          <w:rFonts w:asciiTheme="majorBidi" w:hAnsiTheme="majorBidi" w:cstheme="majorBidi"/>
          <w:sz w:val="24"/>
          <w:szCs w:val="24"/>
          <w:shd w:val="clear" w:color="auto" w:fill="FFFFFF"/>
          <w:lang w:val="en-GB"/>
        </w:rPr>
      </w:pPr>
      <w:proofErr w:type="spellStart"/>
      <w:r w:rsidRPr="00567488">
        <w:rPr>
          <w:rFonts w:asciiTheme="majorBidi" w:hAnsiTheme="majorBidi" w:cstheme="majorBidi"/>
          <w:sz w:val="24"/>
          <w:szCs w:val="24"/>
          <w:shd w:val="clear" w:color="auto" w:fill="FFFFFF"/>
          <w:lang w:val="en-GB"/>
        </w:rPr>
        <w:t>Valožić</w:t>
      </w:r>
      <w:proofErr w:type="spellEnd"/>
      <w:r w:rsidRPr="00567488">
        <w:rPr>
          <w:rFonts w:asciiTheme="majorBidi" w:hAnsiTheme="majorBidi" w:cstheme="majorBidi"/>
          <w:sz w:val="24"/>
          <w:szCs w:val="24"/>
          <w:shd w:val="clear" w:color="auto" w:fill="FFFFFF"/>
          <w:lang w:val="en-GB"/>
        </w:rPr>
        <w:t xml:space="preserve">, L., </w:t>
      </w:r>
      <w:r w:rsidR="00C5117F" w:rsidRPr="00567488">
        <w:rPr>
          <w:rFonts w:asciiTheme="majorBidi" w:hAnsiTheme="majorBidi" w:cstheme="majorBidi"/>
          <w:sz w:val="24"/>
          <w:szCs w:val="24"/>
          <w:shd w:val="clear" w:color="auto" w:fill="FFFFFF"/>
          <w:lang w:val="en-GB"/>
        </w:rPr>
        <w:t xml:space="preserve">P. </w:t>
      </w:r>
      <w:proofErr w:type="spellStart"/>
      <w:r w:rsidRPr="00567488">
        <w:rPr>
          <w:rFonts w:asciiTheme="majorBidi" w:hAnsiTheme="majorBidi" w:cstheme="majorBidi"/>
          <w:sz w:val="24"/>
          <w:szCs w:val="24"/>
          <w:shd w:val="clear" w:color="auto" w:fill="FFFFFF"/>
          <w:lang w:val="en-GB"/>
        </w:rPr>
        <w:t>Radeljak</w:t>
      </w:r>
      <w:proofErr w:type="spellEnd"/>
      <w:r w:rsidRPr="00567488">
        <w:rPr>
          <w:rFonts w:asciiTheme="majorBidi" w:hAnsiTheme="majorBidi" w:cstheme="majorBidi"/>
          <w:sz w:val="24"/>
          <w:szCs w:val="24"/>
          <w:shd w:val="clear" w:color="auto" w:fill="FFFFFF"/>
          <w:lang w:val="en-GB"/>
        </w:rPr>
        <w:t xml:space="preserve">, </w:t>
      </w:r>
      <w:r w:rsidR="00C5117F" w:rsidRPr="00567488">
        <w:rPr>
          <w:rFonts w:asciiTheme="majorBidi" w:hAnsiTheme="majorBidi" w:cstheme="majorBidi"/>
          <w:sz w:val="24"/>
          <w:szCs w:val="24"/>
          <w:shd w:val="clear" w:color="auto" w:fill="FFFFFF"/>
          <w:lang w:val="en-GB"/>
        </w:rPr>
        <w:t>and</w:t>
      </w:r>
      <w:r w:rsidRPr="00567488">
        <w:rPr>
          <w:rFonts w:asciiTheme="majorBidi" w:hAnsiTheme="majorBidi" w:cstheme="majorBidi"/>
          <w:sz w:val="24"/>
          <w:szCs w:val="24"/>
          <w:shd w:val="clear" w:color="auto" w:fill="FFFFFF"/>
          <w:lang w:val="en-GB"/>
        </w:rPr>
        <w:t xml:space="preserve"> </w:t>
      </w:r>
      <w:r w:rsidR="00C5117F" w:rsidRPr="00567488">
        <w:rPr>
          <w:rFonts w:asciiTheme="majorBidi" w:hAnsiTheme="majorBidi" w:cstheme="majorBidi"/>
          <w:sz w:val="24"/>
          <w:szCs w:val="24"/>
          <w:shd w:val="clear" w:color="auto" w:fill="FFFFFF"/>
          <w:lang w:val="en-GB"/>
        </w:rPr>
        <w:t xml:space="preserve">R. G. </w:t>
      </w:r>
      <w:proofErr w:type="spellStart"/>
      <w:r w:rsidRPr="00567488">
        <w:rPr>
          <w:rFonts w:asciiTheme="majorBidi" w:hAnsiTheme="majorBidi" w:cstheme="majorBidi"/>
          <w:sz w:val="24"/>
          <w:szCs w:val="24"/>
          <w:shd w:val="clear" w:color="auto" w:fill="FFFFFF"/>
          <w:lang w:val="en-GB"/>
        </w:rPr>
        <w:t>Žiković</w:t>
      </w:r>
      <w:proofErr w:type="spellEnd"/>
      <w:r w:rsidRPr="00567488">
        <w:rPr>
          <w:rFonts w:asciiTheme="majorBidi" w:hAnsiTheme="majorBidi" w:cstheme="majorBidi"/>
          <w:sz w:val="24"/>
          <w:szCs w:val="24"/>
          <w:shd w:val="clear" w:color="auto" w:fill="FFFFFF"/>
          <w:lang w:val="en-GB"/>
        </w:rPr>
        <w:t xml:space="preserve">. </w:t>
      </w:r>
      <w:r w:rsidR="00C5117F" w:rsidRPr="00567488">
        <w:rPr>
          <w:rFonts w:asciiTheme="majorBidi" w:hAnsiTheme="majorBidi" w:cstheme="majorBidi"/>
          <w:sz w:val="24"/>
          <w:szCs w:val="24"/>
          <w:shd w:val="clear" w:color="auto" w:fill="FFFFFF"/>
          <w:lang w:val="en-GB"/>
        </w:rPr>
        <w:t>2012</w:t>
      </w:r>
      <w:r w:rsidRPr="00567488">
        <w:rPr>
          <w:rFonts w:asciiTheme="majorBidi" w:hAnsiTheme="majorBidi" w:cstheme="majorBidi"/>
          <w:sz w:val="24"/>
          <w:szCs w:val="24"/>
          <w:shd w:val="clear" w:color="auto" w:fill="FFFFFF"/>
          <w:lang w:val="en-GB"/>
        </w:rPr>
        <w:t xml:space="preserve">. </w:t>
      </w:r>
      <w:r w:rsidR="00C5117F" w:rsidRPr="00567488">
        <w:rPr>
          <w:rFonts w:asciiTheme="majorBidi" w:hAnsiTheme="majorBidi" w:cstheme="majorBidi"/>
          <w:sz w:val="24"/>
          <w:szCs w:val="24"/>
          <w:shd w:val="clear" w:color="auto" w:fill="FFFFFF"/>
          <w:lang w:val="en-GB"/>
        </w:rPr>
        <w:t>“</w:t>
      </w:r>
      <w:proofErr w:type="spellStart"/>
      <w:r w:rsidRPr="00567488">
        <w:rPr>
          <w:rFonts w:asciiTheme="majorBidi" w:hAnsiTheme="majorBidi" w:cstheme="majorBidi"/>
          <w:sz w:val="24"/>
          <w:szCs w:val="24"/>
          <w:shd w:val="clear" w:color="auto" w:fill="FFFFFF"/>
          <w:lang w:val="en-GB"/>
        </w:rPr>
        <w:t>Prostorna</w:t>
      </w:r>
      <w:proofErr w:type="spellEnd"/>
      <w:r w:rsidRPr="00567488">
        <w:rPr>
          <w:rFonts w:asciiTheme="majorBidi" w:hAnsiTheme="majorBidi" w:cstheme="majorBidi"/>
          <w:sz w:val="24"/>
          <w:szCs w:val="24"/>
          <w:shd w:val="clear" w:color="auto" w:fill="FFFFFF"/>
          <w:lang w:val="en-GB"/>
        </w:rPr>
        <w:t xml:space="preserve"> </w:t>
      </w:r>
      <w:proofErr w:type="spellStart"/>
      <w:r w:rsidRPr="00567488">
        <w:rPr>
          <w:rFonts w:asciiTheme="majorBidi" w:hAnsiTheme="majorBidi" w:cstheme="majorBidi"/>
          <w:sz w:val="24"/>
          <w:szCs w:val="24"/>
          <w:shd w:val="clear" w:color="auto" w:fill="FFFFFF"/>
          <w:lang w:val="en-GB"/>
        </w:rPr>
        <w:t>analiza</w:t>
      </w:r>
      <w:proofErr w:type="spellEnd"/>
      <w:r w:rsidRPr="00567488">
        <w:rPr>
          <w:rFonts w:asciiTheme="majorBidi" w:hAnsiTheme="majorBidi" w:cstheme="majorBidi"/>
          <w:sz w:val="24"/>
          <w:szCs w:val="24"/>
          <w:shd w:val="clear" w:color="auto" w:fill="FFFFFF"/>
          <w:lang w:val="en-GB"/>
        </w:rPr>
        <w:t xml:space="preserve"> </w:t>
      </w:r>
      <w:proofErr w:type="spellStart"/>
      <w:r w:rsidRPr="00567488">
        <w:rPr>
          <w:rFonts w:asciiTheme="majorBidi" w:hAnsiTheme="majorBidi" w:cstheme="majorBidi"/>
          <w:sz w:val="24"/>
          <w:szCs w:val="24"/>
          <w:shd w:val="clear" w:color="auto" w:fill="FFFFFF"/>
          <w:lang w:val="en-GB"/>
        </w:rPr>
        <w:t>upisnih</w:t>
      </w:r>
      <w:proofErr w:type="spellEnd"/>
      <w:r w:rsidRPr="00567488">
        <w:rPr>
          <w:rFonts w:asciiTheme="majorBidi" w:hAnsiTheme="majorBidi" w:cstheme="majorBidi"/>
          <w:sz w:val="24"/>
          <w:szCs w:val="24"/>
          <w:shd w:val="clear" w:color="auto" w:fill="FFFFFF"/>
          <w:lang w:val="en-GB"/>
        </w:rPr>
        <w:t xml:space="preserve"> </w:t>
      </w:r>
      <w:proofErr w:type="spellStart"/>
      <w:r w:rsidRPr="00567488">
        <w:rPr>
          <w:rFonts w:asciiTheme="majorBidi" w:hAnsiTheme="majorBidi" w:cstheme="majorBidi"/>
          <w:sz w:val="24"/>
          <w:szCs w:val="24"/>
          <w:shd w:val="clear" w:color="auto" w:fill="FFFFFF"/>
          <w:lang w:val="en-GB"/>
        </w:rPr>
        <w:t>područja</w:t>
      </w:r>
      <w:proofErr w:type="spellEnd"/>
      <w:r w:rsidRPr="00567488">
        <w:rPr>
          <w:rFonts w:asciiTheme="majorBidi" w:hAnsiTheme="majorBidi" w:cstheme="majorBidi"/>
          <w:sz w:val="24"/>
          <w:szCs w:val="24"/>
          <w:shd w:val="clear" w:color="auto" w:fill="FFFFFF"/>
          <w:lang w:val="en-GB"/>
        </w:rPr>
        <w:t xml:space="preserve"> </w:t>
      </w:r>
      <w:proofErr w:type="spellStart"/>
      <w:r w:rsidRPr="00567488">
        <w:rPr>
          <w:rFonts w:asciiTheme="majorBidi" w:hAnsiTheme="majorBidi" w:cstheme="majorBidi"/>
          <w:sz w:val="24"/>
          <w:szCs w:val="24"/>
          <w:shd w:val="clear" w:color="auto" w:fill="FFFFFF"/>
          <w:lang w:val="en-GB"/>
        </w:rPr>
        <w:t>osnovnih</w:t>
      </w:r>
      <w:proofErr w:type="spellEnd"/>
      <w:r w:rsidRPr="00567488">
        <w:rPr>
          <w:rFonts w:asciiTheme="majorBidi" w:hAnsiTheme="majorBidi" w:cstheme="majorBidi"/>
          <w:sz w:val="24"/>
          <w:szCs w:val="24"/>
          <w:shd w:val="clear" w:color="auto" w:fill="FFFFFF"/>
          <w:lang w:val="en-GB"/>
        </w:rPr>
        <w:t xml:space="preserve"> </w:t>
      </w:r>
      <w:proofErr w:type="spellStart"/>
      <w:r w:rsidRPr="00567488">
        <w:rPr>
          <w:rFonts w:asciiTheme="majorBidi" w:hAnsiTheme="majorBidi" w:cstheme="majorBidi"/>
          <w:sz w:val="24"/>
          <w:szCs w:val="24"/>
          <w:shd w:val="clear" w:color="auto" w:fill="FFFFFF"/>
          <w:lang w:val="en-GB"/>
        </w:rPr>
        <w:t>škola</w:t>
      </w:r>
      <w:proofErr w:type="spellEnd"/>
      <w:r w:rsidRPr="00567488">
        <w:rPr>
          <w:rFonts w:asciiTheme="majorBidi" w:hAnsiTheme="majorBidi" w:cstheme="majorBidi"/>
          <w:sz w:val="24"/>
          <w:szCs w:val="24"/>
          <w:shd w:val="clear" w:color="auto" w:fill="FFFFFF"/>
          <w:lang w:val="en-GB"/>
        </w:rPr>
        <w:t xml:space="preserve"> u </w:t>
      </w:r>
      <w:proofErr w:type="spellStart"/>
      <w:r w:rsidRPr="00567488">
        <w:rPr>
          <w:rFonts w:asciiTheme="majorBidi" w:hAnsiTheme="majorBidi" w:cstheme="majorBidi"/>
          <w:sz w:val="24"/>
          <w:szCs w:val="24"/>
          <w:shd w:val="clear" w:color="auto" w:fill="FFFFFF"/>
          <w:lang w:val="en-GB"/>
        </w:rPr>
        <w:t>Gradu</w:t>
      </w:r>
      <w:proofErr w:type="spellEnd"/>
      <w:r w:rsidRPr="00567488">
        <w:rPr>
          <w:rFonts w:asciiTheme="majorBidi" w:hAnsiTheme="majorBidi" w:cstheme="majorBidi"/>
          <w:sz w:val="24"/>
          <w:szCs w:val="24"/>
          <w:shd w:val="clear" w:color="auto" w:fill="FFFFFF"/>
          <w:lang w:val="en-GB"/>
        </w:rPr>
        <w:t xml:space="preserve"> </w:t>
      </w:r>
      <w:proofErr w:type="spellStart"/>
      <w:r w:rsidRPr="00567488">
        <w:rPr>
          <w:rFonts w:asciiTheme="majorBidi" w:hAnsiTheme="majorBidi" w:cstheme="majorBidi"/>
          <w:sz w:val="24"/>
          <w:szCs w:val="24"/>
          <w:shd w:val="clear" w:color="auto" w:fill="FFFFFF"/>
          <w:lang w:val="en-GB"/>
        </w:rPr>
        <w:t>Zagrebu</w:t>
      </w:r>
      <w:proofErr w:type="spellEnd"/>
      <w:r w:rsidR="00C5117F" w:rsidRPr="00567488">
        <w:rPr>
          <w:rFonts w:asciiTheme="majorBidi" w:hAnsiTheme="majorBidi" w:cstheme="majorBidi"/>
          <w:sz w:val="24"/>
          <w:szCs w:val="24"/>
          <w:shd w:val="clear" w:color="auto" w:fill="FFFFFF"/>
          <w:lang w:val="en-GB"/>
        </w:rPr>
        <w:t>”</w:t>
      </w:r>
      <w:r w:rsidR="007326D6">
        <w:rPr>
          <w:rFonts w:asciiTheme="majorBidi" w:hAnsiTheme="majorBidi" w:cstheme="majorBidi"/>
          <w:sz w:val="24"/>
          <w:szCs w:val="24"/>
          <w:shd w:val="clear" w:color="auto" w:fill="FFFFFF"/>
          <w:lang w:val="en-GB"/>
        </w:rPr>
        <w:t xml:space="preserve"> [Spatial A</w:t>
      </w:r>
      <w:r w:rsidRPr="00567488">
        <w:rPr>
          <w:rFonts w:asciiTheme="majorBidi" w:hAnsiTheme="majorBidi" w:cstheme="majorBidi"/>
          <w:sz w:val="24"/>
          <w:szCs w:val="24"/>
          <w:shd w:val="clear" w:color="auto" w:fill="FFFFFF"/>
          <w:lang w:val="en-GB"/>
        </w:rPr>
        <w:t xml:space="preserve">nalysis of </w:t>
      </w:r>
      <w:r w:rsidR="007326D6">
        <w:rPr>
          <w:rFonts w:asciiTheme="majorBidi" w:hAnsiTheme="majorBidi" w:cstheme="majorBidi"/>
          <w:sz w:val="24"/>
          <w:szCs w:val="24"/>
          <w:shd w:val="clear" w:color="auto" w:fill="FFFFFF"/>
          <w:lang w:val="en-GB"/>
        </w:rPr>
        <w:t>E</w:t>
      </w:r>
      <w:r w:rsidR="007326D6" w:rsidRPr="00567488">
        <w:rPr>
          <w:rFonts w:asciiTheme="majorBidi" w:hAnsiTheme="majorBidi" w:cstheme="majorBidi"/>
          <w:sz w:val="24"/>
          <w:szCs w:val="24"/>
          <w:shd w:val="clear" w:color="auto" w:fill="FFFFFF"/>
          <w:lang w:val="en-GB"/>
        </w:rPr>
        <w:t>nrolment</w:t>
      </w:r>
      <w:r w:rsidRPr="00567488">
        <w:rPr>
          <w:rFonts w:asciiTheme="majorBidi" w:hAnsiTheme="majorBidi" w:cstheme="majorBidi"/>
          <w:sz w:val="24"/>
          <w:szCs w:val="24"/>
          <w:shd w:val="clear" w:color="auto" w:fill="FFFFFF"/>
          <w:lang w:val="en-GB"/>
        </w:rPr>
        <w:t xml:space="preserve"> </w:t>
      </w:r>
      <w:r w:rsidR="007326D6">
        <w:rPr>
          <w:rFonts w:asciiTheme="majorBidi" w:hAnsiTheme="majorBidi" w:cstheme="majorBidi"/>
          <w:sz w:val="24"/>
          <w:szCs w:val="24"/>
          <w:shd w:val="clear" w:color="auto" w:fill="FFFFFF"/>
          <w:lang w:val="en-GB"/>
        </w:rPr>
        <w:t>Areas of P</w:t>
      </w:r>
      <w:r w:rsidRPr="00567488">
        <w:rPr>
          <w:rFonts w:asciiTheme="majorBidi" w:hAnsiTheme="majorBidi" w:cstheme="majorBidi"/>
          <w:sz w:val="24"/>
          <w:szCs w:val="24"/>
          <w:shd w:val="clear" w:color="auto" w:fill="FFFFFF"/>
          <w:lang w:val="en-GB"/>
        </w:rPr>
        <w:t xml:space="preserve">rimary </w:t>
      </w:r>
      <w:r w:rsidR="007326D6">
        <w:rPr>
          <w:rFonts w:asciiTheme="majorBidi" w:hAnsiTheme="majorBidi" w:cstheme="majorBidi"/>
          <w:sz w:val="24"/>
          <w:szCs w:val="24"/>
          <w:shd w:val="clear" w:color="auto" w:fill="FFFFFF"/>
          <w:lang w:val="en-GB"/>
        </w:rPr>
        <w:t>S</w:t>
      </w:r>
      <w:r w:rsidRPr="00567488">
        <w:rPr>
          <w:rFonts w:asciiTheme="majorBidi" w:hAnsiTheme="majorBidi" w:cstheme="majorBidi"/>
          <w:sz w:val="24"/>
          <w:szCs w:val="24"/>
          <w:shd w:val="clear" w:color="auto" w:fill="FFFFFF"/>
          <w:lang w:val="en-GB"/>
        </w:rPr>
        <w:t>chools in the City of Zagreb]. </w:t>
      </w:r>
      <w:proofErr w:type="spellStart"/>
      <w:r w:rsidRPr="00567488">
        <w:rPr>
          <w:rFonts w:asciiTheme="majorBidi" w:hAnsiTheme="majorBidi" w:cstheme="majorBidi"/>
          <w:i/>
          <w:iCs/>
          <w:sz w:val="24"/>
          <w:szCs w:val="24"/>
          <w:shd w:val="clear" w:color="auto" w:fill="FFFFFF"/>
          <w:lang w:val="en-GB"/>
        </w:rPr>
        <w:t>Hrvatski</w:t>
      </w:r>
      <w:proofErr w:type="spellEnd"/>
      <w:r w:rsidRPr="00567488">
        <w:rPr>
          <w:rFonts w:asciiTheme="majorBidi" w:hAnsiTheme="majorBidi" w:cstheme="majorBidi"/>
          <w:i/>
          <w:iCs/>
          <w:sz w:val="24"/>
          <w:szCs w:val="24"/>
          <w:shd w:val="clear" w:color="auto" w:fill="FFFFFF"/>
          <w:lang w:val="en-GB"/>
        </w:rPr>
        <w:t xml:space="preserve"> </w:t>
      </w:r>
      <w:proofErr w:type="spellStart"/>
      <w:r w:rsidRPr="00567488">
        <w:rPr>
          <w:rFonts w:asciiTheme="majorBidi" w:hAnsiTheme="majorBidi" w:cstheme="majorBidi"/>
          <w:i/>
          <w:iCs/>
          <w:sz w:val="24"/>
          <w:szCs w:val="24"/>
          <w:shd w:val="clear" w:color="auto" w:fill="FFFFFF"/>
          <w:lang w:val="en-GB"/>
        </w:rPr>
        <w:t>geografski</w:t>
      </w:r>
      <w:proofErr w:type="spellEnd"/>
      <w:r w:rsidRPr="00567488">
        <w:rPr>
          <w:rFonts w:asciiTheme="majorBidi" w:hAnsiTheme="majorBidi" w:cstheme="majorBidi"/>
          <w:i/>
          <w:iCs/>
          <w:sz w:val="24"/>
          <w:szCs w:val="24"/>
          <w:shd w:val="clear" w:color="auto" w:fill="FFFFFF"/>
          <w:lang w:val="en-GB"/>
        </w:rPr>
        <w:t xml:space="preserve"> </w:t>
      </w:r>
      <w:proofErr w:type="spellStart"/>
      <w:r w:rsidRPr="00567488">
        <w:rPr>
          <w:rFonts w:asciiTheme="majorBidi" w:hAnsiTheme="majorBidi" w:cstheme="majorBidi"/>
          <w:i/>
          <w:iCs/>
          <w:sz w:val="24"/>
          <w:szCs w:val="24"/>
          <w:shd w:val="clear" w:color="auto" w:fill="FFFFFF"/>
          <w:lang w:val="en-GB"/>
        </w:rPr>
        <w:t>glasnik</w:t>
      </w:r>
      <w:proofErr w:type="spellEnd"/>
      <w:r w:rsidRPr="00567488">
        <w:rPr>
          <w:rFonts w:asciiTheme="majorBidi" w:hAnsiTheme="majorBidi" w:cstheme="majorBidi"/>
          <w:sz w:val="24"/>
          <w:szCs w:val="24"/>
          <w:shd w:val="clear" w:color="auto" w:fill="FFFFFF"/>
          <w:lang w:val="en-GB"/>
        </w:rPr>
        <w:t> </w:t>
      </w:r>
      <w:r w:rsidRPr="00567488">
        <w:rPr>
          <w:rFonts w:asciiTheme="majorBidi" w:hAnsiTheme="majorBidi" w:cstheme="majorBidi"/>
          <w:iCs/>
          <w:sz w:val="24"/>
          <w:szCs w:val="24"/>
          <w:shd w:val="clear" w:color="auto" w:fill="FFFFFF"/>
          <w:lang w:val="en-GB"/>
        </w:rPr>
        <w:t>74</w:t>
      </w:r>
      <w:r w:rsidR="00C5117F" w:rsidRPr="00567488">
        <w:rPr>
          <w:rFonts w:asciiTheme="majorBidi" w:hAnsiTheme="majorBidi" w:cstheme="majorBidi"/>
          <w:sz w:val="24"/>
          <w:szCs w:val="24"/>
          <w:shd w:val="clear" w:color="auto" w:fill="FFFFFF"/>
          <w:lang w:val="en-GB"/>
        </w:rPr>
        <w:t xml:space="preserve"> </w:t>
      </w:r>
      <w:r w:rsidRPr="00567488">
        <w:rPr>
          <w:rFonts w:asciiTheme="majorBidi" w:hAnsiTheme="majorBidi" w:cstheme="majorBidi"/>
          <w:sz w:val="24"/>
          <w:szCs w:val="24"/>
          <w:shd w:val="clear" w:color="auto" w:fill="FFFFFF"/>
          <w:lang w:val="en-GB"/>
        </w:rPr>
        <w:t>(2)</w:t>
      </w:r>
      <w:r w:rsidR="00C5117F" w:rsidRPr="00567488">
        <w:rPr>
          <w:rFonts w:asciiTheme="majorBidi" w:hAnsiTheme="majorBidi" w:cstheme="majorBidi"/>
          <w:sz w:val="24"/>
          <w:szCs w:val="24"/>
          <w:shd w:val="clear" w:color="auto" w:fill="FFFFFF"/>
          <w:lang w:val="en-GB"/>
        </w:rPr>
        <w:t>:</w:t>
      </w:r>
      <w:r w:rsidRPr="00567488">
        <w:rPr>
          <w:rFonts w:asciiTheme="majorBidi" w:hAnsiTheme="majorBidi" w:cstheme="majorBidi"/>
          <w:sz w:val="24"/>
          <w:szCs w:val="24"/>
          <w:shd w:val="clear" w:color="auto" w:fill="FFFFFF"/>
          <w:lang w:val="en-GB"/>
        </w:rPr>
        <w:t xml:space="preserve"> 27-51.</w:t>
      </w:r>
    </w:p>
    <w:p w14:paraId="61E93CC1" w14:textId="16EEEB7B" w:rsidR="00F8163D" w:rsidRPr="00173F61" w:rsidRDefault="009D64C3" w:rsidP="00C03772">
      <w:pPr>
        <w:spacing w:after="0" w:line="480" w:lineRule="auto"/>
        <w:ind w:left="720" w:hanging="720"/>
        <w:rPr>
          <w:rFonts w:ascii="Times New Roman" w:hAnsi="Times New Roman" w:cs="Times New Roman"/>
          <w:sz w:val="24"/>
          <w:szCs w:val="24"/>
          <w:shd w:val="clear" w:color="auto" w:fill="FFFFFF"/>
          <w:lang w:val="en-GB"/>
        </w:rPr>
      </w:pPr>
      <w:proofErr w:type="spellStart"/>
      <w:r w:rsidRPr="004C7E29">
        <w:rPr>
          <w:rFonts w:ascii="Times New Roman" w:hAnsi="Times New Roman" w:cs="Times New Roman"/>
          <w:sz w:val="24"/>
          <w:szCs w:val="24"/>
          <w:shd w:val="clear" w:color="auto" w:fill="FFFFFF"/>
          <w:lang w:val="en-GB"/>
        </w:rPr>
        <w:t>Woessmann</w:t>
      </w:r>
      <w:proofErr w:type="spellEnd"/>
      <w:r w:rsidRPr="004C7E29">
        <w:rPr>
          <w:rFonts w:ascii="Times New Roman" w:hAnsi="Times New Roman" w:cs="Times New Roman"/>
          <w:sz w:val="24"/>
          <w:szCs w:val="24"/>
          <w:shd w:val="clear" w:color="auto" w:fill="FFFFFF"/>
          <w:lang w:val="en-GB"/>
        </w:rPr>
        <w:t>, L., and</w:t>
      </w:r>
      <w:r w:rsidR="00F8163D" w:rsidRPr="004C7E29">
        <w:rPr>
          <w:rFonts w:ascii="Times New Roman" w:hAnsi="Times New Roman" w:cs="Times New Roman"/>
          <w:sz w:val="24"/>
          <w:szCs w:val="24"/>
          <w:shd w:val="clear" w:color="auto" w:fill="FFFFFF"/>
          <w:lang w:val="en-GB"/>
        </w:rPr>
        <w:t xml:space="preserve"> </w:t>
      </w:r>
      <w:r w:rsidRPr="004C7E29">
        <w:rPr>
          <w:rFonts w:ascii="Times New Roman" w:hAnsi="Times New Roman" w:cs="Times New Roman"/>
          <w:sz w:val="24"/>
          <w:szCs w:val="24"/>
          <w:shd w:val="clear" w:color="auto" w:fill="FFFFFF"/>
          <w:lang w:val="en-GB"/>
        </w:rPr>
        <w:t xml:space="preserve">M. </w:t>
      </w:r>
      <w:r w:rsidR="00F8163D" w:rsidRPr="004C7E29">
        <w:rPr>
          <w:rFonts w:ascii="Times New Roman" w:hAnsi="Times New Roman" w:cs="Times New Roman"/>
          <w:sz w:val="24"/>
          <w:szCs w:val="24"/>
          <w:shd w:val="clear" w:color="auto" w:fill="FFFFFF"/>
          <w:lang w:val="en-GB"/>
        </w:rPr>
        <w:t xml:space="preserve">West. </w:t>
      </w:r>
      <w:r w:rsidRPr="004C7E29">
        <w:rPr>
          <w:rFonts w:ascii="Times New Roman" w:hAnsi="Times New Roman" w:cs="Times New Roman"/>
          <w:sz w:val="24"/>
          <w:szCs w:val="24"/>
          <w:shd w:val="clear" w:color="auto" w:fill="FFFFFF"/>
          <w:lang w:val="en-GB"/>
        </w:rPr>
        <w:t>2006</w:t>
      </w:r>
      <w:r w:rsidR="00F8163D" w:rsidRPr="004C7E29">
        <w:rPr>
          <w:rFonts w:ascii="Times New Roman" w:hAnsi="Times New Roman" w:cs="Times New Roman"/>
          <w:sz w:val="24"/>
          <w:szCs w:val="24"/>
          <w:shd w:val="clear" w:color="auto" w:fill="FFFFFF"/>
          <w:lang w:val="en-GB"/>
        </w:rPr>
        <w:t xml:space="preserve">. </w:t>
      </w:r>
      <w:r w:rsidRPr="004C7E29">
        <w:rPr>
          <w:rFonts w:ascii="Times New Roman" w:hAnsi="Times New Roman" w:cs="Times New Roman"/>
          <w:sz w:val="24"/>
          <w:szCs w:val="24"/>
          <w:shd w:val="clear" w:color="auto" w:fill="FFFFFF"/>
          <w:lang w:val="en-GB"/>
        </w:rPr>
        <w:t>“</w:t>
      </w:r>
      <w:r w:rsidR="00DE45E3" w:rsidRPr="00DE45E3">
        <w:rPr>
          <w:rFonts w:ascii="Times New Roman" w:hAnsi="Times New Roman" w:cs="Times New Roman"/>
          <w:sz w:val="24"/>
          <w:szCs w:val="24"/>
          <w:shd w:val="clear" w:color="auto" w:fill="FFFFFF"/>
          <w:lang w:val="en-GB"/>
        </w:rPr>
        <w:t xml:space="preserve">Class-Size Effects in School Systems </w:t>
      </w:r>
      <w:proofErr w:type="gramStart"/>
      <w:r w:rsidR="00DE45E3" w:rsidRPr="00DE45E3">
        <w:rPr>
          <w:rFonts w:ascii="Times New Roman" w:hAnsi="Times New Roman" w:cs="Times New Roman"/>
          <w:sz w:val="24"/>
          <w:szCs w:val="24"/>
          <w:shd w:val="clear" w:color="auto" w:fill="FFFFFF"/>
          <w:lang w:val="en-GB"/>
        </w:rPr>
        <w:t>Around</w:t>
      </w:r>
      <w:proofErr w:type="gramEnd"/>
      <w:r w:rsidR="00DE45E3" w:rsidRPr="00DE45E3">
        <w:rPr>
          <w:rFonts w:ascii="Times New Roman" w:hAnsi="Times New Roman" w:cs="Times New Roman"/>
          <w:sz w:val="24"/>
          <w:szCs w:val="24"/>
          <w:shd w:val="clear" w:color="auto" w:fill="FFFFFF"/>
          <w:lang w:val="en-GB"/>
        </w:rPr>
        <w:t xml:space="preserve"> the World: Evidence from Between-Grade Variation in</w:t>
      </w:r>
      <w:r w:rsidR="00F8163D" w:rsidRPr="004C7E29">
        <w:rPr>
          <w:rFonts w:ascii="Times New Roman" w:hAnsi="Times New Roman" w:cs="Times New Roman"/>
          <w:sz w:val="24"/>
          <w:szCs w:val="24"/>
          <w:shd w:val="clear" w:color="auto" w:fill="FFFFFF"/>
          <w:lang w:val="en-GB"/>
        </w:rPr>
        <w:t xml:space="preserve"> TIMSS.</w:t>
      </w:r>
      <w:r w:rsidRPr="004C7E29">
        <w:rPr>
          <w:rFonts w:ascii="Times New Roman" w:hAnsi="Times New Roman" w:cs="Times New Roman"/>
          <w:sz w:val="24"/>
          <w:szCs w:val="24"/>
          <w:shd w:val="clear" w:color="auto" w:fill="FFFFFF"/>
          <w:lang w:val="en-GB"/>
        </w:rPr>
        <w:t>”</w:t>
      </w:r>
      <w:r w:rsidR="00F8163D" w:rsidRPr="004C7E29">
        <w:rPr>
          <w:rFonts w:ascii="Times New Roman" w:hAnsi="Times New Roman" w:cs="Times New Roman"/>
          <w:sz w:val="24"/>
          <w:szCs w:val="24"/>
          <w:shd w:val="clear" w:color="auto" w:fill="FFFFFF"/>
          <w:lang w:val="en-GB"/>
        </w:rPr>
        <w:t> </w:t>
      </w:r>
      <w:r w:rsidR="00F8163D" w:rsidRPr="004C7E29">
        <w:rPr>
          <w:rFonts w:ascii="Times New Roman" w:hAnsi="Times New Roman" w:cs="Times New Roman"/>
          <w:i/>
          <w:iCs/>
          <w:sz w:val="24"/>
          <w:szCs w:val="24"/>
          <w:shd w:val="clear" w:color="auto" w:fill="FFFFFF"/>
          <w:lang w:val="en-GB"/>
        </w:rPr>
        <w:t>European Economic Review</w:t>
      </w:r>
      <w:r w:rsidR="00F8163D" w:rsidRPr="004C7E29">
        <w:rPr>
          <w:rFonts w:ascii="Times New Roman" w:hAnsi="Times New Roman" w:cs="Times New Roman"/>
          <w:sz w:val="24"/>
          <w:szCs w:val="24"/>
          <w:shd w:val="clear" w:color="auto" w:fill="FFFFFF"/>
          <w:lang w:val="en-GB"/>
        </w:rPr>
        <w:t> </w:t>
      </w:r>
      <w:r w:rsidR="00F8163D" w:rsidRPr="004C7E29">
        <w:rPr>
          <w:rFonts w:ascii="Times New Roman" w:hAnsi="Times New Roman" w:cs="Times New Roman"/>
          <w:iCs/>
          <w:sz w:val="24"/>
          <w:szCs w:val="24"/>
          <w:shd w:val="clear" w:color="auto" w:fill="FFFFFF"/>
          <w:lang w:val="en-GB"/>
        </w:rPr>
        <w:t>50</w:t>
      </w:r>
      <w:r w:rsidRPr="004C7E29">
        <w:rPr>
          <w:rFonts w:ascii="Times New Roman" w:hAnsi="Times New Roman" w:cs="Times New Roman"/>
          <w:sz w:val="24"/>
          <w:szCs w:val="24"/>
          <w:shd w:val="clear" w:color="auto" w:fill="FFFFFF"/>
          <w:lang w:val="en-GB"/>
        </w:rPr>
        <w:t xml:space="preserve"> </w:t>
      </w:r>
      <w:r w:rsidR="00F8163D" w:rsidRPr="004C7E29">
        <w:rPr>
          <w:rFonts w:ascii="Times New Roman" w:hAnsi="Times New Roman" w:cs="Times New Roman"/>
          <w:sz w:val="24"/>
          <w:szCs w:val="24"/>
          <w:shd w:val="clear" w:color="auto" w:fill="FFFFFF"/>
          <w:lang w:val="en-GB"/>
        </w:rPr>
        <w:t>(3)</w:t>
      </w:r>
      <w:r w:rsidRPr="004C7E29">
        <w:rPr>
          <w:rFonts w:ascii="Times New Roman" w:hAnsi="Times New Roman" w:cs="Times New Roman"/>
          <w:sz w:val="24"/>
          <w:szCs w:val="24"/>
          <w:shd w:val="clear" w:color="auto" w:fill="FFFFFF"/>
          <w:lang w:val="en-GB"/>
        </w:rPr>
        <w:t>:</w:t>
      </w:r>
      <w:r w:rsidR="00F8163D" w:rsidRPr="004C7E29">
        <w:rPr>
          <w:rFonts w:ascii="Times New Roman" w:hAnsi="Times New Roman" w:cs="Times New Roman"/>
          <w:sz w:val="24"/>
          <w:szCs w:val="24"/>
          <w:shd w:val="clear" w:color="auto" w:fill="FFFFFF"/>
          <w:lang w:val="en-GB"/>
        </w:rPr>
        <w:t xml:space="preserve"> 695-736.</w:t>
      </w:r>
    </w:p>
    <w:p w14:paraId="4BCCA582" w14:textId="77777777" w:rsidR="00F8163D" w:rsidRDefault="00F8163D" w:rsidP="003F755E">
      <w:pPr>
        <w:spacing w:line="480" w:lineRule="auto"/>
        <w:rPr>
          <w:lang w:val="en-GB"/>
        </w:rPr>
      </w:pPr>
    </w:p>
    <w:p w14:paraId="7E48E5E2" w14:textId="77777777" w:rsidR="00045047" w:rsidRDefault="00045047" w:rsidP="003F755E">
      <w:pPr>
        <w:spacing w:line="480" w:lineRule="auto"/>
        <w:rPr>
          <w:lang w:val="en-GB"/>
        </w:rPr>
      </w:pPr>
    </w:p>
    <w:p w14:paraId="4DA8136D" w14:textId="77777777" w:rsidR="00045047" w:rsidRDefault="00045047" w:rsidP="003F755E">
      <w:pPr>
        <w:spacing w:line="480" w:lineRule="auto"/>
        <w:rPr>
          <w:lang w:val="en-GB"/>
        </w:rPr>
      </w:pPr>
    </w:p>
    <w:p w14:paraId="43FE0E0B" w14:textId="61DB9D6D" w:rsidR="00045047" w:rsidRDefault="00045047" w:rsidP="003F755E">
      <w:pPr>
        <w:spacing w:line="480" w:lineRule="auto"/>
        <w:rPr>
          <w:lang w:val="en-GB"/>
        </w:rPr>
      </w:pPr>
    </w:p>
    <w:p w14:paraId="41334EC4" w14:textId="68618BD1" w:rsidR="006A16A6" w:rsidRDefault="006A16A6" w:rsidP="003F755E">
      <w:pPr>
        <w:spacing w:line="480" w:lineRule="auto"/>
        <w:rPr>
          <w:lang w:val="en-GB"/>
        </w:rPr>
      </w:pPr>
    </w:p>
    <w:p w14:paraId="013DD03C" w14:textId="3B6A3236" w:rsidR="006A16A6" w:rsidRDefault="006A16A6" w:rsidP="003F755E">
      <w:pPr>
        <w:spacing w:line="480" w:lineRule="auto"/>
        <w:rPr>
          <w:lang w:val="en-GB"/>
        </w:rPr>
      </w:pPr>
    </w:p>
    <w:p w14:paraId="74152618" w14:textId="6A636246" w:rsidR="006A16A6" w:rsidRDefault="006A16A6" w:rsidP="003F755E">
      <w:pPr>
        <w:spacing w:line="480" w:lineRule="auto"/>
        <w:rPr>
          <w:lang w:val="en-GB"/>
        </w:rPr>
      </w:pPr>
    </w:p>
    <w:p w14:paraId="01BE0581" w14:textId="71E5D2D1" w:rsidR="006A16A6" w:rsidRDefault="006A16A6" w:rsidP="003F755E">
      <w:pPr>
        <w:spacing w:line="480" w:lineRule="auto"/>
        <w:rPr>
          <w:lang w:val="en-GB"/>
        </w:rPr>
      </w:pPr>
    </w:p>
    <w:p w14:paraId="18D59B89" w14:textId="55BC87B2" w:rsidR="006A16A6" w:rsidRDefault="006A16A6" w:rsidP="003F755E">
      <w:pPr>
        <w:spacing w:line="480" w:lineRule="auto"/>
        <w:rPr>
          <w:lang w:val="en-GB"/>
        </w:rPr>
      </w:pPr>
    </w:p>
    <w:p w14:paraId="3CAEA8F5" w14:textId="13948B0F" w:rsidR="006A16A6" w:rsidRDefault="006A16A6" w:rsidP="003F755E">
      <w:pPr>
        <w:spacing w:line="480" w:lineRule="auto"/>
        <w:rPr>
          <w:lang w:val="en-GB"/>
        </w:rPr>
      </w:pPr>
    </w:p>
    <w:p w14:paraId="44A77FF0" w14:textId="68E3EA95" w:rsidR="006A16A6" w:rsidRDefault="006A16A6" w:rsidP="003F755E">
      <w:pPr>
        <w:spacing w:line="480" w:lineRule="auto"/>
        <w:rPr>
          <w:lang w:val="en-GB"/>
        </w:rPr>
      </w:pPr>
    </w:p>
    <w:p w14:paraId="0AAB5283" w14:textId="69893325" w:rsidR="006A16A6" w:rsidRDefault="006A16A6" w:rsidP="003F755E">
      <w:pPr>
        <w:spacing w:line="480" w:lineRule="auto"/>
        <w:rPr>
          <w:lang w:val="en-GB"/>
        </w:rPr>
      </w:pPr>
    </w:p>
    <w:p w14:paraId="4F7BFE30" w14:textId="62D358EB" w:rsidR="006A16A6" w:rsidRDefault="006A16A6" w:rsidP="003F755E">
      <w:pPr>
        <w:spacing w:line="480" w:lineRule="auto"/>
        <w:rPr>
          <w:lang w:val="en-GB"/>
        </w:rPr>
      </w:pPr>
    </w:p>
    <w:p w14:paraId="67C7F977" w14:textId="77777777" w:rsidR="006A16A6" w:rsidRPr="007A3524" w:rsidRDefault="006A16A6" w:rsidP="006A16A6">
      <w:pPr>
        <w:spacing w:after="0" w:line="240" w:lineRule="auto"/>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lastRenderedPageBreak/>
        <w:t>Table 1. Descriptive statistics of the variables and associations between predictors and pupils’ aspirations for higher education</w:t>
      </w:r>
    </w:p>
    <w:p w14:paraId="7DBA3EAA" w14:textId="77777777" w:rsidR="006A16A6" w:rsidRPr="007A3524" w:rsidRDefault="006A16A6" w:rsidP="006A16A6">
      <w:pPr>
        <w:spacing w:after="0" w:line="240" w:lineRule="auto"/>
        <w:rPr>
          <w:rFonts w:ascii="Times New Roman" w:eastAsia="Calibri" w:hAnsi="Times New Roman" w:cs="Times New Roman"/>
          <w:sz w:val="20"/>
          <w:szCs w:val="20"/>
          <w:lang w:val="en-GB"/>
        </w:rPr>
      </w:pPr>
    </w:p>
    <w:tbl>
      <w:tblPr>
        <w:tblStyle w:val="TableGrid"/>
        <w:tblW w:w="91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1530"/>
        <w:gridCol w:w="1350"/>
        <w:gridCol w:w="1890"/>
      </w:tblGrid>
      <w:tr w:rsidR="006A16A6" w:rsidRPr="007A3524" w14:paraId="62CA138C" w14:textId="77777777" w:rsidTr="00241E86">
        <w:tc>
          <w:tcPr>
            <w:tcW w:w="4428" w:type="dxa"/>
            <w:tcBorders>
              <w:top w:val="single" w:sz="4" w:space="0" w:color="auto"/>
              <w:bottom w:val="nil"/>
            </w:tcBorders>
          </w:tcPr>
          <w:p w14:paraId="6D030A4C" w14:textId="77777777" w:rsidR="006A16A6" w:rsidRPr="007A3524" w:rsidRDefault="006A16A6" w:rsidP="00241E86">
            <w:pPr>
              <w:tabs>
                <w:tab w:val="right" w:pos="4075"/>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Variables</w:t>
            </w:r>
            <w:r w:rsidRPr="007A3524">
              <w:rPr>
                <w:rFonts w:ascii="Times New Roman" w:eastAsia="Calibri" w:hAnsi="Times New Roman" w:cs="Times New Roman"/>
                <w:sz w:val="20"/>
                <w:szCs w:val="20"/>
                <w:lang w:val="en-GB"/>
              </w:rPr>
              <w:tab/>
            </w:r>
          </w:p>
        </w:tc>
        <w:tc>
          <w:tcPr>
            <w:tcW w:w="1530" w:type="dxa"/>
            <w:tcBorders>
              <w:top w:val="single" w:sz="4" w:space="0" w:color="auto"/>
              <w:bottom w:val="nil"/>
            </w:tcBorders>
          </w:tcPr>
          <w:p w14:paraId="28AF0045"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M, SD, %</w:t>
            </w:r>
          </w:p>
        </w:tc>
        <w:tc>
          <w:tcPr>
            <w:tcW w:w="1350" w:type="dxa"/>
            <w:tcBorders>
              <w:top w:val="single" w:sz="4" w:space="0" w:color="auto"/>
              <w:bottom w:val="nil"/>
            </w:tcBorders>
          </w:tcPr>
          <w:p w14:paraId="5CAA17E1"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Range</w:t>
            </w:r>
          </w:p>
        </w:tc>
        <w:tc>
          <w:tcPr>
            <w:tcW w:w="1890" w:type="dxa"/>
            <w:tcBorders>
              <w:top w:val="single" w:sz="4" w:space="0" w:color="auto"/>
              <w:bottom w:val="nil"/>
            </w:tcBorders>
          </w:tcPr>
          <w:p w14:paraId="0462F127" w14:textId="77777777" w:rsidR="006A16A6" w:rsidRPr="00D20D7C" w:rsidRDefault="006A16A6" w:rsidP="00241E86">
            <w:pPr>
              <w:rPr>
                <w:rFonts w:ascii="Times New Roman" w:hAnsi="Times New Roman"/>
                <w:sz w:val="20"/>
                <w:vertAlign w:val="superscript"/>
                <w:lang w:val="en-GB"/>
              </w:rPr>
            </w:pPr>
            <w:r w:rsidRPr="00946BE8">
              <w:rPr>
                <w:rFonts w:ascii="Times New Roman" w:eastAsia="Calibri" w:hAnsi="Times New Roman" w:cs="Times New Roman"/>
                <w:sz w:val="20"/>
                <w:szCs w:val="20"/>
                <w:lang w:val="en-GB"/>
              </w:rPr>
              <w:t xml:space="preserve">Spearman’s </w:t>
            </w:r>
            <w:r w:rsidRPr="00946BE8">
              <w:rPr>
                <w:rFonts w:ascii="Times New Roman" w:eastAsia="Calibri" w:hAnsi="Times New Roman" w:cs="Times New Roman"/>
                <w:i/>
                <w:iCs/>
                <w:sz w:val="20"/>
                <w:szCs w:val="20"/>
                <w:lang w:val="en-GB"/>
              </w:rPr>
              <w:t>ρ</w:t>
            </w:r>
            <w:r w:rsidRPr="00946BE8">
              <w:rPr>
                <w:rFonts w:ascii="Times New Roman" w:eastAsia="Calibri" w:hAnsi="Times New Roman" w:cs="Times New Roman"/>
                <w:sz w:val="20"/>
                <w:szCs w:val="20"/>
                <w:lang w:val="en-GB"/>
              </w:rPr>
              <w:t xml:space="preserve"> / </w:t>
            </w:r>
            <w:proofErr w:type="spellStart"/>
            <w:r w:rsidRPr="00946BE8">
              <w:rPr>
                <w:rFonts w:ascii="Times New Roman" w:eastAsia="Calibri" w:hAnsi="Times New Roman" w:cs="Times New Roman"/>
                <w:sz w:val="20"/>
                <w:szCs w:val="20"/>
                <w:lang w:val="en-GB"/>
              </w:rPr>
              <w:t>Kruskal</w:t>
            </w:r>
            <w:proofErr w:type="spellEnd"/>
            <w:r w:rsidRPr="00946BE8">
              <w:rPr>
                <w:rFonts w:ascii="Times New Roman" w:eastAsia="Calibri" w:hAnsi="Times New Roman" w:cs="Times New Roman"/>
                <w:sz w:val="20"/>
                <w:szCs w:val="20"/>
                <w:lang w:val="en-GB"/>
              </w:rPr>
              <w:t>-Wallis Test</w:t>
            </w:r>
            <w:r w:rsidRPr="00946BE8">
              <w:rPr>
                <w:rFonts w:ascii="Times New Roman" w:eastAsia="Calibri" w:hAnsi="Times New Roman" w:cs="Times New Roman"/>
                <w:sz w:val="20"/>
                <w:szCs w:val="20"/>
                <w:vertAlign w:val="superscript"/>
                <w:lang w:val="en-GB"/>
              </w:rPr>
              <w:t>*</w:t>
            </w:r>
          </w:p>
        </w:tc>
      </w:tr>
      <w:tr w:rsidR="006A16A6" w:rsidRPr="007A3524" w14:paraId="14D375E3" w14:textId="77777777" w:rsidTr="00241E86">
        <w:tc>
          <w:tcPr>
            <w:tcW w:w="4428" w:type="dxa"/>
            <w:tcBorders>
              <w:top w:val="single" w:sz="4" w:space="0" w:color="auto"/>
              <w:bottom w:val="nil"/>
            </w:tcBorders>
          </w:tcPr>
          <w:p w14:paraId="7D5CCC67" w14:textId="77777777" w:rsidR="006A16A6" w:rsidRPr="007A3524" w:rsidRDefault="006A16A6" w:rsidP="00241E86">
            <w:pPr>
              <w:rPr>
                <w:rFonts w:ascii="Times New Roman" w:eastAsia="Calibri" w:hAnsi="Times New Roman" w:cs="Times New Roman"/>
                <w:b/>
                <w:sz w:val="20"/>
                <w:szCs w:val="20"/>
                <w:lang w:val="en-GB"/>
              </w:rPr>
            </w:pPr>
            <w:r w:rsidRPr="007A3524">
              <w:rPr>
                <w:rFonts w:ascii="Times New Roman" w:eastAsia="Calibri" w:hAnsi="Times New Roman" w:cs="Times New Roman"/>
                <w:b/>
                <w:sz w:val="20"/>
                <w:szCs w:val="20"/>
                <w:lang w:val="en-GB"/>
              </w:rPr>
              <w:t>Predictor variables</w:t>
            </w:r>
          </w:p>
        </w:tc>
        <w:tc>
          <w:tcPr>
            <w:tcW w:w="1530" w:type="dxa"/>
            <w:tcBorders>
              <w:top w:val="single" w:sz="4" w:space="0" w:color="auto"/>
              <w:bottom w:val="nil"/>
            </w:tcBorders>
          </w:tcPr>
          <w:p w14:paraId="6C1A96DB" w14:textId="77777777" w:rsidR="006A16A6" w:rsidRPr="007A3524" w:rsidRDefault="006A16A6" w:rsidP="00241E86">
            <w:pPr>
              <w:rPr>
                <w:rFonts w:ascii="Times New Roman" w:eastAsia="Calibri" w:hAnsi="Times New Roman" w:cs="Times New Roman"/>
                <w:sz w:val="20"/>
                <w:szCs w:val="20"/>
                <w:lang w:val="en-GB"/>
              </w:rPr>
            </w:pPr>
          </w:p>
        </w:tc>
        <w:tc>
          <w:tcPr>
            <w:tcW w:w="1350" w:type="dxa"/>
            <w:tcBorders>
              <w:top w:val="single" w:sz="4" w:space="0" w:color="auto"/>
              <w:bottom w:val="nil"/>
            </w:tcBorders>
          </w:tcPr>
          <w:p w14:paraId="531A511C" w14:textId="77777777" w:rsidR="006A16A6" w:rsidRPr="007A3524" w:rsidRDefault="006A16A6" w:rsidP="00241E86">
            <w:pPr>
              <w:rPr>
                <w:rFonts w:ascii="Times New Roman" w:eastAsia="Calibri" w:hAnsi="Times New Roman" w:cs="Times New Roman"/>
                <w:sz w:val="20"/>
                <w:szCs w:val="20"/>
                <w:lang w:val="en-GB"/>
              </w:rPr>
            </w:pPr>
          </w:p>
        </w:tc>
        <w:tc>
          <w:tcPr>
            <w:tcW w:w="1890" w:type="dxa"/>
            <w:tcBorders>
              <w:top w:val="single" w:sz="4" w:space="0" w:color="auto"/>
              <w:bottom w:val="nil"/>
            </w:tcBorders>
          </w:tcPr>
          <w:p w14:paraId="33A67B43" w14:textId="77777777" w:rsidR="006A16A6" w:rsidRPr="00946BE8" w:rsidRDefault="006A16A6" w:rsidP="00241E86">
            <w:pPr>
              <w:rPr>
                <w:rFonts w:ascii="Times New Roman" w:eastAsia="Calibri" w:hAnsi="Times New Roman" w:cs="Times New Roman"/>
                <w:sz w:val="20"/>
                <w:szCs w:val="20"/>
                <w:lang w:val="en-GB"/>
              </w:rPr>
            </w:pPr>
          </w:p>
        </w:tc>
      </w:tr>
      <w:tr w:rsidR="006A16A6" w:rsidRPr="007A3524" w14:paraId="2864CE2D" w14:textId="77777777" w:rsidTr="00241E86">
        <w:tc>
          <w:tcPr>
            <w:tcW w:w="4428" w:type="dxa"/>
            <w:tcBorders>
              <w:top w:val="nil"/>
              <w:bottom w:val="nil"/>
            </w:tcBorders>
          </w:tcPr>
          <w:p w14:paraId="0F5E2FF4" w14:textId="77777777" w:rsidR="006A16A6" w:rsidRPr="007A3524" w:rsidRDefault="006A16A6" w:rsidP="00241E86">
            <w:pPr>
              <w:rPr>
                <w:rFonts w:ascii="Times New Roman" w:eastAsia="Calibri" w:hAnsi="Times New Roman" w:cs="Times New Roman"/>
                <w:i/>
                <w:iCs/>
                <w:sz w:val="20"/>
                <w:szCs w:val="20"/>
                <w:lang w:val="en-GB"/>
              </w:rPr>
            </w:pPr>
            <w:r w:rsidRPr="007A3524">
              <w:rPr>
                <w:rFonts w:ascii="Times New Roman" w:eastAsia="Calibri" w:hAnsi="Times New Roman" w:cs="Times New Roman"/>
                <w:i/>
                <w:iCs/>
                <w:sz w:val="20"/>
                <w:szCs w:val="20"/>
                <w:lang w:val="en-GB"/>
              </w:rPr>
              <w:t>Individual level</w:t>
            </w:r>
          </w:p>
        </w:tc>
        <w:tc>
          <w:tcPr>
            <w:tcW w:w="1530" w:type="dxa"/>
            <w:tcBorders>
              <w:top w:val="nil"/>
              <w:bottom w:val="nil"/>
            </w:tcBorders>
          </w:tcPr>
          <w:p w14:paraId="2B6256BE" w14:textId="77777777" w:rsidR="006A16A6" w:rsidRPr="007A3524" w:rsidRDefault="006A16A6" w:rsidP="00241E86">
            <w:pPr>
              <w:rPr>
                <w:rFonts w:ascii="Times New Roman" w:eastAsia="Calibri" w:hAnsi="Times New Roman" w:cs="Times New Roman"/>
                <w:sz w:val="20"/>
                <w:szCs w:val="20"/>
                <w:lang w:val="en-GB"/>
              </w:rPr>
            </w:pPr>
          </w:p>
        </w:tc>
        <w:tc>
          <w:tcPr>
            <w:tcW w:w="1350" w:type="dxa"/>
            <w:tcBorders>
              <w:top w:val="nil"/>
              <w:bottom w:val="nil"/>
            </w:tcBorders>
          </w:tcPr>
          <w:p w14:paraId="76A68C37" w14:textId="77777777" w:rsidR="006A16A6" w:rsidRPr="007A3524" w:rsidRDefault="006A16A6" w:rsidP="00241E86">
            <w:pPr>
              <w:rPr>
                <w:rFonts w:ascii="Times New Roman" w:eastAsia="Calibri" w:hAnsi="Times New Roman" w:cs="Times New Roman"/>
                <w:sz w:val="20"/>
                <w:szCs w:val="20"/>
                <w:lang w:val="en-GB"/>
              </w:rPr>
            </w:pPr>
          </w:p>
        </w:tc>
        <w:tc>
          <w:tcPr>
            <w:tcW w:w="1890" w:type="dxa"/>
            <w:tcBorders>
              <w:top w:val="nil"/>
              <w:bottom w:val="nil"/>
            </w:tcBorders>
          </w:tcPr>
          <w:p w14:paraId="6E5E07F9" w14:textId="77777777" w:rsidR="006A16A6" w:rsidRPr="00946BE8" w:rsidRDefault="006A16A6" w:rsidP="00241E86">
            <w:pPr>
              <w:rPr>
                <w:rFonts w:ascii="Times New Roman" w:eastAsia="Calibri" w:hAnsi="Times New Roman" w:cs="Times New Roman"/>
                <w:sz w:val="20"/>
                <w:szCs w:val="20"/>
                <w:lang w:val="en-GB"/>
              </w:rPr>
            </w:pPr>
          </w:p>
        </w:tc>
      </w:tr>
      <w:tr w:rsidR="006A16A6" w:rsidRPr="007A3524" w14:paraId="28A338AD" w14:textId="77777777" w:rsidTr="00241E86">
        <w:tc>
          <w:tcPr>
            <w:tcW w:w="4428" w:type="dxa"/>
            <w:tcBorders>
              <w:top w:val="nil"/>
              <w:bottom w:val="nil"/>
            </w:tcBorders>
          </w:tcPr>
          <w:p w14:paraId="3E464B6C" w14:textId="77777777" w:rsidR="006A16A6" w:rsidRPr="007A3524" w:rsidRDefault="006A16A6" w:rsidP="00241E86">
            <w:pPr>
              <w:ind w:firstLine="28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Gender (%)</w:t>
            </w:r>
          </w:p>
        </w:tc>
        <w:tc>
          <w:tcPr>
            <w:tcW w:w="1530" w:type="dxa"/>
            <w:tcBorders>
              <w:top w:val="nil"/>
              <w:bottom w:val="nil"/>
            </w:tcBorders>
          </w:tcPr>
          <w:p w14:paraId="29C8351E" w14:textId="77777777" w:rsidR="006A16A6" w:rsidRPr="007A3524" w:rsidRDefault="006A16A6" w:rsidP="00241E86">
            <w:pPr>
              <w:rPr>
                <w:rFonts w:ascii="Times New Roman" w:eastAsia="Calibri" w:hAnsi="Times New Roman" w:cs="Times New Roman"/>
                <w:sz w:val="20"/>
                <w:szCs w:val="20"/>
                <w:lang w:val="en-GB"/>
              </w:rPr>
            </w:pPr>
          </w:p>
        </w:tc>
        <w:tc>
          <w:tcPr>
            <w:tcW w:w="1350" w:type="dxa"/>
            <w:tcBorders>
              <w:top w:val="nil"/>
              <w:bottom w:val="nil"/>
            </w:tcBorders>
          </w:tcPr>
          <w:p w14:paraId="00AA934C" w14:textId="77777777" w:rsidR="006A16A6" w:rsidRPr="007A3524" w:rsidRDefault="006A16A6" w:rsidP="00241E86">
            <w:pPr>
              <w:rPr>
                <w:rFonts w:ascii="Times New Roman" w:eastAsia="Calibri" w:hAnsi="Times New Roman" w:cs="Times New Roman"/>
                <w:sz w:val="20"/>
                <w:szCs w:val="20"/>
                <w:lang w:val="en-GB"/>
              </w:rPr>
            </w:pPr>
          </w:p>
        </w:tc>
        <w:tc>
          <w:tcPr>
            <w:tcW w:w="1890" w:type="dxa"/>
            <w:tcBorders>
              <w:top w:val="nil"/>
              <w:bottom w:val="nil"/>
            </w:tcBorders>
          </w:tcPr>
          <w:p w14:paraId="2AE18475" w14:textId="77777777" w:rsidR="006A16A6" w:rsidRPr="00946BE8" w:rsidRDefault="006A16A6" w:rsidP="00241E86">
            <w:pPr>
              <w:rPr>
                <w:rFonts w:ascii="Times New Roman" w:eastAsia="Calibri" w:hAnsi="Times New Roman" w:cs="Times New Roman"/>
                <w:sz w:val="20"/>
                <w:szCs w:val="20"/>
                <w:lang w:val="en-GB"/>
              </w:rPr>
            </w:pPr>
          </w:p>
        </w:tc>
      </w:tr>
      <w:tr w:rsidR="006A16A6" w:rsidRPr="007A3524" w14:paraId="730BB8BA" w14:textId="77777777" w:rsidTr="00241E86">
        <w:tc>
          <w:tcPr>
            <w:tcW w:w="4428" w:type="dxa"/>
            <w:tcBorders>
              <w:top w:val="nil"/>
              <w:bottom w:val="nil"/>
            </w:tcBorders>
          </w:tcPr>
          <w:p w14:paraId="18C1FE5C" w14:textId="77777777" w:rsidR="006A16A6" w:rsidRPr="007A3524" w:rsidRDefault="006A16A6" w:rsidP="00241E86">
            <w:pPr>
              <w:ind w:firstLine="567"/>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Female</w:t>
            </w:r>
          </w:p>
        </w:tc>
        <w:tc>
          <w:tcPr>
            <w:tcW w:w="1530" w:type="dxa"/>
            <w:tcBorders>
              <w:top w:val="nil"/>
              <w:bottom w:val="nil"/>
            </w:tcBorders>
          </w:tcPr>
          <w:p w14:paraId="6547BF69"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47.6 %</w:t>
            </w:r>
          </w:p>
        </w:tc>
        <w:tc>
          <w:tcPr>
            <w:tcW w:w="1350" w:type="dxa"/>
            <w:tcBorders>
              <w:top w:val="nil"/>
              <w:bottom w:val="nil"/>
            </w:tcBorders>
          </w:tcPr>
          <w:p w14:paraId="0C87193E" w14:textId="77777777" w:rsidR="006A16A6" w:rsidRPr="007A3524" w:rsidRDefault="006A16A6" w:rsidP="00241E86">
            <w:pPr>
              <w:rPr>
                <w:rFonts w:ascii="Times New Roman" w:eastAsia="Calibri" w:hAnsi="Times New Roman" w:cs="Times New Roman"/>
                <w:sz w:val="20"/>
                <w:szCs w:val="20"/>
                <w:lang w:val="en-GB"/>
              </w:rPr>
            </w:pPr>
          </w:p>
        </w:tc>
        <w:tc>
          <w:tcPr>
            <w:tcW w:w="1890" w:type="dxa"/>
            <w:tcBorders>
              <w:top w:val="nil"/>
              <w:bottom w:val="nil"/>
            </w:tcBorders>
          </w:tcPr>
          <w:p w14:paraId="35E02582" w14:textId="77777777" w:rsidR="006A16A6" w:rsidRPr="00946BE8" w:rsidRDefault="006A16A6" w:rsidP="00241E86">
            <w:pPr>
              <w:tabs>
                <w:tab w:val="decimal" w:pos="182"/>
              </w:tabs>
              <w:rPr>
                <w:rFonts w:ascii="Times New Roman" w:eastAsia="Calibri" w:hAnsi="Times New Roman" w:cs="Times New Roman"/>
                <w:sz w:val="20"/>
                <w:szCs w:val="20"/>
                <w:lang w:val="en-GB"/>
              </w:rPr>
            </w:pPr>
            <w:r w:rsidRPr="00946BE8">
              <w:rPr>
                <w:rFonts w:ascii="Times New Roman" w:eastAsia="Calibri" w:hAnsi="Times New Roman" w:cs="Times New Roman"/>
                <w:sz w:val="20"/>
                <w:szCs w:val="20"/>
                <w:lang w:val="en-GB"/>
              </w:rPr>
              <w:t>-.204</w:t>
            </w:r>
          </w:p>
        </w:tc>
      </w:tr>
      <w:tr w:rsidR="006A16A6" w:rsidRPr="007A3524" w14:paraId="1E2A4966" w14:textId="77777777" w:rsidTr="00241E86">
        <w:tc>
          <w:tcPr>
            <w:tcW w:w="4428" w:type="dxa"/>
            <w:tcBorders>
              <w:top w:val="nil"/>
              <w:bottom w:val="nil"/>
            </w:tcBorders>
          </w:tcPr>
          <w:p w14:paraId="23BAA2DF" w14:textId="77777777" w:rsidR="006A16A6" w:rsidRPr="007A3524" w:rsidRDefault="006A16A6" w:rsidP="00241E86">
            <w:pPr>
              <w:ind w:firstLine="567"/>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Male</w:t>
            </w:r>
          </w:p>
        </w:tc>
        <w:tc>
          <w:tcPr>
            <w:tcW w:w="1530" w:type="dxa"/>
            <w:tcBorders>
              <w:top w:val="nil"/>
              <w:bottom w:val="nil"/>
            </w:tcBorders>
          </w:tcPr>
          <w:p w14:paraId="4A06FCAF"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52.4 %</w:t>
            </w:r>
          </w:p>
        </w:tc>
        <w:tc>
          <w:tcPr>
            <w:tcW w:w="1350" w:type="dxa"/>
            <w:tcBorders>
              <w:top w:val="nil"/>
              <w:bottom w:val="nil"/>
            </w:tcBorders>
          </w:tcPr>
          <w:p w14:paraId="09189DD8" w14:textId="77777777" w:rsidR="006A16A6" w:rsidRPr="007A3524" w:rsidRDefault="006A16A6" w:rsidP="00241E86">
            <w:pPr>
              <w:rPr>
                <w:rFonts w:ascii="Times New Roman" w:eastAsia="Calibri" w:hAnsi="Times New Roman" w:cs="Times New Roman"/>
                <w:sz w:val="20"/>
                <w:szCs w:val="20"/>
                <w:lang w:val="en-GB"/>
              </w:rPr>
            </w:pPr>
          </w:p>
        </w:tc>
        <w:tc>
          <w:tcPr>
            <w:tcW w:w="1890" w:type="dxa"/>
            <w:tcBorders>
              <w:top w:val="nil"/>
              <w:bottom w:val="nil"/>
            </w:tcBorders>
          </w:tcPr>
          <w:p w14:paraId="106C19E6" w14:textId="77777777" w:rsidR="006A16A6" w:rsidRPr="00946BE8" w:rsidRDefault="006A16A6" w:rsidP="00241E86">
            <w:pPr>
              <w:rPr>
                <w:rFonts w:ascii="Times New Roman" w:eastAsia="Calibri" w:hAnsi="Times New Roman" w:cs="Times New Roman"/>
                <w:sz w:val="20"/>
                <w:szCs w:val="20"/>
                <w:lang w:val="en-GB"/>
              </w:rPr>
            </w:pPr>
          </w:p>
        </w:tc>
      </w:tr>
      <w:tr w:rsidR="006A16A6" w:rsidRPr="007A3524" w14:paraId="38E0A796" w14:textId="77777777" w:rsidTr="00241E86">
        <w:tc>
          <w:tcPr>
            <w:tcW w:w="4428" w:type="dxa"/>
            <w:tcBorders>
              <w:top w:val="nil"/>
            </w:tcBorders>
          </w:tcPr>
          <w:p w14:paraId="574E9469" w14:textId="77777777" w:rsidR="006A16A6" w:rsidRPr="007A3524" w:rsidRDefault="006A16A6" w:rsidP="00241E86">
            <w:pPr>
              <w:ind w:firstLine="284"/>
              <w:rPr>
                <w:rFonts w:ascii="Times New Roman" w:eastAsia="Calibri" w:hAnsi="Times New Roman" w:cs="Times New Roman"/>
                <w:sz w:val="20"/>
                <w:szCs w:val="20"/>
                <w:u w:val="single"/>
                <w:lang w:val="en-GB"/>
              </w:rPr>
            </w:pPr>
            <w:r w:rsidRPr="007A3524">
              <w:rPr>
                <w:rFonts w:ascii="Times New Roman" w:eastAsia="Calibri" w:hAnsi="Times New Roman" w:cs="Times New Roman"/>
                <w:sz w:val="20"/>
                <w:szCs w:val="20"/>
                <w:u w:val="single"/>
                <w:lang w:val="en-GB"/>
              </w:rPr>
              <w:t>Status attainment</w:t>
            </w:r>
          </w:p>
        </w:tc>
        <w:tc>
          <w:tcPr>
            <w:tcW w:w="1530" w:type="dxa"/>
            <w:tcBorders>
              <w:top w:val="nil"/>
            </w:tcBorders>
          </w:tcPr>
          <w:p w14:paraId="7CA06F7C" w14:textId="77777777" w:rsidR="006A16A6" w:rsidRPr="007A3524" w:rsidRDefault="006A16A6" w:rsidP="00241E86">
            <w:pPr>
              <w:tabs>
                <w:tab w:val="decimal" w:pos="231"/>
              </w:tabs>
              <w:rPr>
                <w:rFonts w:ascii="Times New Roman" w:eastAsia="Calibri" w:hAnsi="Times New Roman" w:cs="Times New Roman"/>
                <w:sz w:val="20"/>
                <w:szCs w:val="20"/>
                <w:lang w:val="en-GB"/>
              </w:rPr>
            </w:pPr>
          </w:p>
        </w:tc>
        <w:tc>
          <w:tcPr>
            <w:tcW w:w="1350" w:type="dxa"/>
            <w:tcBorders>
              <w:top w:val="nil"/>
            </w:tcBorders>
          </w:tcPr>
          <w:p w14:paraId="31E1E51A" w14:textId="77777777" w:rsidR="006A16A6" w:rsidRPr="007A3524" w:rsidRDefault="006A16A6" w:rsidP="00241E86">
            <w:pPr>
              <w:rPr>
                <w:rFonts w:ascii="Times New Roman" w:eastAsia="Calibri" w:hAnsi="Times New Roman" w:cs="Times New Roman"/>
                <w:sz w:val="20"/>
                <w:szCs w:val="20"/>
                <w:lang w:val="en-GB"/>
              </w:rPr>
            </w:pPr>
          </w:p>
        </w:tc>
        <w:tc>
          <w:tcPr>
            <w:tcW w:w="1890" w:type="dxa"/>
            <w:tcBorders>
              <w:top w:val="nil"/>
            </w:tcBorders>
          </w:tcPr>
          <w:p w14:paraId="421EF66E" w14:textId="77777777" w:rsidR="006A16A6" w:rsidRPr="00946BE8" w:rsidRDefault="006A16A6" w:rsidP="00241E86">
            <w:pPr>
              <w:tabs>
                <w:tab w:val="decimal" w:pos="174"/>
              </w:tabs>
              <w:rPr>
                <w:rFonts w:ascii="Times New Roman" w:eastAsia="Calibri" w:hAnsi="Times New Roman" w:cs="Times New Roman"/>
                <w:sz w:val="20"/>
                <w:szCs w:val="20"/>
                <w:lang w:val="en-GB"/>
              </w:rPr>
            </w:pPr>
          </w:p>
        </w:tc>
      </w:tr>
      <w:tr w:rsidR="006A16A6" w:rsidRPr="007A3524" w14:paraId="32A65C0B" w14:textId="77777777" w:rsidTr="00241E86">
        <w:tc>
          <w:tcPr>
            <w:tcW w:w="4428" w:type="dxa"/>
            <w:tcBorders>
              <w:top w:val="nil"/>
            </w:tcBorders>
          </w:tcPr>
          <w:p w14:paraId="1D8A063A" w14:textId="77777777" w:rsidR="006A16A6" w:rsidRPr="007A3524" w:rsidRDefault="006A16A6" w:rsidP="00241E86">
            <w:pPr>
              <w:ind w:firstLine="540"/>
              <w:rPr>
                <w:rFonts w:ascii="Times New Roman" w:eastAsia="Calibri" w:hAnsi="Times New Roman" w:cs="Times New Roman"/>
                <w:sz w:val="20"/>
                <w:szCs w:val="20"/>
                <w:vertAlign w:val="superscript"/>
                <w:lang w:val="en-GB"/>
              </w:rPr>
            </w:pPr>
            <w:r w:rsidRPr="007A3524">
              <w:rPr>
                <w:rFonts w:ascii="Times New Roman" w:eastAsia="Calibri" w:hAnsi="Times New Roman" w:cs="Times New Roman"/>
                <w:sz w:val="20"/>
                <w:szCs w:val="20"/>
                <w:lang w:val="en-GB"/>
              </w:rPr>
              <w:t>Mother’s employment (%)</w:t>
            </w:r>
          </w:p>
        </w:tc>
        <w:tc>
          <w:tcPr>
            <w:tcW w:w="1530" w:type="dxa"/>
            <w:tcBorders>
              <w:top w:val="nil"/>
            </w:tcBorders>
          </w:tcPr>
          <w:p w14:paraId="531DA5A7" w14:textId="77777777" w:rsidR="006A16A6" w:rsidRPr="007A3524" w:rsidRDefault="006A16A6" w:rsidP="00241E86">
            <w:pPr>
              <w:tabs>
                <w:tab w:val="decimal" w:pos="231"/>
              </w:tabs>
              <w:rPr>
                <w:rFonts w:ascii="Times New Roman" w:eastAsia="Calibri" w:hAnsi="Times New Roman" w:cs="Times New Roman"/>
                <w:sz w:val="20"/>
                <w:szCs w:val="20"/>
                <w:lang w:val="en-GB"/>
              </w:rPr>
            </w:pPr>
          </w:p>
        </w:tc>
        <w:tc>
          <w:tcPr>
            <w:tcW w:w="1350" w:type="dxa"/>
            <w:tcBorders>
              <w:top w:val="nil"/>
            </w:tcBorders>
          </w:tcPr>
          <w:p w14:paraId="3368D58E" w14:textId="77777777" w:rsidR="006A16A6" w:rsidRPr="007A3524" w:rsidRDefault="006A16A6" w:rsidP="00241E86">
            <w:pPr>
              <w:rPr>
                <w:rFonts w:ascii="Times New Roman" w:eastAsia="Calibri" w:hAnsi="Times New Roman" w:cs="Times New Roman"/>
                <w:sz w:val="20"/>
                <w:szCs w:val="20"/>
                <w:lang w:val="en-GB"/>
              </w:rPr>
            </w:pPr>
          </w:p>
        </w:tc>
        <w:tc>
          <w:tcPr>
            <w:tcW w:w="1890" w:type="dxa"/>
            <w:tcBorders>
              <w:top w:val="nil"/>
            </w:tcBorders>
          </w:tcPr>
          <w:p w14:paraId="57D572EA" w14:textId="77777777" w:rsidR="006A16A6" w:rsidRPr="00946BE8" w:rsidRDefault="006A16A6" w:rsidP="00241E86">
            <w:pPr>
              <w:tabs>
                <w:tab w:val="decimal" w:pos="174"/>
              </w:tabs>
              <w:rPr>
                <w:rFonts w:ascii="Times New Roman" w:eastAsia="Calibri" w:hAnsi="Times New Roman" w:cs="Times New Roman"/>
                <w:sz w:val="20"/>
                <w:szCs w:val="20"/>
                <w:lang w:val="en-GB"/>
              </w:rPr>
            </w:pPr>
            <w:r w:rsidRPr="00946BE8">
              <w:rPr>
                <w:rFonts w:ascii="Times New Roman" w:eastAsia="Calibri" w:hAnsi="Times New Roman" w:cs="Times New Roman"/>
                <w:sz w:val="20"/>
                <w:szCs w:val="20"/>
                <w:lang w:val="en-GB"/>
              </w:rPr>
              <w:t>6.612</w:t>
            </w:r>
          </w:p>
        </w:tc>
      </w:tr>
      <w:tr w:rsidR="006A16A6" w:rsidRPr="007A3524" w14:paraId="527EF4EB" w14:textId="77777777" w:rsidTr="00241E86">
        <w:tc>
          <w:tcPr>
            <w:tcW w:w="4428" w:type="dxa"/>
          </w:tcPr>
          <w:p w14:paraId="3325CE17" w14:textId="77777777" w:rsidR="006A16A6" w:rsidRPr="007A3524" w:rsidRDefault="006A16A6" w:rsidP="00241E86">
            <w:pPr>
              <w:ind w:firstLine="90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Employed</w:t>
            </w:r>
          </w:p>
        </w:tc>
        <w:tc>
          <w:tcPr>
            <w:tcW w:w="1530" w:type="dxa"/>
          </w:tcPr>
          <w:p w14:paraId="4C6015C2"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84.9 %</w:t>
            </w:r>
          </w:p>
        </w:tc>
        <w:tc>
          <w:tcPr>
            <w:tcW w:w="1350" w:type="dxa"/>
          </w:tcPr>
          <w:p w14:paraId="1D2F7F4E"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4233A648" w14:textId="77777777" w:rsidR="006A16A6" w:rsidRPr="00D20D7C" w:rsidRDefault="006A16A6" w:rsidP="00241E86">
            <w:pPr>
              <w:rPr>
                <w:rFonts w:ascii="Times New Roman" w:hAnsi="Times New Roman"/>
                <w:sz w:val="20"/>
                <w:highlight w:val="yellow"/>
                <w:lang w:val="en-GB"/>
              </w:rPr>
            </w:pPr>
          </w:p>
        </w:tc>
      </w:tr>
      <w:tr w:rsidR="006A16A6" w:rsidRPr="007A3524" w14:paraId="387F736E" w14:textId="77777777" w:rsidTr="00241E86">
        <w:tc>
          <w:tcPr>
            <w:tcW w:w="4428" w:type="dxa"/>
          </w:tcPr>
          <w:p w14:paraId="6B86B043" w14:textId="77777777" w:rsidR="006A16A6" w:rsidRPr="007A3524" w:rsidRDefault="006A16A6" w:rsidP="00241E86">
            <w:pPr>
              <w:ind w:firstLine="90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Unemployed</w:t>
            </w:r>
          </w:p>
        </w:tc>
        <w:tc>
          <w:tcPr>
            <w:tcW w:w="1530" w:type="dxa"/>
          </w:tcPr>
          <w:p w14:paraId="2924F2D4"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11.4 %</w:t>
            </w:r>
          </w:p>
        </w:tc>
        <w:tc>
          <w:tcPr>
            <w:tcW w:w="1350" w:type="dxa"/>
          </w:tcPr>
          <w:p w14:paraId="0984657E"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37364846" w14:textId="77777777" w:rsidR="006A16A6" w:rsidRPr="00D20D7C" w:rsidRDefault="006A16A6" w:rsidP="00241E86">
            <w:pPr>
              <w:rPr>
                <w:rFonts w:ascii="Times New Roman" w:hAnsi="Times New Roman"/>
                <w:sz w:val="20"/>
                <w:highlight w:val="yellow"/>
                <w:lang w:val="en-GB"/>
              </w:rPr>
            </w:pPr>
          </w:p>
        </w:tc>
      </w:tr>
      <w:tr w:rsidR="006A16A6" w:rsidRPr="007A3524" w14:paraId="23A428AB" w14:textId="77777777" w:rsidTr="00241E86">
        <w:tc>
          <w:tcPr>
            <w:tcW w:w="4428" w:type="dxa"/>
          </w:tcPr>
          <w:p w14:paraId="0C7C202D" w14:textId="77777777" w:rsidR="006A16A6" w:rsidRPr="007A3524" w:rsidRDefault="006A16A6" w:rsidP="00241E86">
            <w:pPr>
              <w:ind w:firstLine="90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Retired</w:t>
            </w:r>
          </w:p>
        </w:tc>
        <w:tc>
          <w:tcPr>
            <w:tcW w:w="1530" w:type="dxa"/>
          </w:tcPr>
          <w:p w14:paraId="10EB1054"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1.1 %</w:t>
            </w:r>
          </w:p>
        </w:tc>
        <w:tc>
          <w:tcPr>
            <w:tcW w:w="1350" w:type="dxa"/>
          </w:tcPr>
          <w:p w14:paraId="24DE1FEA"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787B0CBA" w14:textId="77777777" w:rsidR="006A16A6" w:rsidRPr="00D20D7C" w:rsidRDefault="006A16A6" w:rsidP="00241E86">
            <w:pPr>
              <w:rPr>
                <w:rFonts w:ascii="Times New Roman" w:hAnsi="Times New Roman"/>
                <w:sz w:val="20"/>
                <w:highlight w:val="yellow"/>
                <w:lang w:val="en-GB"/>
              </w:rPr>
            </w:pPr>
          </w:p>
        </w:tc>
      </w:tr>
      <w:tr w:rsidR="006A16A6" w:rsidRPr="007A3524" w14:paraId="1D90E1F3" w14:textId="77777777" w:rsidTr="00241E86">
        <w:tc>
          <w:tcPr>
            <w:tcW w:w="4428" w:type="dxa"/>
          </w:tcPr>
          <w:p w14:paraId="6BB8ED94" w14:textId="77777777" w:rsidR="006A16A6" w:rsidRPr="007A3524" w:rsidRDefault="006A16A6" w:rsidP="00241E86">
            <w:pPr>
              <w:ind w:firstLine="90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Doesn’t know / Not applicable</w:t>
            </w:r>
          </w:p>
        </w:tc>
        <w:tc>
          <w:tcPr>
            <w:tcW w:w="1530" w:type="dxa"/>
          </w:tcPr>
          <w:p w14:paraId="307F2F38"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2.6 %</w:t>
            </w:r>
          </w:p>
        </w:tc>
        <w:tc>
          <w:tcPr>
            <w:tcW w:w="1350" w:type="dxa"/>
          </w:tcPr>
          <w:p w14:paraId="1A4332EA"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1F04FDFF" w14:textId="77777777" w:rsidR="006A16A6" w:rsidRPr="00D20D7C" w:rsidRDefault="006A16A6" w:rsidP="00241E86">
            <w:pPr>
              <w:rPr>
                <w:rFonts w:ascii="Times New Roman" w:hAnsi="Times New Roman"/>
                <w:sz w:val="20"/>
                <w:highlight w:val="yellow"/>
                <w:lang w:val="en-GB"/>
              </w:rPr>
            </w:pPr>
          </w:p>
        </w:tc>
      </w:tr>
      <w:tr w:rsidR="006A16A6" w:rsidRPr="007A3524" w14:paraId="71467266" w14:textId="77777777" w:rsidTr="00241E86">
        <w:tc>
          <w:tcPr>
            <w:tcW w:w="4428" w:type="dxa"/>
          </w:tcPr>
          <w:p w14:paraId="5A38F799" w14:textId="77777777" w:rsidR="006A16A6" w:rsidRPr="007A3524" w:rsidRDefault="006A16A6" w:rsidP="00241E86">
            <w:pPr>
              <w:ind w:firstLine="540"/>
              <w:rPr>
                <w:rFonts w:ascii="Times New Roman" w:eastAsia="Calibri" w:hAnsi="Times New Roman" w:cs="Times New Roman"/>
                <w:sz w:val="20"/>
                <w:szCs w:val="20"/>
                <w:vertAlign w:val="superscript"/>
                <w:lang w:val="en-GB"/>
              </w:rPr>
            </w:pPr>
            <w:r w:rsidRPr="007A3524">
              <w:rPr>
                <w:rFonts w:ascii="Times New Roman" w:eastAsia="Calibri" w:hAnsi="Times New Roman" w:cs="Times New Roman"/>
                <w:sz w:val="20"/>
                <w:szCs w:val="20"/>
                <w:lang w:val="en-GB"/>
              </w:rPr>
              <w:t>Father’s employment (%)</w:t>
            </w:r>
          </w:p>
        </w:tc>
        <w:tc>
          <w:tcPr>
            <w:tcW w:w="1530" w:type="dxa"/>
          </w:tcPr>
          <w:p w14:paraId="567F9DFE" w14:textId="77777777" w:rsidR="006A16A6" w:rsidRPr="007A3524" w:rsidRDefault="006A16A6" w:rsidP="00241E86">
            <w:pPr>
              <w:tabs>
                <w:tab w:val="decimal" w:pos="231"/>
              </w:tabs>
              <w:rPr>
                <w:rFonts w:ascii="Times New Roman" w:eastAsia="Calibri" w:hAnsi="Times New Roman" w:cs="Times New Roman"/>
                <w:sz w:val="20"/>
                <w:szCs w:val="20"/>
                <w:lang w:val="en-GB"/>
              </w:rPr>
            </w:pPr>
          </w:p>
        </w:tc>
        <w:tc>
          <w:tcPr>
            <w:tcW w:w="1350" w:type="dxa"/>
          </w:tcPr>
          <w:p w14:paraId="78DD0B50"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5307E76F" w14:textId="77777777" w:rsidR="006A16A6" w:rsidRPr="003B647A" w:rsidRDefault="006A16A6" w:rsidP="00241E86">
            <w:pPr>
              <w:rPr>
                <w:rFonts w:ascii="Times New Roman" w:eastAsia="Calibri" w:hAnsi="Times New Roman" w:cs="Times New Roman"/>
                <w:sz w:val="20"/>
                <w:szCs w:val="20"/>
                <w:lang w:val="en-GB"/>
              </w:rPr>
            </w:pPr>
            <w:r w:rsidRPr="003B647A">
              <w:rPr>
                <w:rFonts w:ascii="Times New Roman" w:eastAsia="Calibri" w:hAnsi="Times New Roman" w:cs="Times New Roman"/>
                <w:sz w:val="20"/>
                <w:szCs w:val="20"/>
                <w:lang w:val="en-GB"/>
              </w:rPr>
              <w:t>20.550</w:t>
            </w:r>
          </w:p>
        </w:tc>
      </w:tr>
      <w:tr w:rsidR="006A16A6" w:rsidRPr="007A3524" w14:paraId="23C382EE" w14:textId="77777777" w:rsidTr="00241E86">
        <w:tc>
          <w:tcPr>
            <w:tcW w:w="4428" w:type="dxa"/>
          </w:tcPr>
          <w:p w14:paraId="369FB488" w14:textId="77777777" w:rsidR="006A16A6" w:rsidRPr="007A3524" w:rsidRDefault="006A16A6" w:rsidP="00241E86">
            <w:pPr>
              <w:ind w:firstLine="90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Employed</w:t>
            </w:r>
          </w:p>
        </w:tc>
        <w:tc>
          <w:tcPr>
            <w:tcW w:w="1530" w:type="dxa"/>
          </w:tcPr>
          <w:p w14:paraId="27DD9A74"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88.1 %</w:t>
            </w:r>
          </w:p>
        </w:tc>
        <w:tc>
          <w:tcPr>
            <w:tcW w:w="1350" w:type="dxa"/>
          </w:tcPr>
          <w:p w14:paraId="7B7B0DD5"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3ACE9F56" w14:textId="77777777" w:rsidR="006A16A6" w:rsidRPr="003B647A" w:rsidRDefault="006A16A6" w:rsidP="00241E86">
            <w:pPr>
              <w:ind w:firstLine="119"/>
              <w:rPr>
                <w:rFonts w:ascii="Times New Roman" w:eastAsia="Calibri" w:hAnsi="Times New Roman" w:cs="Times New Roman"/>
                <w:sz w:val="20"/>
                <w:szCs w:val="20"/>
                <w:lang w:val="en-GB"/>
              </w:rPr>
            </w:pPr>
            <w:r w:rsidRPr="003B647A">
              <w:rPr>
                <w:rFonts w:ascii="Times New Roman" w:eastAsia="Calibri" w:hAnsi="Times New Roman" w:cs="Times New Roman"/>
                <w:sz w:val="20"/>
                <w:szCs w:val="20"/>
                <w:lang w:val="en-GB"/>
              </w:rPr>
              <w:t>1 &gt; 2</w:t>
            </w:r>
          </w:p>
        </w:tc>
      </w:tr>
      <w:tr w:rsidR="006A16A6" w:rsidRPr="007A3524" w14:paraId="2DDCE2E4" w14:textId="77777777" w:rsidTr="00241E86">
        <w:tc>
          <w:tcPr>
            <w:tcW w:w="4428" w:type="dxa"/>
          </w:tcPr>
          <w:p w14:paraId="1E82B264" w14:textId="77777777" w:rsidR="006A16A6" w:rsidRPr="007A3524" w:rsidRDefault="006A16A6" w:rsidP="00241E86">
            <w:pPr>
              <w:ind w:firstLine="90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Unemployed</w:t>
            </w:r>
          </w:p>
        </w:tc>
        <w:tc>
          <w:tcPr>
            <w:tcW w:w="1530" w:type="dxa"/>
          </w:tcPr>
          <w:p w14:paraId="17025636"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3.7 %</w:t>
            </w:r>
          </w:p>
        </w:tc>
        <w:tc>
          <w:tcPr>
            <w:tcW w:w="1350" w:type="dxa"/>
          </w:tcPr>
          <w:p w14:paraId="4FB20BB7"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7C784ADC" w14:textId="77777777" w:rsidR="006A16A6" w:rsidRPr="003B647A" w:rsidRDefault="006A16A6" w:rsidP="00241E86">
            <w:pPr>
              <w:ind w:firstLine="119"/>
              <w:rPr>
                <w:rFonts w:ascii="Times New Roman" w:eastAsia="Calibri" w:hAnsi="Times New Roman" w:cs="Times New Roman"/>
                <w:sz w:val="20"/>
                <w:szCs w:val="20"/>
                <w:lang w:val="en-GB"/>
              </w:rPr>
            </w:pPr>
            <w:r w:rsidRPr="003B647A">
              <w:rPr>
                <w:rFonts w:ascii="Times New Roman" w:eastAsia="Calibri" w:hAnsi="Times New Roman" w:cs="Times New Roman"/>
                <w:sz w:val="20"/>
                <w:szCs w:val="20"/>
                <w:lang w:val="en-GB"/>
              </w:rPr>
              <w:t>3 &gt; 2</w:t>
            </w:r>
          </w:p>
        </w:tc>
      </w:tr>
      <w:tr w:rsidR="006A16A6" w:rsidRPr="007A3524" w14:paraId="7B7DF8AE" w14:textId="77777777" w:rsidTr="00241E86">
        <w:tc>
          <w:tcPr>
            <w:tcW w:w="4428" w:type="dxa"/>
          </w:tcPr>
          <w:p w14:paraId="0DF9202B" w14:textId="77777777" w:rsidR="006A16A6" w:rsidRPr="007A3524" w:rsidRDefault="006A16A6" w:rsidP="00241E86">
            <w:pPr>
              <w:ind w:firstLine="90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Retired</w:t>
            </w:r>
          </w:p>
        </w:tc>
        <w:tc>
          <w:tcPr>
            <w:tcW w:w="1530" w:type="dxa"/>
          </w:tcPr>
          <w:p w14:paraId="2953D535"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4.9 %</w:t>
            </w:r>
          </w:p>
        </w:tc>
        <w:tc>
          <w:tcPr>
            <w:tcW w:w="1350" w:type="dxa"/>
          </w:tcPr>
          <w:p w14:paraId="102725F4"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48E7B0FF" w14:textId="77777777" w:rsidR="006A16A6" w:rsidRPr="003B647A" w:rsidRDefault="006A16A6" w:rsidP="00241E86">
            <w:pPr>
              <w:ind w:firstLine="119"/>
              <w:rPr>
                <w:rFonts w:ascii="Times New Roman" w:eastAsia="Calibri" w:hAnsi="Times New Roman" w:cs="Times New Roman"/>
                <w:sz w:val="20"/>
                <w:szCs w:val="20"/>
                <w:lang w:val="en-GB"/>
              </w:rPr>
            </w:pPr>
            <w:r w:rsidRPr="003B647A">
              <w:rPr>
                <w:rFonts w:ascii="Times New Roman" w:eastAsia="Calibri" w:hAnsi="Times New Roman" w:cs="Times New Roman"/>
                <w:sz w:val="20"/>
                <w:szCs w:val="20"/>
                <w:lang w:val="en-GB"/>
              </w:rPr>
              <w:t>3 &gt; 4</w:t>
            </w:r>
          </w:p>
        </w:tc>
      </w:tr>
      <w:tr w:rsidR="006A16A6" w:rsidRPr="007A3524" w14:paraId="2355702A" w14:textId="77777777" w:rsidTr="00241E86">
        <w:tc>
          <w:tcPr>
            <w:tcW w:w="4428" w:type="dxa"/>
          </w:tcPr>
          <w:p w14:paraId="2ABA2772" w14:textId="77777777" w:rsidR="006A16A6" w:rsidRPr="007A3524" w:rsidRDefault="006A16A6" w:rsidP="00241E86">
            <w:pPr>
              <w:ind w:firstLine="90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Doesn’t know / Not applicable</w:t>
            </w:r>
          </w:p>
        </w:tc>
        <w:tc>
          <w:tcPr>
            <w:tcW w:w="1530" w:type="dxa"/>
          </w:tcPr>
          <w:p w14:paraId="4287FA2F"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3.3 %</w:t>
            </w:r>
          </w:p>
        </w:tc>
        <w:tc>
          <w:tcPr>
            <w:tcW w:w="1350" w:type="dxa"/>
          </w:tcPr>
          <w:p w14:paraId="7595B8A2"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0BD91DB5" w14:textId="77777777" w:rsidR="006A16A6" w:rsidRPr="00D20D7C" w:rsidRDefault="006A16A6" w:rsidP="00241E86">
            <w:pPr>
              <w:rPr>
                <w:rFonts w:ascii="Times New Roman" w:hAnsi="Times New Roman"/>
                <w:sz w:val="20"/>
                <w:highlight w:val="yellow"/>
                <w:lang w:val="en-GB"/>
              </w:rPr>
            </w:pPr>
          </w:p>
        </w:tc>
      </w:tr>
      <w:tr w:rsidR="006A16A6" w:rsidRPr="007A3524" w14:paraId="287930D1" w14:textId="77777777" w:rsidTr="00241E86">
        <w:tc>
          <w:tcPr>
            <w:tcW w:w="4428" w:type="dxa"/>
          </w:tcPr>
          <w:p w14:paraId="1FBCB2B5" w14:textId="77777777" w:rsidR="006A16A6" w:rsidRPr="007A3524" w:rsidRDefault="006A16A6" w:rsidP="00241E86">
            <w:pPr>
              <w:ind w:firstLine="540"/>
              <w:rPr>
                <w:rFonts w:ascii="Times New Roman" w:eastAsia="Calibri" w:hAnsi="Times New Roman" w:cs="Times New Roman"/>
                <w:sz w:val="20"/>
                <w:szCs w:val="20"/>
                <w:vertAlign w:val="superscript"/>
                <w:lang w:val="en-GB"/>
              </w:rPr>
            </w:pPr>
            <w:r w:rsidRPr="007A3524">
              <w:rPr>
                <w:rFonts w:ascii="Times New Roman" w:eastAsia="Calibri" w:hAnsi="Times New Roman" w:cs="Times New Roman"/>
                <w:sz w:val="20"/>
                <w:szCs w:val="20"/>
                <w:lang w:val="en-GB"/>
              </w:rPr>
              <w:t>Mother’s education (%)</w:t>
            </w:r>
          </w:p>
        </w:tc>
        <w:tc>
          <w:tcPr>
            <w:tcW w:w="1530" w:type="dxa"/>
          </w:tcPr>
          <w:p w14:paraId="25208D1E" w14:textId="77777777" w:rsidR="006A16A6" w:rsidRPr="007A3524" w:rsidRDefault="006A16A6" w:rsidP="00241E86">
            <w:pPr>
              <w:tabs>
                <w:tab w:val="decimal" w:pos="231"/>
              </w:tabs>
              <w:rPr>
                <w:rFonts w:ascii="Times New Roman" w:eastAsia="Calibri" w:hAnsi="Times New Roman" w:cs="Times New Roman"/>
                <w:sz w:val="20"/>
                <w:szCs w:val="20"/>
                <w:lang w:val="en-GB"/>
              </w:rPr>
            </w:pPr>
          </w:p>
        </w:tc>
        <w:tc>
          <w:tcPr>
            <w:tcW w:w="1350" w:type="dxa"/>
          </w:tcPr>
          <w:p w14:paraId="6CD276B0"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61202004" w14:textId="77777777" w:rsidR="006A16A6" w:rsidRPr="009F0018" w:rsidRDefault="006A16A6" w:rsidP="00241E86">
            <w:pPr>
              <w:rPr>
                <w:rFonts w:ascii="Times New Roman" w:eastAsia="Calibri" w:hAnsi="Times New Roman" w:cs="Times New Roman"/>
                <w:sz w:val="20"/>
                <w:szCs w:val="20"/>
                <w:lang w:val="en-GB"/>
              </w:rPr>
            </w:pPr>
            <w:r w:rsidRPr="009F0018">
              <w:rPr>
                <w:rFonts w:ascii="Times New Roman" w:eastAsia="Calibri" w:hAnsi="Times New Roman" w:cs="Times New Roman"/>
                <w:sz w:val="20"/>
                <w:szCs w:val="20"/>
                <w:lang w:val="en-GB"/>
              </w:rPr>
              <w:t>63.703</w:t>
            </w:r>
          </w:p>
        </w:tc>
      </w:tr>
      <w:tr w:rsidR="006A16A6" w:rsidRPr="007A3524" w14:paraId="54FADE93" w14:textId="77777777" w:rsidTr="00241E86">
        <w:tc>
          <w:tcPr>
            <w:tcW w:w="4428" w:type="dxa"/>
          </w:tcPr>
          <w:p w14:paraId="4C5282F7" w14:textId="77777777" w:rsidR="006A16A6" w:rsidRPr="007A3524" w:rsidRDefault="006A16A6" w:rsidP="00241E86">
            <w:pPr>
              <w:ind w:firstLine="90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Elementary education</w:t>
            </w:r>
          </w:p>
        </w:tc>
        <w:tc>
          <w:tcPr>
            <w:tcW w:w="1530" w:type="dxa"/>
          </w:tcPr>
          <w:p w14:paraId="14770AAF"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2.6 %</w:t>
            </w:r>
          </w:p>
        </w:tc>
        <w:tc>
          <w:tcPr>
            <w:tcW w:w="1350" w:type="dxa"/>
          </w:tcPr>
          <w:p w14:paraId="35E1A3F5"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2C5BB350" w14:textId="77777777" w:rsidR="006A16A6" w:rsidRPr="009F0018" w:rsidRDefault="006A16A6" w:rsidP="00241E86">
            <w:pPr>
              <w:ind w:firstLine="119"/>
              <w:rPr>
                <w:rFonts w:ascii="Times New Roman" w:eastAsia="Calibri" w:hAnsi="Times New Roman" w:cs="Times New Roman"/>
                <w:sz w:val="20"/>
                <w:szCs w:val="20"/>
                <w:lang w:val="en-GB"/>
              </w:rPr>
            </w:pPr>
            <w:r w:rsidRPr="009F0018">
              <w:rPr>
                <w:rFonts w:ascii="Times New Roman" w:eastAsia="Calibri" w:hAnsi="Times New Roman" w:cs="Times New Roman"/>
                <w:sz w:val="20"/>
                <w:szCs w:val="20"/>
                <w:lang w:val="en-GB"/>
              </w:rPr>
              <w:t>1 &lt; 2 &lt; 3</w:t>
            </w:r>
          </w:p>
        </w:tc>
      </w:tr>
      <w:tr w:rsidR="006A16A6" w:rsidRPr="007A3524" w14:paraId="4A2B6205" w14:textId="77777777" w:rsidTr="00241E86">
        <w:tc>
          <w:tcPr>
            <w:tcW w:w="4428" w:type="dxa"/>
          </w:tcPr>
          <w:p w14:paraId="3739976D" w14:textId="77777777" w:rsidR="006A16A6" w:rsidRPr="007A3524" w:rsidRDefault="006A16A6" w:rsidP="00241E86">
            <w:pPr>
              <w:ind w:firstLine="90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Upper secondary education</w:t>
            </w:r>
          </w:p>
        </w:tc>
        <w:tc>
          <w:tcPr>
            <w:tcW w:w="1530" w:type="dxa"/>
          </w:tcPr>
          <w:p w14:paraId="37730B43"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39.6 %</w:t>
            </w:r>
          </w:p>
        </w:tc>
        <w:tc>
          <w:tcPr>
            <w:tcW w:w="1350" w:type="dxa"/>
          </w:tcPr>
          <w:p w14:paraId="5383DAF0"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0472FB9D" w14:textId="77777777" w:rsidR="006A16A6" w:rsidRPr="00D20D7C" w:rsidRDefault="006A16A6" w:rsidP="00241E86">
            <w:pPr>
              <w:rPr>
                <w:rFonts w:ascii="Times New Roman" w:hAnsi="Times New Roman"/>
                <w:sz w:val="20"/>
                <w:highlight w:val="yellow"/>
                <w:lang w:val="en-GB"/>
              </w:rPr>
            </w:pPr>
          </w:p>
        </w:tc>
      </w:tr>
      <w:tr w:rsidR="006A16A6" w:rsidRPr="007A3524" w14:paraId="09671E88" w14:textId="77777777" w:rsidTr="00241E86">
        <w:tc>
          <w:tcPr>
            <w:tcW w:w="4428" w:type="dxa"/>
          </w:tcPr>
          <w:p w14:paraId="7D5C2531" w14:textId="77777777" w:rsidR="006A16A6" w:rsidRPr="007A3524" w:rsidRDefault="006A16A6" w:rsidP="00241E86">
            <w:pPr>
              <w:ind w:firstLine="90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Higher education</w:t>
            </w:r>
          </w:p>
        </w:tc>
        <w:tc>
          <w:tcPr>
            <w:tcW w:w="1530" w:type="dxa"/>
          </w:tcPr>
          <w:p w14:paraId="530BBEAA"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57.8 %</w:t>
            </w:r>
          </w:p>
        </w:tc>
        <w:tc>
          <w:tcPr>
            <w:tcW w:w="1350" w:type="dxa"/>
          </w:tcPr>
          <w:p w14:paraId="049E4EF6"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4847E69E" w14:textId="77777777" w:rsidR="006A16A6" w:rsidRPr="00D20D7C" w:rsidRDefault="006A16A6" w:rsidP="00241E86">
            <w:pPr>
              <w:rPr>
                <w:rFonts w:ascii="Times New Roman" w:hAnsi="Times New Roman"/>
                <w:sz w:val="20"/>
                <w:highlight w:val="yellow"/>
                <w:lang w:val="en-GB"/>
              </w:rPr>
            </w:pPr>
          </w:p>
        </w:tc>
      </w:tr>
      <w:tr w:rsidR="006A16A6" w:rsidRPr="007A3524" w14:paraId="4361D2E0" w14:textId="77777777" w:rsidTr="00241E86">
        <w:tc>
          <w:tcPr>
            <w:tcW w:w="4428" w:type="dxa"/>
          </w:tcPr>
          <w:p w14:paraId="540B06CB" w14:textId="77777777" w:rsidR="006A16A6" w:rsidRPr="007A3524" w:rsidRDefault="006A16A6" w:rsidP="00241E86">
            <w:pPr>
              <w:ind w:firstLine="54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Father’s education (%)</w:t>
            </w:r>
          </w:p>
        </w:tc>
        <w:tc>
          <w:tcPr>
            <w:tcW w:w="1530" w:type="dxa"/>
          </w:tcPr>
          <w:p w14:paraId="46108D36" w14:textId="77777777" w:rsidR="006A16A6" w:rsidRPr="007A3524" w:rsidRDefault="006A16A6" w:rsidP="00241E86">
            <w:pPr>
              <w:tabs>
                <w:tab w:val="decimal" w:pos="231"/>
              </w:tabs>
              <w:rPr>
                <w:rFonts w:ascii="Times New Roman" w:eastAsia="Calibri" w:hAnsi="Times New Roman" w:cs="Times New Roman"/>
                <w:sz w:val="20"/>
                <w:szCs w:val="20"/>
                <w:lang w:val="en-GB"/>
              </w:rPr>
            </w:pPr>
          </w:p>
        </w:tc>
        <w:tc>
          <w:tcPr>
            <w:tcW w:w="1350" w:type="dxa"/>
          </w:tcPr>
          <w:p w14:paraId="040626F0"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7B108240" w14:textId="77777777" w:rsidR="006A16A6" w:rsidRPr="00E616B6" w:rsidRDefault="006A16A6" w:rsidP="00241E86">
            <w:pPr>
              <w:rPr>
                <w:rFonts w:ascii="Times New Roman" w:eastAsia="Calibri" w:hAnsi="Times New Roman" w:cs="Times New Roman"/>
                <w:sz w:val="20"/>
                <w:szCs w:val="20"/>
                <w:lang w:val="en-GB"/>
              </w:rPr>
            </w:pPr>
            <w:r w:rsidRPr="00E616B6">
              <w:rPr>
                <w:rFonts w:ascii="Times New Roman" w:eastAsia="Calibri" w:hAnsi="Times New Roman" w:cs="Times New Roman"/>
                <w:sz w:val="20"/>
                <w:szCs w:val="20"/>
                <w:lang w:val="en-GB"/>
              </w:rPr>
              <w:t>65.916</w:t>
            </w:r>
          </w:p>
        </w:tc>
      </w:tr>
      <w:tr w:rsidR="006A16A6" w:rsidRPr="007A3524" w14:paraId="526CB35B" w14:textId="77777777" w:rsidTr="00241E86">
        <w:tc>
          <w:tcPr>
            <w:tcW w:w="4428" w:type="dxa"/>
          </w:tcPr>
          <w:p w14:paraId="1AE3BE82" w14:textId="77777777" w:rsidR="006A16A6" w:rsidRPr="007A3524" w:rsidRDefault="006A16A6" w:rsidP="00241E86">
            <w:pPr>
              <w:ind w:firstLine="90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Elementary education</w:t>
            </w:r>
          </w:p>
        </w:tc>
        <w:tc>
          <w:tcPr>
            <w:tcW w:w="1530" w:type="dxa"/>
          </w:tcPr>
          <w:p w14:paraId="2E10409E"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4.0 %</w:t>
            </w:r>
          </w:p>
        </w:tc>
        <w:tc>
          <w:tcPr>
            <w:tcW w:w="1350" w:type="dxa"/>
          </w:tcPr>
          <w:p w14:paraId="408BBA80"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4B7E96D1" w14:textId="77777777" w:rsidR="006A16A6" w:rsidRPr="00E616B6" w:rsidRDefault="006A16A6" w:rsidP="00241E86">
            <w:pPr>
              <w:ind w:firstLine="119"/>
              <w:rPr>
                <w:rFonts w:ascii="Times New Roman" w:eastAsia="Calibri" w:hAnsi="Times New Roman" w:cs="Times New Roman"/>
                <w:sz w:val="20"/>
                <w:szCs w:val="20"/>
                <w:lang w:val="en-GB"/>
              </w:rPr>
            </w:pPr>
            <w:r w:rsidRPr="00E616B6">
              <w:rPr>
                <w:rFonts w:ascii="Times New Roman" w:eastAsia="Calibri" w:hAnsi="Times New Roman" w:cs="Times New Roman"/>
                <w:sz w:val="20"/>
                <w:szCs w:val="20"/>
                <w:lang w:val="en-GB"/>
              </w:rPr>
              <w:t>1 &lt; 2 &lt; 3</w:t>
            </w:r>
          </w:p>
        </w:tc>
      </w:tr>
      <w:tr w:rsidR="006A16A6" w:rsidRPr="007A3524" w14:paraId="52FA837B" w14:textId="77777777" w:rsidTr="00241E86">
        <w:tc>
          <w:tcPr>
            <w:tcW w:w="4428" w:type="dxa"/>
          </w:tcPr>
          <w:p w14:paraId="2F298553" w14:textId="77777777" w:rsidR="006A16A6" w:rsidRPr="007A3524" w:rsidRDefault="006A16A6" w:rsidP="00241E86">
            <w:pPr>
              <w:ind w:firstLine="90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Upper secondary education</w:t>
            </w:r>
          </w:p>
        </w:tc>
        <w:tc>
          <w:tcPr>
            <w:tcW w:w="1530" w:type="dxa"/>
          </w:tcPr>
          <w:p w14:paraId="66EC7DC4"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45.7 %</w:t>
            </w:r>
          </w:p>
        </w:tc>
        <w:tc>
          <w:tcPr>
            <w:tcW w:w="1350" w:type="dxa"/>
          </w:tcPr>
          <w:p w14:paraId="19A1C663"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6E4472F1" w14:textId="77777777" w:rsidR="006A16A6" w:rsidRPr="00D20D7C" w:rsidRDefault="006A16A6" w:rsidP="00241E86">
            <w:pPr>
              <w:rPr>
                <w:rFonts w:ascii="Times New Roman" w:hAnsi="Times New Roman"/>
                <w:sz w:val="20"/>
                <w:highlight w:val="yellow"/>
                <w:lang w:val="en-GB"/>
              </w:rPr>
            </w:pPr>
          </w:p>
        </w:tc>
      </w:tr>
      <w:tr w:rsidR="006A16A6" w:rsidRPr="007A3524" w14:paraId="3C37DB67" w14:textId="77777777" w:rsidTr="00241E86">
        <w:tc>
          <w:tcPr>
            <w:tcW w:w="4428" w:type="dxa"/>
          </w:tcPr>
          <w:p w14:paraId="6F92F04E" w14:textId="77777777" w:rsidR="006A16A6" w:rsidRPr="007A3524" w:rsidRDefault="006A16A6" w:rsidP="00241E86">
            <w:pPr>
              <w:ind w:firstLine="90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Higher education</w:t>
            </w:r>
          </w:p>
        </w:tc>
        <w:tc>
          <w:tcPr>
            <w:tcW w:w="1530" w:type="dxa"/>
          </w:tcPr>
          <w:p w14:paraId="7319CC61"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50.3 %</w:t>
            </w:r>
          </w:p>
        </w:tc>
        <w:tc>
          <w:tcPr>
            <w:tcW w:w="1350" w:type="dxa"/>
          </w:tcPr>
          <w:p w14:paraId="3FC2A2BE"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28EA3674" w14:textId="77777777" w:rsidR="006A16A6" w:rsidRPr="00D20D7C" w:rsidRDefault="006A16A6" w:rsidP="00241E86">
            <w:pPr>
              <w:rPr>
                <w:rFonts w:ascii="Times New Roman" w:hAnsi="Times New Roman"/>
                <w:sz w:val="20"/>
                <w:highlight w:val="yellow"/>
                <w:lang w:val="en-GB"/>
              </w:rPr>
            </w:pPr>
          </w:p>
        </w:tc>
      </w:tr>
      <w:tr w:rsidR="006A16A6" w:rsidRPr="007A3524" w14:paraId="64560D99" w14:textId="77777777" w:rsidTr="00241E86">
        <w:tc>
          <w:tcPr>
            <w:tcW w:w="4428" w:type="dxa"/>
          </w:tcPr>
          <w:p w14:paraId="45E8E166" w14:textId="77777777" w:rsidR="006A16A6" w:rsidRPr="007A3524" w:rsidRDefault="006A16A6" w:rsidP="00241E86">
            <w:pPr>
              <w:ind w:firstLine="54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Own room (%)</w:t>
            </w:r>
          </w:p>
        </w:tc>
        <w:tc>
          <w:tcPr>
            <w:tcW w:w="1530" w:type="dxa"/>
          </w:tcPr>
          <w:p w14:paraId="121BDDE0"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63.9 %</w:t>
            </w:r>
          </w:p>
        </w:tc>
        <w:tc>
          <w:tcPr>
            <w:tcW w:w="1350" w:type="dxa"/>
          </w:tcPr>
          <w:p w14:paraId="521B895B"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05713DA1" w14:textId="77777777" w:rsidR="006A16A6" w:rsidRPr="00202496" w:rsidRDefault="006A16A6" w:rsidP="00241E86">
            <w:pPr>
              <w:tabs>
                <w:tab w:val="decimal" w:pos="158"/>
              </w:tabs>
              <w:rPr>
                <w:rFonts w:ascii="Times New Roman" w:eastAsia="Calibri" w:hAnsi="Times New Roman" w:cs="Times New Roman"/>
                <w:sz w:val="20"/>
                <w:szCs w:val="20"/>
                <w:lang w:val="en-GB"/>
              </w:rPr>
            </w:pPr>
            <w:r w:rsidRPr="00202496">
              <w:rPr>
                <w:rFonts w:ascii="Times New Roman" w:eastAsia="Calibri" w:hAnsi="Times New Roman" w:cs="Times New Roman"/>
                <w:sz w:val="20"/>
                <w:szCs w:val="20"/>
                <w:lang w:val="en-GB"/>
              </w:rPr>
              <w:t>.078</w:t>
            </w:r>
          </w:p>
        </w:tc>
      </w:tr>
      <w:tr w:rsidR="006A16A6" w:rsidRPr="007A3524" w14:paraId="564C8EE7" w14:textId="77777777" w:rsidTr="00241E86">
        <w:tc>
          <w:tcPr>
            <w:tcW w:w="4428" w:type="dxa"/>
          </w:tcPr>
          <w:p w14:paraId="545484B1" w14:textId="77777777" w:rsidR="006A16A6" w:rsidRPr="007A3524" w:rsidRDefault="006A16A6" w:rsidP="00241E86">
            <w:pPr>
              <w:ind w:firstLine="54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Work desk (%)</w:t>
            </w:r>
          </w:p>
        </w:tc>
        <w:tc>
          <w:tcPr>
            <w:tcW w:w="1530" w:type="dxa"/>
          </w:tcPr>
          <w:p w14:paraId="49735989"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87.2 %</w:t>
            </w:r>
          </w:p>
        </w:tc>
        <w:tc>
          <w:tcPr>
            <w:tcW w:w="1350" w:type="dxa"/>
          </w:tcPr>
          <w:p w14:paraId="693EB170"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2529F945" w14:textId="77777777" w:rsidR="006A16A6" w:rsidRPr="00202496" w:rsidRDefault="006A16A6" w:rsidP="00241E86">
            <w:pPr>
              <w:tabs>
                <w:tab w:val="decimal" w:pos="158"/>
              </w:tabs>
              <w:rPr>
                <w:rFonts w:ascii="Times New Roman" w:eastAsia="Calibri" w:hAnsi="Times New Roman" w:cs="Times New Roman"/>
                <w:sz w:val="20"/>
                <w:szCs w:val="20"/>
                <w:lang w:val="en-GB"/>
              </w:rPr>
            </w:pPr>
            <w:r w:rsidRPr="00202496">
              <w:rPr>
                <w:rFonts w:ascii="Times New Roman" w:eastAsia="Calibri" w:hAnsi="Times New Roman" w:cs="Times New Roman"/>
                <w:sz w:val="20"/>
                <w:szCs w:val="20"/>
                <w:lang w:val="en-GB"/>
              </w:rPr>
              <w:t>.171</w:t>
            </w:r>
          </w:p>
        </w:tc>
      </w:tr>
      <w:tr w:rsidR="006A16A6" w:rsidRPr="007A3524" w14:paraId="6535B082" w14:textId="77777777" w:rsidTr="00241E86">
        <w:tc>
          <w:tcPr>
            <w:tcW w:w="4428" w:type="dxa"/>
          </w:tcPr>
          <w:p w14:paraId="52130EA8" w14:textId="77777777" w:rsidR="006A16A6" w:rsidRPr="007A3524" w:rsidRDefault="006A16A6" w:rsidP="00241E86">
            <w:pPr>
              <w:ind w:firstLine="54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Computer (%)</w:t>
            </w:r>
          </w:p>
        </w:tc>
        <w:tc>
          <w:tcPr>
            <w:tcW w:w="1530" w:type="dxa"/>
          </w:tcPr>
          <w:p w14:paraId="40261B99"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91.5 %</w:t>
            </w:r>
          </w:p>
        </w:tc>
        <w:tc>
          <w:tcPr>
            <w:tcW w:w="1350" w:type="dxa"/>
          </w:tcPr>
          <w:p w14:paraId="10FD8AE3"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69C5D2D2" w14:textId="77777777" w:rsidR="006A16A6" w:rsidRPr="00202496" w:rsidRDefault="006A16A6" w:rsidP="00241E86">
            <w:pPr>
              <w:tabs>
                <w:tab w:val="decimal" w:pos="158"/>
              </w:tabs>
              <w:rPr>
                <w:rFonts w:ascii="Times New Roman" w:eastAsia="Calibri" w:hAnsi="Times New Roman" w:cs="Times New Roman"/>
                <w:sz w:val="20"/>
                <w:szCs w:val="20"/>
                <w:lang w:val="en-GB"/>
              </w:rPr>
            </w:pPr>
            <w:r w:rsidRPr="00202496">
              <w:rPr>
                <w:rFonts w:ascii="Times New Roman" w:eastAsia="Calibri" w:hAnsi="Times New Roman" w:cs="Times New Roman"/>
                <w:sz w:val="20"/>
                <w:szCs w:val="20"/>
                <w:lang w:val="en-GB"/>
              </w:rPr>
              <w:t>.154</w:t>
            </w:r>
          </w:p>
        </w:tc>
      </w:tr>
      <w:tr w:rsidR="006A16A6" w:rsidRPr="007A3524" w14:paraId="5ABAD22E" w14:textId="77777777" w:rsidTr="00241E86">
        <w:tc>
          <w:tcPr>
            <w:tcW w:w="4428" w:type="dxa"/>
          </w:tcPr>
          <w:p w14:paraId="57C14C7B" w14:textId="77777777" w:rsidR="006A16A6" w:rsidRPr="007A3524" w:rsidRDefault="006A16A6" w:rsidP="00241E86">
            <w:pPr>
              <w:ind w:left="54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Parents expect higher education enrolment</w:t>
            </w:r>
          </w:p>
        </w:tc>
        <w:tc>
          <w:tcPr>
            <w:tcW w:w="1530" w:type="dxa"/>
            <w:vAlign w:val="center"/>
          </w:tcPr>
          <w:p w14:paraId="2DA0020C"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4.10 (1.21)</w:t>
            </w:r>
          </w:p>
        </w:tc>
        <w:tc>
          <w:tcPr>
            <w:tcW w:w="1350" w:type="dxa"/>
          </w:tcPr>
          <w:p w14:paraId="6E7B4765"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1-5</w:t>
            </w:r>
          </w:p>
        </w:tc>
        <w:tc>
          <w:tcPr>
            <w:tcW w:w="1890" w:type="dxa"/>
          </w:tcPr>
          <w:p w14:paraId="0A6EE102" w14:textId="77777777" w:rsidR="006A16A6" w:rsidRPr="00202496" w:rsidRDefault="006A16A6" w:rsidP="00241E86">
            <w:pPr>
              <w:tabs>
                <w:tab w:val="decimal" w:pos="158"/>
              </w:tabs>
              <w:rPr>
                <w:rFonts w:ascii="Times New Roman" w:eastAsia="Calibri" w:hAnsi="Times New Roman" w:cs="Times New Roman"/>
                <w:sz w:val="20"/>
                <w:szCs w:val="20"/>
                <w:lang w:val="en-GB"/>
              </w:rPr>
            </w:pPr>
            <w:r w:rsidRPr="00202496">
              <w:rPr>
                <w:rFonts w:ascii="Times New Roman" w:eastAsia="Calibri" w:hAnsi="Times New Roman" w:cs="Times New Roman"/>
                <w:sz w:val="20"/>
                <w:szCs w:val="20"/>
                <w:lang w:val="en-GB"/>
              </w:rPr>
              <w:t>.530</w:t>
            </w:r>
          </w:p>
        </w:tc>
      </w:tr>
      <w:tr w:rsidR="006A16A6" w:rsidRPr="007A3524" w14:paraId="7C607C05" w14:textId="77777777" w:rsidTr="00241E86">
        <w:tc>
          <w:tcPr>
            <w:tcW w:w="4428" w:type="dxa"/>
          </w:tcPr>
          <w:p w14:paraId="4C1E215A" w14:textId="77777777" w:rsidR="006A16A6" w:rsidRPr="007A3524" w:rsidRDefault="006A16A6" w:rsidP="00241E86">
            <w:pPr>
              <w:ind w:left="54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Parents satisfied with VET education</w:t>
            </w:r>
          </w:p>
        </w:tc>
        <w:tc>
          <w:tcPr>
            <w:tcW w:w="1530" w:type="dxa"/>
            <w:vAlign w:val="center"/>
          </w:tcPr>
          <w:p w14:paraId="3AF25017"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3.53 (1.31)</w:t>
            </w:r>
          </w:p>
        </w:tc>
        <w:tc>
          <w:tcPr>
            <w:tcW w:w="1350" w:type="dxa"/>
          </w:tcPr>
          <w:p w14:paraId="7CF74663"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1-5</w:t>
            </w:r>
          </w:p>
        </w:tc>
        <w:tc>
          <w:tcPr>
            <w:tcW w:w="1890" w:type="dxa"/>
          </w:tcPr>
          <w:p w14:paraId="35544179" w14:textId="77777777" w:rsidR="006A16A6" w:rsidRPr="00202496" w:rsidRDefault="006A16A6" w:rsidP="00241E86">
            <w:pPr>
              <w:tabs>
                <w:tab w:val="decimal" w:pos="158"/>
              </w:tabs>
              <w:rPr>
                <w:rFonts w:ascii="Times New Roman" w:eastAsia="Calibri" w:hAnsi="Times New Roman" w:cs="Times New Roman"/>
                <w:sz w:val="20"/>
                <w:szCs w:val="20"/>
                <w:lang w:val="en-GB"/>
              </w:rPr>
            </w:pPr>
            <w:r w:rsidRPr="00202496">
              <w:rPr>
                <w:rFonts w:ascii="Times New Roman" w:eastAsia="Calibri" w:hAnsi="Times New Roman" w:cs="Times New Roman"/>
                <w:sz w:val="20"/>
                <w:szCs w:val="20"/>
                <w:lang w:val="en-GB"/>
              </w:rPr>
              <w:t>-.261</w:t>
            </w:r>
          </w:p>
        </w:tc>
      </w:tr>
      <w:tr w:rsidR="006A16A6" w:rsidRPr="007A3524" w14:paraId="06DB7E33" w14:textId="77777777" w:rsidTr="00241E86">
        <w:tc>
          <w:tcPr>
            <w:tcW w:w="4428" w:type="dxa"/>
          </w:tcPr>
          <w:p w14:paraId="1C82CD72" w14:textId="77777777" w:rsidR="006A16A6" w:rsidRPr="007A3524" w:rsidRDefault="006A16A6" w:rsidP="00241E86">
            <w:pPr>
              <w:ind w:firstLine="54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Maternal academic support</w:t>
            </w:r>
          </w:p>
        </w:tc>
        <w:tc>
          <w:tcPr>
            <w:tcW w:w="1530" w:type="dxa"/>
            <w:vAlign w:val="center"/>
          </w:tcPr>
          <w:p w14:paraId="61104B2E"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3.97 (0.63)</w:t>
            </w:r>
          </w:p>
        </w:tc>
        <w:tc>
          <w:tcPr>
            <w:tcW w:w="1350" w:type="dxa"/>
          </w:tcPr>
          <w:p w14:paraId="49210977"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1-5</w:t>
            </w:r>
          </w:p>
        </w:tc>
        <w:tc>
          <w:tcPr>
            <w:tcW w:w="1890" w:type="dxa"/>
          </w:tcPr>
          <w:p w14:paraId="1374E756" w14:textId="77777777" w:rsidR="006A16A6" w:rsidRPr="00202496" w:rsidRDefault="006A16A6" w:rsidP="00241E86">
            <w:pPr>
              <w:tabs>
                <w:tab w:val="decimal" w:pos="158"/>
              </w:tabs>
              <w:rPr>
                <w:rFonts w:ascii="Times New Roman" w:eastAsia="Calibri" w:hAnsi="Times New Roman" w:cs="Times New Roman"/>
                <w:sz w:val="20"/>
                <w:szCs w:val="20"/>
                <w:lang w:val="en-GB"/>
              </w:rPr>
            </w:pPr>
            <w:r w:rsidRPr="00202496">
              <w:rPr>
                <w:rFonts w:ascii="Times New Roman" w:eastAsia="Calibri" w:hAnsi="Times New Roman" w:cs="Times New Roman"/>
                <w:sz w:val="20"/>
                <w:szCs w:val="20"/>
                <w:lang w:val="en-GB"/>
              </w:rPr>
              <w:t>.147</w:t>
            </w:r>
          </w:p>
        </w:tc>
      </w:tr>
      <w:tr w:rsidR="006A16A6" w:rsidRPr="007A3524" w14:paraId="021FE3C0" w14:textId="77777777" w:rsidTr="00241E86">
        <w:tc>
          <w:tcPr>
            <w:tcW w:w="4428" w:type="dxa"/>
          </w:tcPr>
          <w:p w14:paraId="2D852798" w14:textId="77777777" w:rsidR="006A16A6" w:rsidRPr="007A3524" w:rsidRDefault="006A16A6" w:rsidP="00241E86">
            <w:pPr>
              <w:ind w:firstLine="54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Paternal academic support</w:t>
            </w:r>
          </w:p>
        </w:tc>
        <w:tc>
          <w:tcPr>
            <w:tcW w:w="1530" w:type="dxa"/>
            <w:vAlign w:val="center"/>
          </w:tcPr>
          <w:p w14:paraId="684CCD7B"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3.74 (0.76)</w:t>
            </w:r>
          </w:p>
        </w:tc>
        <w:tc>
          <w:tcPr>
            <w:tcW w:w="1350" w:type="dxa"/>
          </w:tcPr>
          <w:p w14:paraId="6573CAA9"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1-5</w:t>
            </w:r>
          </w:p>
        </w:tc>
        <w:tc>
          <w:tcPr>
            <w:tcW w:w="1890" w:type="dxa"/>
          </w:tcPr>
          <w:p w14:paraId="2632B393" w14:textId="77777777" w:rsidR="006A16A6" w:rsidRPr="00202496" w:rsidRDefault="006A16A6" w:rsidP="00241E86">
            <w:pPr>
              <w:tabs>
                <w:tab w:val="decimal" w:pos="158"/>
              </w:tabs>
              <w:rPr>
                <w:rFonts w:ascii="Times New Roman" w:eastAsia="Calibri" w:hAnsi="Times New Roman" w:cs="Times New Roman"/>
                <w:sz w:val="20"/>
                <w:szCs w:val="20"/>
                <w:lang w:val="en-GB"/>
              </w:rPr>
            </w:pPr>
            <w:r w:rsidRPr="00202496">
              <w:rPr>
                <w:rFonts w:ascii="Times New Roman" w:eastAsia="Calibri" w:hAnsi="Times New Roman" w:cs="Times New Roman"/>
                <w:sz w:val="20"/>
                <w:szCs w:val="20"/>
                <w:lang w:val="en-GB"/>
              </w:rPr>
              <w:t>.182</w:t>
            </w:r>
          </w:p>
        </w:tc>
      </w:tr>
      <w:tr w:rsidR="006A16A6" w:rsidRPr="007A3524" w14:paraId="2210CC74" w14:textId="77777777" w:rsidTr="00241E86">
        <w:tc>
          <w:tcPr>
            <w:tcW w:w="4428" w:type="dxa"/>
          </w:tcPr>
          <w:p w14:paraId="1C70EBF5" w14:textId="77777777" w:rsidR="006A16A6" w:rsidRPr="007A3524" w:rsidRDefault="006A16A6" w:rsidP="00241E86">
            <w:pPr>
              <w:ind w:firstLine="284"/>
              <w:rPr>
                <w:rFonts w:ascii="Times New Roman" w:eastAsia="Calibri" w:hAnsi="Times New Roman" w:cs="Times New Roman"/>
                <w:sz w:val="20"/>
                <w:szCs w:val="20"/>
                <w:u w:val="single"/>
                <w:lang w:val="en-GB"/>
              </w:rPr>
            </w:pPr>
            <w:r w:rsidRPr="007A3524">
              <w:rPr>
                <w:rFonts w:ascii="Times New Roman" w:eastAsia="Calibri" w:hAnsi="Times New Roman" w:cs="Times New Roman"/>
                <w:sz w:val="20"/>
                <w:szCs w:val="20"/>
                <w:u w:val="single"/>
                <w:lang w:val="en-GB"/>
              </w:rPr>
              <w:t>Blocked opportunities</w:t>
            </w:r>
          </w:p>
        </w:tc>
        <w:tc>
          <w:tcPr>
            <w:tcW w:w="1530" w:type="dxa"/>
            <w:vAlign w:val="center"/>
          </w:tcPr>
          <w:p w14:paraId="3318DA1E" w14:textId="77777777" w:rsidR="006A16A6" w:rsidRPr="007A3524" w:rsidRDefault="006A16A6" w:rsidP="00241E86">
            <w:pPr>
              <w:tabs>
                <w:tab w:val="decimal" w:pos="231"/>
              </w:tabs>
              <w:rPr>
                <w:rFonts w:ascii="Times New Roman" w:eastAsia="Calibri" w:hAnsi="Times New Roman" w:cs="Times New Roman"/>
                <w:sz w:val="20"/>
                <w:szCs w:val="20"/>
                <w:lang w:val="en-GB"/>
              </w:rPr>
            </w:pPr>
          </w:p>
        </w:tc>
        <w:tc>
          <w:tcPr>
            <w:tcW w:w="1350" w:type="dxa"/>
          </w:tcPr>
          <w:p w14:paraId="5B747FA6"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1F51D979" w14:textId="77777777" w:rsidR="006A16A6" w:rsidRPr="00202496" w:rsidRDefault="006A16A6" w:rsidP="00241E86">
            <w:pPr>
              <w:tabs>
                <w:tab w:val="decimal" w:pos="158"/>
              </w:tabs>
              <w:rPr>
                <w:rFonts w:ascii="Times New Roman" w:eastAsia="Calibri" w:hAnsi="Times New Roman" w:cs="Times New Roman"/>
                <w:sz w:val="20"/>
                <w:szCs w:val="20"/>
                <w:lang w:val="en-GB"/>
              </w:rPr>
            </w:pPr>
          </w:p>
        </w:tc>
      </w:tr>
      <w:tr w:rsidR="006A16A6" w:rsidRPr="007A3524" w14:paraId="7E06532D" w14:textId="77777777" w:rsidTr="00241E86">
        <w:tc>
          <w:tcPr>
            <w:tcW w:w="4428" w:type="dxa"/>
          </w:tcPr>
          <w:p w14:paraId="79803B47" w14:textId="77777777" w:rsidR="006A16A6" w:rsidRPr="007A3524" w:rsidRDefault="006A16A6" w:rsidP="00241E86">
            <w:pPr>
              <w:ind w:firstLine="54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Grade point average (7th grade)</w:t>
            </w:r>
          </w:p>
        </w:tc>
        <w:tc>
          <w:tcPr>
            <w:tcW w:w="1530" w:type="dxa"/>
            <w:vAlign w:val="center"/>
          </w:tcPr>
          <w:p w14:paraId="476F1B63"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4.35 (0.57)</w:t>
            </w:r>
          </w:p>
        </w:tc>
        <w:tc>
          <w:tcPr>
            <w:tcW w:w="1350" w:type="dxa"/>
          </w:tcPr>
          <w:p w14:paraId="0C7A83E7"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2.5-5.0</w:t>
            </w:r>
          </w:p>
        </w:tc>
        <w:tc>
          <w:tcPr>
            <w:tcW w:w="1890" w:type="dxa"/>
          </w:tcPr>
          <w:p w14:paraId="5322EDB6" w14:textId="77777777" w:rsidR="006A16A6" w:rsidRPr="00202496" w:rsidRDefault="006A16A6" w:rsidP="00241E86">
            <w:pPr>
              <w:tabs>
                <w:tab w:val="decimal" w:pos="158"/>
              </w:tabs>
              <w:rPr>
                <w:rFonts w:ascii="Times New Roman" w:eastAsia="Calibri" w:hAnsi="Times New Roman" w:cs="Times New Roman"/>
                <w:sz w:val="20"/>
                <w:szCs w:val="20"/>
                <w:lang w:val="en-GB"/>
              </w:rPr>
            </w:pPr>
            <w:r w:rsidRPr="00202496">
              <w:rPr>
                <w:rFonts w:ascii="Times New Roman" w:eastAsia="Calibri" w:hAnsi="Times New Roman" w:cs="Times New Roman"/>
                <w:sz w:val="20"/>
                <w:szCs w:val="20"/>
                <w:lang w:val="en-GB"/>
              </w:rPr>
              <w:t>.557</w:t>
            </w:r>
          </w:p>
        </w:tc>
      </w:tr>
      <w:tr w:rsidR="006A16A6" w:rsidRPr="007A3524" w14:paraId="024DD4D2" w14:textId="77777777" w:rsidTr="00241E86">
        <w:tc>
          <w:tcPr>
            <w:tcW w:w="4428" w:type="dxa"/>
          </w:tcPr>
          <w:p w14:paraId="53B1F369" w14:textId="77777777" w:rsidR="006A16A6" w:rsidRPr="007A3524" w:rsidRDefault="006A16A6" w:rsidP="00241E86">
            <w:pPr>
              <w:ind w:firstLine="54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School satisfaction</w:t>
            </w:r>
          </w:p>
        </w:tc>
        <w:tc>
          <w:tcPr>
            <w:tcW w:w="1530" w:type="dxa"/>
            <w:vAlign w:val="center"/>
          </w:tcPr>
          <w:p w14:paraId="6CD3EBF8"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2.24 (1.17)</w:t>
            </w:r>
          </w:p>
        </w:tc>
        <w:tc>
          <w:tcPr>
            <w:tcW w:w="1350" w:type="dxa"/>
          </w:tcPr>
          <w:p w14:paraId="1910675B"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1-5</w:t>
            </w:r>
          </w:p>
        </w:tc>
        <w:tc>
          <w:tcPr>
            <w:tcW w:w="1890" w:type="dxa"/>
          </w:tcPr>
          <w:p w14:paraId="2559D505" w14:textId="77777777" w:rsidR="006A16A6" w:rsidRPr="00202496" w:rsidRDefault="006A16A6" w:rsidP="00241E86">
            <w:pPr>
              <w:tabs>
                <w:tab w:val="decimal" w:pos="158"/>
              </w:tabs>
              <w:rPr>
                <w:rFonts w:ascii="Times New Roman" w:eastAsia="Calibri" w:hAnsi="Times New Roman" w:cs="Times New Roman"/>
                <w:sz w:val="20"/>
                <w:szCs w:val="20"/>
                <w:lang w:val="en-GB"/>
              </w:rPr>
            </w:pPr>
            <w:r w:rsidRPr="00202496">
              <w:rPr>
                <w:rFonts w:ascii="Times New Roman" w:eastAsia="Calibri" w:hAnsi="Times New Roman" w:cs="Times New Roman"/>
                <w:sz w:val="20"/>
                <w:szCs w:val="20"/>
                <w:lang w:val="en-GB"/>
              </w:rPr>
              <w:t>.208</w:t>
            </w:r>
          </w:p>
        </w:tc>
      </w:tr>
      <w:tr w:rsidR="006A16A6" w:rsidRPr="007A3524" w14:paraId="24D0ACFB" w14:textId="77777777" w:rsidTr="00241E86">
        <w:tc>
          <w:tcPr>
            <w:tcW w:w="4428" w:type="dxa"/>
          </w:tcPr>
          <w:p w14:paraId="7EEA3202" w14:textId="77777777" w:rsidR="006A16A6" w:rsidRPr="007A3524" w:rsidRDefault="006A16A6" w:rsidP="00241E86">
            <w:pPr>
              <w:ind w:firstLine="54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School workload</w:t>
            </w:r>
          </w:p>
        </w:tc>
        <w:tc>
          <w:tcPr>
            <w:tcW w:w="1530" w:type="dxa"/>
            <w:vAlign w:val="center"/>
          </w:tcPr>
          <w:p w14:paraId="798D7FFF"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3.71 (0.88)</w:t>
            </w:r>
          </w:p>
        </w:tc>
        <w:tc>
          <w:tcPr>
            <w:tcW w:w="1350" w:type="dxa"/>
          </w:tcPr>
          <w:p w14:paraId="44744190"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1-5</w:t>
            </w:r>
          </w:p>
        </w:tc>
        <w:tc>
          <w:tcPr>
            <w:tcW w:w="1890" w:type="dxa"/>
          </w:tcPr>
          <w:p w14:paraId="3B0408C1" w14:textId="77777777" w:rsidR="006A16A6" w:rsidRPr="00202496" w:rsidRDefault="006A16A6" w:rsidP="00241E86">
            <w:pPr>
              <w:tabs>
                <w:tab w:val="decimal" w:pos="158"/>
              </w:tabs>
              <w:rPr>
                <w:rFonts w:ascii="Times New Roman" w:eastAsia="Calibri" w:hAnsi="Times New Roman" w:cs="Times New Roman"/>
                <w:sz w:val="20"/>
                <w:szCs w:val="20"/>
                <w:lang w:val="en-GB"/>
              </w:rPr>
            </w:pPr>
            <w:r w:rsidRPr="00202496">
              <w:rPr>
                <w:rFonts w:ascii="Times New Roman" w:eastAsia="Calibri" w:hAnsi="Times New Roman" w:cs="Times New Roman"/>
                <w:sz w:val="20"/>
                <w:szCs w:val="20"/>
                <w:lang w:val="en-GB"/>
              </w:rPr>
              <w:t>-.021</w:t>
            </w:r>
          </w:p>
        </w:tc>
      </w:tr>
      <w:tr w:rsidR="006A16A6" w:rsidRPr="007A3524" w14:paraId="34F2CA1D" w14:textId="77777777" w:rsidTr="00241E86">
        <w:tc>
          <w:tcPr>
            <w:tcW w:w="4428" w:type="dxa"/>
          </w:tcPr>
          <w:p w14:paraId="7488DCFE" w14:textId="77777777" w:rsidR="006A16A6" w:rsidRPr="007A3524" w:rsidRDefault="006A16A6" w:rsidP="00241E86">
            <w:pPr>
              <w:ind w:firstLine="54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Academic self-efficacy</w:t>
            </w:r>
          </w:p>
        </w:tc>
        <w:tc>
          <w:tcPr>
            <w:tcW w:w="1530" w:type="dxa"/>
            <w:vAlign w:val="center"/>
          </w:tcPr>
          <w:p w14:paraId="4192E4E0"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3.97 (0.76)</w:t>
            </w:r>
          </w:p>
        </w:tc>
        <w:tc>
          <w:tcPr>
            <w:tcW w:w="1350" w:type="dxa"/>
          </w:tcPr>
          <w:p w14:paraId="3B632EBB"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1-5</w:t>
            </w:r>
          </w:p>
        </w:tc>
        <w:tc>
          <w:tcPr>
            <w:tcW w:w="1890" w:type="dxa"/>
          </w:tcPr>
          <w:p w14:paraId="67048F1A" w14:textId="77777777" w:rsidR="006A16A6" w:rsidRPr="00202496" w:rsidRDefault="006A16A6" w:rsidP="00241E86">
            <w:pPr>
              <w:tabs>
                <w:tab w:val="decimal" w:pos="158"/>
              </w:tabs>
              <w:rPr>
                <w:rFonts w:ascii="Times New Roman" w:eastAsia="Calibri" w:hAnsi="Times New Roman" w:cs="Times New Roman"/>
                <w:sz w:val="20"/>
                <w:szCs w:val="20"/>
                <w:lang w:val="en-GB"/>
              </w:rPr>
            </w:pPr>
            <w:r w:rsidRPr="00202496">
              <w:rPr>
                <w:rFonts w:ascii="Times New Roman" w:eastAsia="Calibri" w:hAnsi="Times New Roman" w:cs="Times New Roman"/>
                <w:sz w:val="20"/>
                <w:szCs w:val="20"/>
                <w:lang w:val="en-GB"/>
              </w:rPr>
              <w:t>.374</w:t>
            </w:r>
          </w:p>
        </w:tc>
      </w:tr>
      <w:tr w:rsidR="006A16A6" w:rsidRPr="007A3524" w14:paraId="429DD1D7" w14:textId="77777777" w:rsidTr="00241E86">
        <w:tc>
          <w:tcPr>
            <w:tcW w:w="4428" w:type="dxa"/>
          </w:tcPr>
          <w:p w14:paraId="61408310" w14:textId="77777777" w:rsidR="006A16A6" w:rsidRPr="007A3524" w:rsidRDefault="006A16A6" w:rsidP="00241E86">
            <w:pPr>
              <w:rPr>
                <w:rFonts w:ascii="Times New Roman" w:eastAsia="Calibri" w:hAnsi="Times New Roman" w:cs="Times New Roman"/>
                <w:i/>
                <w:iCs/>
                <w:sz w:val="20"/>
                <w:szCs w:val="20"/>
                <w:lang w:val="en-GB"/>
              </w:rPr>
            </w:pPr>
            <w:r w:rsidRPr="007A3524">
              <w:rPr>
                <w:rFonts w:ascii="Times New Roman" w:eastAsia="Calibri" w:hAnsi="Times New Roman" w:cs="Times New Roman"/>
                <w:i/>
                <w:iCs/>
                <w:sz w:val="20"/>
                <w:szCs w:val="20"/>
                <w:lang w:val="en-GB"/>
              </w:rPr>
              <w:t>School level</w:t>
            </w:r>
          </w:p>
        </w:tc>
        <w:tc>
          <w:tcPr>
            <w:tcW w:w="1530" w:type="dxa"/>
            <w:vAlign w:val="center"/>
          </w:tcPr>
          <w:p w14:paraId="02F0F66D" w14:textId="77777777" w:rsidR="006A16A6" w:rsidRPr="007A3524" w:rsidRDefault="006A16A6" w:rsidP="00241E86">
            <w:pPr>
              <w:tabs>
                <w:tab w:val="decimal" w:pos="231"/>
              </w:tabs>
              <w:rPr>
                <w:rFonts w:ascii="Times New Roman" w:eastAsia="Calibri" w:hAnsi="Times New Roman" w:cs="Times New Roman"/>
                <w:sz w:val="20"/>
                <w:szCs w:val="20"/>
                <w:lang w:val="en-GB"/>
              </w:rPr>
            </w:pPr>
          </w:p>
        </w:tc>
        <w:tc>
          <w:tcPr>
            <w:tcW w:w="1350" w:type="dxa"/>
          </w:tcPr>
          <w:p w14:paraId="712A5F81"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019EC2A4" w14:textId="77777777" w:rsidR="006A16A6" w:rsidRPr="00202496" w:rsidRDefault="006A16A6" w:rsidP="00241E86">
            <w:pPr>
              <w:tabs>
                <w:tab w:val="decimal" w:pos="158"/>
              </w:tabs>
              <w:rPr>
                <w:rFonts w:ascii="Times New Roman" w:eastAsia="Calibri" w:hAnsi="Times New Roman" w:cs="Times New Roman"/>
                <w:sz w:val="20"/>
                <w:szCs w:val="20"/>
                <w:lang w:val="en-GB"/>
              </w:rPr>
            </w:pPr>
          </w:p>
        </w:tc>
      </w:tr>
      <w:tr w:rsidR="006A16A6" w:rsidRPr="007A3524" w14:paraId="7AC87107" w14:textId="77777777" w:rsidTr="00241E86">
        <w:tc>
          <w:tcPr>
            <w:tcW w:w="4428" w:type="dxa"/>
          </w:tcPr>
          <w:p w14:paraId="3B87EACA" w14:textId="77777777" w:rsidR="006A16A6" w:rsidRPr="007A3524" w:rsidRDefault="006A16A6" w:rsidP="00241E86">
            <w:pPr>
              <w:ind w:firstLine="284"/>
              <w:rPr>
                <w:rFonts w:ascii="Times New Roman" w:eastAsia="Calibri" w:hAnsi="Times New Roman" w:cs="Times New Roman"/>
                <w:sz w:val="20"/>
                <w:szCs w:val="20"/>
                <w:u w:val="single"/>
                <w:lang w:val="en-GB"/>
              </w:rPr>
            </w:pPr>
            <w:r w:rsidRPr="007A3524">
              <w:rPr>
                <w:rFonts w:ascii="Times New Roman" w:eastAsia="Calibri" w:hAnsi="Times New Roman" w:cs="Times New Roman"/>
                <w:sz w:val="20"/>
                <w:szCs w:val="20"/>
                <w:u w:val="single"/>
                <w:lang w:val="en-GB"/>
              </w:rPr>
              <w:t>School context</w:t>
            </w:r>
          </w:p>
        </w:tc>
        <w:tc>
          <w:tcPr>
            <w:tcW w:w="1530" w:type="dxa"/>
            <w:vAlign w:val="center"/>
          </w:tcPr>
          <w:p w14:paraId="684729D6" w14:textId="77777777" w:rsidR="006A16A6" w:rsidRPr="007A3524" w:rsidRDefault="006A16A6" w:rsidP="00241E86">
            <w:pPr>
              <w:tabs>
                <w:tab w:val="decimal" w:pos="231"/>
              </w:tabs>
              <w:rPr>
                <w:rFonts w:ascii="Times New Roman" w:eastAsia="Calibri" w:hAnsi="Times New Roman" w:cs="Times New Roman"/>
                <w:sz w:val="20"/>
                <w:szCs w:val="20"/>
                <w:lang w:val="en-GB"/>
              </w:rPr>
            </w:pPr>
          </w:p>
        </w:tc>
        <w:tc>
          <w:tcPr>
            <w:tcW w:w="1350" w:type="dxa"/>
          </w:tcPr>
          <w:p w14:paraId="0D1CEA83"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295D490E" w14:textId="77777777" w:rsidR="006A16A6" w:rsidRPr="00202496" w:rsidRDefault="006A16A6" w:rsidP="00241E86">
            <w:pPr>
              <w:tabs>
                <w:tab w:val="decimal" w:pos="158"/>
              </w:tabs>
              <w:rPr>
                <w:rFonts w:ascii="Times New Roman" w:eastAsia="Calibri" w:hAnsi="Times New Roman" w:cs="Times New Roman"/>
                <w:sz w:val="20"/>
                <w:szCs w:val="20"/>
                <w:lang w:val="en-GB"/>
              </w:rPr>
            </w:pPr>
          </w:p>
        </w:tc>
      </w:tr>
      <w:tr w:rsidR="006A16A6" w:rsidRPr="007A3524" w14:paraId="613A0651" w14:textId="77777777" w:rsidTr="00241E86">
        <w:tc>
          <w:tcPr>
            <w:tcW w:w="4428" w:type="dxa"/>
          </w:tcPr>
          <w:p w14:paraId="76A51CAA" w14:textId="77777777" w:rsidR="006A16A6" w:rsidRPr="007A3524" w:rsidRDefault="006A16A6" w:rsidP="00241E86">
            <w:pPr>
              <w:ind w:firstLine="54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School grade point average</w:t>
            </w:r>
          </w:p>
        </w:tc>
        <w:tc>
          <w:tcPr>
            <w:tcW w:w="1530" w:type="dxa"/>
            <w:vAlign w:val="center"/>
          </w:tcPr>
          <w:p w14:paraId="3749A12A"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4.18 (2.28)</w:t>
            </w:r>
          </w:p>
        </w:tc>
        <w:tc>
          <w:tcPr>
            <w:tcW w:w="1350" w:type="dxa"/>
          </w:tcPr>
          <w:p w14:paraId="1EB8A865"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3.67-4.53</w:t>
            </w:r>
          </w:p>
        </w:tc>
        <w:tc>
          <w:tcPr>
            <w:tcW w:w="1890" w:type="dxa"/>
          </w:tcPr>
          <w:p w14:paraId="2D20DFE4" w14:textId="77777777" w:rsidR="006A16A6" w:rsidRPr="00202496" w:rsidRDefault="006A16A6" w:rsidP="00241E86">
            <w:pPr>
              <w:tabs>
                <w:tab w:val="decimal" w:pos="158"/>
              </w:tabs>
              <w:rPr>
                <w:rFonts w:ascii="Times New Roman" w:eastAsia="Calibri" w:hAnsi="Times New Roman" w:cs="Times New Roman"/>
                <w:sz w:val="20"/>
                <w:szCs w:val="20"/>
                <w:lang w:val="en-GB"/>
              </w:rPr>
            </w:pPr>
            <w:r w:rsidRPr="00202496">
              <w:rPr>
                <w:rFonts w:ascii="Times New Roman" w:eastAsia="Calibri" w:hAnsi="Times New Roman" w:cs="Times New Roman"/>
                <w:sz w:val="20"/>
                <w:szCs w:val="20"/>
                <w:lang w:val="en-GB"/>
              </w:rPr>
              <w:t>.208</w:t>
            </w:r>
          </w:p>
        </w:tc>
      </w:tr>
      <w:tr w:rsidR="006A16A6" w:rsidRPr="007A3524" w14:paraId="07BFEE00" w14:textId="77777777" w:rsidTr="00241E86">
        <w:tc>
          <w:tcPr>
            <w:tcW w:w="4428" w:type="dxa"/>
          </w:tcPr>
          <w:p w14:paraId="0A113F20" w14:textId="77777777" w:rsidR="006A16A6" w:rsidRPr="007A3524" w:rsidRDefault="006A16A6" w:rsidP="00241E86">
            <w:pPr>
              <w:ind w:firstLine="54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School size</w:t>
            </w:r>
          </w:p>
        </w:tc>
        <w:tc>
          <w:tcPr>
            <w:tcW w:w="1530" w:type="dxa"/>
            <w:vAlign w:val="center"/>
          </w:tcPr>
          <w:p w14:paraId="52AF5F1A"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634.45 (184.26)</w:t>
            </w:r>
          </w:p>
        </w:tc>
        <w:tc>
          <w:tcPr>
            <w:tcW w:w="1350" w:type="dxa"/>
          </w:tcPr>
          <w:p w14:paraId="2CE0564B"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206-967</w:t>
            </w:r>
          </w:p>
        </w:tc>
        <w:tc>
          <w:tcPr>
            <w:tcW w:w="1890" w:type="dxa"/>
          </w:tcPr>
          <w:p w14:paraId="355B39AA" w14:textId="77777777" w:rsidR="006A16A6" w:rsidRPr="00202496" w:rsidRDefault="006A16A6" w:rsidP="00241E86">
            <w:pPr>
              <w:tabs>
                <w:tab w:val="decimal" w:pos="158"/>
              </w:tabs>
              <w:rPr>
                <w:rFonts w:ascii="Times New Roman" w:eastAsia="Calibri" w:hAnsi="Times New Roman" w:cs="Times New Roman"/>
                <w:sz w:val="20"/>
                <w:szCs w:val="20"/>
                <w:lang w:val="en-GB"/>
              </w:rPr>
            </w:pPr>
            <w:r w:rsidRPr="00202496">
              <w:rPr>
                <w:rFonts w:ascii="Times New Roman" w:eastAsia="Calibri" w:hAnsi="Times New Roman" w:cs="Times New Roman"/>
                <w:sz w:val="20"/>
                <w:szCs w:val="20"/>
                <w:lang w:val="en-GB"/>
              </w:rPr>
              <w:t>-.012</w:t>
            </w:r>
          </w:p>
        </w:tc>
      </w:tr>
      <w:tr w:rsidR="006A16A6" w:rsidRPr="007A3524" w14:paraId="5BA37EDD" w14:textId="77777777" w:rsidTr="00241E86">
        <w:tc>
          <w:tcPr>
            <w:tcW w:w="4428" w:type="dxa"/>
          </w:tcPr>
          <w:p w14:paraId="691A352A" w14:textId="77777777" w:rsidR="006A16A6" w:rsidRPr="007A3524" w:rsidRDefault="006A16A6" w:rsidP="00241E86">
            <w:pPr>
              <w:ind w:firstLine="54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Average class size</w:t>
            </w:r>
          </w:p>
        </w:tc>
        <w:tc>
          <w:tcPr>
            <w:tcW w:w="1530" w:type="dxa"/>
            <w:vAlign w:val="center"/>
          </w:tcPr>
          <w:p w14:paraId="2D766AD2"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21.98 (1.56)</w:t>
            </w:r>
          </w:p>
        </w:tc>
        <w:tc>
          <w:tcPr>
            <w:tcW w:w="1350" w:type="dxa"/>
          </w:tcPr>
          <w:p w14:paraId="32ECB69C"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15.85-24.79</w:t>
            </w:r>
          </w:p>
        </w:tc>
        <w:tc>
          <w:tcPr>
            <w:tcW w:w="1890" w:type="dxa"/>
          </w:tcPr>
          <w:p w14:paraId="3E263A9D" w14:textId="77777777" w:rsidR="006A16A6" w:rsidRPr="00202496" w:rsidRDefault="006A16A6" w:rsidP="00241E86">
            <w:pPr>
              <w:tabs>
                <w:tab w:val="decimal" w:pos="158"/>
              </w:tabs>
              <w:rPr>
                <w:rFonts w:ascii="Times New Roman" w:eastAsia="Calibri" w:hAnsi="Times New Roman" w:cs="Times New Roman"/>
                <w:sz w:val="20"/>
                <w:szCs w:val="20"/>
                <w:lang w:val="en-GB"/>
              </w:rPr>
            </w:pPr>
            <w:r w:rsidRPr="00202496">
              <w:rPr>
                <w:rFonts w:ascii="Times New Roman" w:eastAsia="Calibri" w:hAnsi="Times New Roman" w:cs="Times New Roman"/>
                <w:sz w:val="20"/>
                <w:szCs w:val="20"/>
                <w:lang w:val="en-GB"/>
              </w:rPr>
              <w:t>.085</w:t>
            </w:r>
          </w:p>
        </w:tc>
      </w:tr>
      <w:tr w:rsidR="006A16A6" w:rsidRPr="007A3524" w14:paraId="70339F68" w14:textId="77777777" w:rsidTr="00241E86">
        <w:tc>
          <w:tcPr>
            <w:tcW w:w="4428" w:type="dxa"/>
          </w:tcPr>
          <w:p w14:paraId="2A46B85B" w14:textId="77777777" w:rsidR="006A16A6" w:rsidRPr="007A3524" w:rsidRDefault="006A16A6" w:rsidP="00241E86">
            <w:pPr>
              <w:ind w:firstLine="54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Real estate prices (%)</w:t>
            </w:r>
          </w:p>
        </w:tc>
        <w:tc>
          <w:tcPr>
            <w:tcW w:w="1530" w:type="dxa"/>
            <w:vAlign w:val="center"/>
          </w:tcPr>
          <w:p w14:paraId="761B4D41" w14:textId="77777777" w:rsidR="006A16A6" w:rsidRPr="007A3524" w:rsidRDefault="006A16A6" w:rsidP="00241E86">
            <w:pPr>
              <w:tabs>
                <w:tab w:val="decimal" w:pos="231"/>
              </w:tabs>
              <w:rPr>
                <w:rFonts w:ascii="Times New Roman" w:eastAsia="Calibri" w:hAnsi="Times New Roman" w:cs="Times New Roman"/>
                <w:sz w:val="20"/>
                <w:szCs w:val="20"/>
                <w:lang w:val="en-GB"/>
              </w:rPr>
            </w:pPr>
          </w:p>
        </w:tc>
        <w:tc>
          <w:tcPr>
            <w:tcW w:w="1350" w:type="dxa"/>
          </w:tcPr>
          <w:p w14:paraId="106F9A6C"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2483D29D" w14:textId="77777777" w:rsidR="006A16A6" w:rsidRPr="00D20D7C" w:rsidRDefault="006A16A6" w:rsidP="00241E86">
            <w:pPr>
              <w:tabs>
                <w:tab w:val="decimal" w:pos="178"/>
              </w:tabs>
              <w:rPr>
                <w:rFonts w:ascii="Times New Roman" w:hAnsi="Times New Roman"/>
                <w:sz w:val="20"/>
                <w:highlight w:val="yellow"/>
                <w:lang w:val="en-GB"/>
              </w:rPr>
            </w:pPr>
            <w:r w:rsidRPr="00C75EE5">
              <w:rPr>
                <w:rFonts w:ascii="Times New Roman" w:eastAsia="Calibri" w:hAnsi="Times New Roman" w:cs="Times New Roman"/>
                <w:sz w:val="20"/>
                <w:szCs w:val="20"/>
                <w:lang w:val="en-GB"/>
              </w:rPr>
              <w:t>19.214</w:t>
            </w:r>
          </w:p>
        </w:tc>
      </w:tr>
      <w:tr w:rsidR="006A16A6" w:rsidRPr="007A3524" w14:paraId="711BF9E5" w14:textId="77777777" w:rsidTr="00241E86">
        <w:tc>
          <w:tcPr>
            <w:tcW w:w="4428" w:type="dxa"/>
          </w:tcPr>
          <w:p w14:paraId="077758D6" w14:textId="77777777" w:rsidR="006A16A6" w:rsidRPr="007A3524" w:rsidRDefault="006A16A6" w:rsidP="00241E86">
            <w:pPr>
              <w:ind w:firstLine="900"/>
              <w:rPr>
                <w:rFonts w:ascii="Times New Roman" w:eastAsia="Calibri" w:hAnsi="Times New Roman" w:cs="Times New Roman"/>
                <w:sz w:val="20"/>
                <w:szCs w:val="20"/>
                <w:vertAlign w:val="superscript"/>
                <w:lang w:val="en-GB"/>
              </w:rPr>
            </w:pPr>
            <w:r w:rsidRPr="007A3524">
              <w:rPr>
                <w:rFonts w:ascii="Times New Roman" w:eastAsia="Calibri" w:hAnsi="Times New Roman" w:cs="Times New Roman"/>
                <w:sz w:val="20"/>
                <w:szCs w:val="20"/>
                <w:lang w:val="en-GB"/>
              </w:rPr>
              <w:t xml:space="preserve">Not enough </w:t>
            </w:r>
            <w:proofErr w:type="spellStart"/>
            <w:r w:rsidRPr="007A3524">
              <w:rPr>
                <w:rFonts w:ascii="Times New Roman" w:eastAsia="Calibri" w:hAnsi="Times New Roman" w:cs="Times New Roman"/>
                <w:sz w:val="20"/>
                <w:szCs w:val="20"/>
                <w:lang w:val="en-GB"/>
              </w:rPr>
              <w:t>information</w:t>
            </w:r>
            <w:r w:rsidRPr="007A3524">
              <w:rPr>
                <w:rFonts w:ascii="Times New Roman" w:eastAsia="Calibri" w:hAnsi="Times New Roman" w:cs="Times New Roman"/>
                <w:sz w:val="20"/>
                <w:szCs w:val="20"/>
                <w:vertAlign w:val="superscript"/>
                <w:lang w:val="en-GB"/>
              </w:rPr>
              <w:t>a</w:t>
            </w:r>
            <w:proofErr w:type="spellEnd"/>
          </w:p>
        </w:tc>
        <w:tc>
          <w:tcPr>
            <w:tcW w:w="1530" w:type="dxa"/>
            <w:vAlign w:val="center"/>
          </w:tcPr>
          <w:p w14:paraId="0897CD8E"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10.8 %</w:t>
            </w:r>
          </w:p>
        </w:tc>
        <w:tc>
          <w:tcPr>
            <w:tcW w:w="1350" w:type="dxa"/>
          </w:tcPr>
          <w:p w14:paraId="42B582D3"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4868A202" w14:textId="77777777" w:rsidR="006A16A6" w:rsidRPr="00660754" w:rsidRDefault="006A16A6" w:rsidP="00241E86">
            <w:pPr>
              <w:ind w:firstLine="119"/>
              <w:rPr>
                <w:rFonts w:ascii="Times New Roman" w:eastAsia="Calibri" w:hAnsi="Times New Roman" w:cs="Times New Roman"/>
                <w:sz w:val="20"/>
                <w:szCs w:val="20"/>
                <w:lang w:val="en-GB"/>
              </w:rPr>
            </w:pPr>
            <w:r w:rsidRPr="00660754">
              <w:rPr>
                <w:rFonts w:ascii="Times New Roman" w:eastAsia="Calibri" w:hAnsi="Times New Roman" w:cs="Times New Roman"/>
                <w:sz w:val="20"/>
                <w:szCs w:val="20"/>
                <w:lang w:val="en-GB"/>
              </w:rPr>
              <w:t>1 &lt; 2</w:t>
            </w:r>
          </w:p>
        </w:tc>
      </w:tr>
      <w:tr w:rsidR="006A16A6" w:rsidRPr="007A3524" w14:paraId="300004C6" w14:textId="77777777" w:rsidTr="00241E86">
        <w:tc>
          <w:tcPr>
            <w:tcW w:w="4428" w:type="dxa"/>
          </w:tcPr>
          <w:p w14:paraId="594EB7DB" w14:textId="77777777" w:rsidR="006A16A6" w:rsidRPr="007A3524" w:rsidRDefault="006A16A6" w:rsidP="00241E86">
            <w:pPr>
              <w:ind w:firstLine="90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&lt; 8000 HRK/m</w:t>
            </w:r>
            <w:r w:rsidRPr="007A3524">
              <w:rPr>
                <w:rFonts w:ascii="Times New Roman" w:eastAsia="Calibri" w:hAnsi="Times New Roman" w:cs="Times New Roman"/>
                <w:sz w:val="20"/>
                <w:szCs w:val="20"/>
                <w:vertAlign w:val="superscript"/>
                <w:lang w:val="en-GB"/>
              </w:rPr>
              <w:t>2</w:t>
            </w:r>
          </w:p>
        </w:tc>
        <w:tc>
          <w:tcPr>
            <w:tcW w:w="1530" w:type="dxa"/>
            <w:vAlign w:val="center"/>
          </w:tcPr>
          <w:p w14:paraId="3BF03B87"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23.2 %</w:t>
            </w:r>
          </w:p>
        </w:tc>
        <w:tc>
          <w:tcPr>
            <w:tcW w:w="1350" w:type="dxa"/>
          </w:tcPr>
          <w:p w14:paraId="0A288443"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4F66A620" w14:textId="77777777" w:rsidR="006A16A6" w:rsidRPr="00660754" w:rsidRDefault="006A16A6" w:rsidP="00241E86">
            <w:pPr>
              <w:ind w:firstLine="119"/>
              <w:rPr>
                <w:rFonts w:ascii="Times New Roman" w:eastAsia="Calibri" w:hAnsi="Times New Roman" w:cs="Times New Roman"/>
                <w:sz w:val="20"/>
                <w:szCs w:val="20"/>
                <w:lang w:val="en-GB"/>
              </w:rPr>
            </w:pPr>
            <w:r w:rsidRPr="00660754">
              <w:rPr>
                <w:rFonts w:ascii="Times New Roman" w:eastAsia="Calibri" w:hAnsi="Times New Roman" w:cs="Times New Roman"/>
                <w:sz w:val="20"/>
                <w:szCs w:val="20"/>
                <w:lang w:val="en-GB"/>
              </w:rPr>
              <w:t>1 &lt; 3</w:t>
            </w:r>
          </w:p>
        </w:tc>
      </w:tr>
      <w:tr w:rsidR="006A16A6" w:rsidRPr="007A3524" w14:paraId="4A46FD81" w14:textId="77777777" w:rsidTr="00241E86">
        <w:tc>
          <w:tcPr>
            <w:tcW w:w="4428" w:type="dxa"/>
          </w:tcPr>
          <w:p w14:paraId="0BC3F008" w14:textId="77777777" w:rsidR="006A16A6" w:rsidRPr="007A3524" w:rsidRDefault="006A16A6" w:rsidP="00241E86">
            <w:pPr>
              <w:tabs>
                <w:tab w:val="left" w:pos="353"/>
              </w:tabs>
              <w:ind w:firstLine="90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8000-9500 HRK/m</w:t>
            </w:r>
            <w:r w:rsidRPr="007A3524">
              <w:rPr>
                <w:rFonts w:ascii="Times New Roman" w:eastAsia="Calibri" w:hAnsi="Times New Roman" w:cs="Times New Roman"/>
                <w:sz w:val="20"/>
                <w:szCs w:val="20"/>
                <w:vertAlign w:val="superscript"/>
                <w:lang w:val="en-GB"/>
              </w:rPr>
              <w:t>2</w:t>
            </w:r>
          </w:p>
        </w:tc>
        <w:tc>
          <w:tcPr>
            <w:tcW w:w="1530" w:type="dxa"/>
            <w:vAlign w:val="center"/>
          </w:tcPr>
          <w:p w14:paraId="76DC1D0C"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45.7 %</w:t>
            </w:r>
          </w:p>
        </w:tc>
        <w:tc>
          <w:tcPr>
            <w:tcW w:w="1350" w:type="dxa"/>
          </w:tcPr>
          <w:p w14:paraId="755353C3"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18C14A2A" w14:textId="77777777" w:rsidR="006A16A6" w:rsidRPr="00660754" w:rsidRDefault="006A16A6" w:rsidP="00241E86">
            <w:pPr>
              <w:ind w:firstLine="119"/>
              <w:rPr>
                <w:rFonts w:ascii="Times New Roman" w:eastAsia="Calibri" w:hAnsi="Times New Roman" w:cs="Times New Roman"/>
                <w:sz w:val="20"/>
                <w:szCs w:val="20"/>
                <w:lang w:val="en-GB"/>
              </w:rPr>
            </w:pPr>
            <w:r w:rsidRPr="00660754">
              <w:rPr>
                <w:rFonts w:ascii="Times New Roman" w:eastAsia="Calibri" w:hAnsi="Times New Roman" w:cs="Times New Roman"/>
                <w:sz w:val="20"/>
                <w:szCs w:val="20"/>
                <w:lang w:val="en-GB"/>
              </w:rPr>
              <w:t>1 &lt; 4</w:t>
            </w:r>
          </w:p>
        </w:tc>
      </w:tr>
      <w:tr w:rsidR="006A16A6" w:rsidRPr="007A3524" w14:paraId="43306F20" w14:textId="77777777" w:rsidTr="00241E86">
        <w:tc>
          <w:tcPr>
            <w:tcW w:w="4428" w:type="dxa"/>
          </w:tcPr>
          <w:p w14:paraId="20782C4F" w14:textId="77777777" w:rsidR="006A16A6" w:rsidRPr="007A3524" w:rsidRDefault="006A16A6" w:rsidP="00241E86">
            <w:pPr>
              <w:tabs>
                <w:tab w:val="left" w:pos="353"/>
              </w:tabs>
              <w:ind w:firstLine="900"/>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&gt; 9500 HRK/m</w:t>
            </w:r>
            <w:r w:rsidRPr="007A3524">
              <w:rPr>
                <w:rFonts w:ascii="Times New Roman" w:eastAsia="Calibri" w:hAnsi="Times New Roman" w:cs="Times New Roman"/>
                <w:sz w:val="20"/>
                <w:szCs w:val="20"/>
                <w:vertAlign w:val="superscript"/>
                <w:lang w:val="en-GB"/>
              </w:rPr>
              <w:t>2</w:t>
            </w:r>
          </w:p>
        </w:tc>
        <w:tc>
          <w:tcPr>
            <w:tcW w:w="1530" w:type="dxa"/>
            <w:vAlign w:val="center"/>
          </w:tcPr>
          <w:p w14:paraId="3D48A280"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20.3 %</w:t>
            </w:r>
          </w:p>
        </w:tc>
        <w:tc>
          <w:tcPr>
            <w:tcW w:w="1350" w:type="dxa"/>
          </w:tcPr>
          <w:p w14:paraId="268ECD23"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4F6079E0" w14:textId="77777777" w:rsidR="006A16A6" w:rsidRPr="00660754" w:rsidRDefault="006A16A6" w:rsidP="00241E86">
            <w:pPr>
              <w:ind w:firstLine="119"/>
              <w:rPr>
                <w:rFonts w:ascii="Times New Roman" w:eastAsia="Calibri" w:hAnsi="Times New Roman" w:cs="Times New Roman"/>
                <w:sz w:val="20"/>
                <w:szCs w:val="20"/>
                <w:lang w:val="en-GB"/>
              </w:rPr>
            </w:pPr>
            <w:r w:rsidRPr="00660754">
              <w:rPr>
                <w:rFonts w:ascii="Times New Roman" w:eastAsia="Calibri" w:hAnsi="Times New Roman" w:cs="Times New Roman"/>
                <w:sz w:val="20"/>
                <w:szCs w:val="20"/>
                <w:lang w:val="en-GB"/>
              </w:rPr>
              <w:t>2 &lt; 4</w:t>
            </w:r>
          </w:p>
        </w:tc>
      </w:tr>
      <w:tr w:rsidR="006A16A6" w:rsidRPr="007A3524" w14:paraId="3BAD6E4E" w14:textId="77777777" w:rsidTr="00241E86">
        <w:tc>
          <w:tcPr>
            <w:tcW w:w="4428" w:type="dxa"/>
          </w:tcPr>
          <w:p w14:paraId="3423F5EB" w14:textId="77777777" w:rsidR="006A16A6" w:rsidRPr="007A3524" w:rsidRDefault="006A16A6" w:rsidP="00241E86">
            <w:pPr>
              <w:tabs>
                <w:tab w:val="left" w:pos="353"/>
              </w:tabs>
              <w:ind w:firstLine="900"/>
              <w:rPr>
                <w:rFonts w:ascii="Times New Roman" w:eastAsia="Calibri" w:hAnsi="Times New Roman" w:cs="Times New Roman"/>
                <w:sz w:val="20"/>
                <w:szCs w:val="20"/>
                <w:lang w:val="en-GB"/>
              </w:rPr>
            </w:pPr>
          </w:p>
        </w:tc>
        <w:tc>
          <w:tcPr>
            <w:tcW w:w="1530" w:type="dxa"/>
            <w:vAlign w:val="center"/>
          </w:tcPr>
          <w:p w14:paraId="629E034C" w14:textId="77777777" w:rsidR="006A16A6" w:rsidRPr="007A3524" w:rsidRDefault="006A16A6" w:rsidP="00241E86">
            <w:pPr>
              <w:tabs>
                <w:tab w:val="decimal" w:pos="231"/>
              </w:tabs>
              <w:rPr>
                <w:rFonts w:ascii="Times New Roman" w:eastAsia="Calibri" w:hAnsi="Times New Roman" w:cs="Times New Roman"/>
                <w:sz w:val="20"/>
                <w:szCs w:val="20"/>
                <w:lang w:val="en-GB"/>
              </w:rPr>
            </w:pPr>
          </w:p>
        </w:tc>
        <w:tc>
          <w:tcPr>
            <w:tcW w:w="1350" w:type="dxa"/>
          </w:tcPr>
          <w:p w14:paraId="62F16D06"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62F06707" w14:textId="77777777" w:rsidR="006A16A6" w:rsidRPr="00660754" w:rsidRDefault="006A16A6" w:rsidP="00241E86">
            <w:pPr>
              <w:ind w:firstLine="119"/>
              <w:rPr>
                <w:rFonts w:ascii="Times New Roman" w:eastAsia="Calibri" w:hAnsi="Times New Roman" w:cs="Times New Roman"/>
                <w:sz w:val="20"/>
                <w:szCs w:val="20"/>
                <w:lang w:val="en-GB"/>
              </w:rPr>
            </w:pPr>
            <w:r w:rsidRPr="00660754">
              <w:rPr>
                <w:rFonts w:ascii="Times New Roman" w:eastAsia="Calibri" w:hAnsi="Times New Roman" w:cs="Times New Roman"/>
                <w:sz w:val="20"/>
                <w:szCs w:val="20"/>
                <w:lang w:val="en-GB"/>
              </w:rPr>
              <w:t>3 &lt; 4</w:t>
            </w:r>
          </w:p>
        </w:tc>
      </w:tr>
      <w:tr w:rsidR="006A16A6" w:rsidRPr="007A3524" w14:paraId="4161269E" w14:textId="77777777" w:rsidTr="00241E86">
        <w:tc>
          <w:tcPr>
            <w:tcW w:w="4428" w:type="dxa"/>
          </w:tcPr>
          <w:p w14:paraId="076D7C5B" w14:textId="77777777" w:rsidR="006A16A6" w:rsidRPr="007A3524" w:rsidRDefault="006A16A6" w:rsidP="00241E86">
            <w:pPr>
              <w:tabs>
                <w:tab w:val="left" w:pos="353"/>
              </w:tabs>
              <w:rPr>
                <w:rFonts w:ascii="Times New Roman" w:eastAsia="Calibri" w:hAnsi="Times New Roman" w:cs="Times New Roman"/>
                <w:b/>
                <w:sz w:val="20"/>
                <w:szCs w:val="20"/>
                <w:lang w:val="en-GB"/>
              </w:rPr>
            </w:pPr>
            <w:r w:rsidRPr="007A3524">
              <w:rPr>
                <w:rFonts w:ascii="Times New Roman" w:eastAsia="Calibri" w:hAnsi="Times New Roman" w:cs="Times New Roman"/>
                <w:b/>
                <w:sz w:val="20"/>
                <w:szCs w:val="20"/>
                <w:lang w:val="en-GB"/>
              </w:rPr>
              <w:t>Outcome</w:t>
            </w:r>
          </w:p>
        </w:tc>
        <w:tc>
          <w:tcPr>
            <w:tcW w:w="1530" w:type="dxa"/>
            <w:vAlign w:val="center"/>
          </w:tcPr>
          <w:p w14:paraId="0E48769E" w14:textId="77777777" w:rsidR="006A16A6" w:rsidRPr="007A3524" w:rsidRDefault="006A16A6" w:rsidP="00241E86">
            <w:pPr>
              <w:tabs>
                <w:tab w:val="decimal" w:pos="231"/>
              </w:tabs>
              <w:rPr>
                <w:rFonts w:ascii="Times New Roman" w:eastAsia="Calibri" w:hAnsi="Times New Roman" w:cs="Times New Roman"/>
                <w:sz w:val="20"/>
                <w:szCs w:val="20"/>
                <w:lang w:val="en-GB"/>
              </w:rPr>
            </w:pPr>
          </w:p>
        </w:tc>
        <w:tc>
          <w:tcPr>
            <w:tcW w:w="1350" w:type="dxa"/>
          </w:tcPr>
          <w:p w14:paraId="0CFB50C9"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2056EA24" w14:textId="77777777" w:rsidR="006A16A6" w:rsidRPr="00D20D7C" w:rsidRDefault="006A16A6" w:rsidP="00241E86">
            <w:pPr>
              <w:rPr>
                <w:rFonts w:ascii="Times New Roman" w:hAnsi="Times New Roman"/>
                <w:sz w:val="20"/>
                <w:highlight w:val="yellow"/>
                <w:lang w:val="en-GB"/>
              </w:rPr>
            </w:pPr>
          </w:p>
        </w:tc>
      </w:tr>
      <w:tr w:rsidR="006A16A6" w:rsidRPr="007A3524" w14:paraId="5695E667" w14:textId="77777777" w:rsidTr="00241E86">
        <w:tc>
          <w:tcPr>
            <w:tcW w:w="4428" w:type="dxa"/>
          </w:tcPr>
          <w:p w14:paraId="47135670" w14:textId="77777777" w:rsidR="006A16A6" w:rsidRPr="007A3524" w:rsidRDefault="006A16A6" w:rsidP="00241E86">
            <w:pPr>
              <w:tabs>
                <w:tab w:val="left" w:pos="353"/>
              </w:tabs>
              <w:ind w:left="270" w:firstLine="1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In the future, I want to pursue higher education.</w:t>
            </w:r>
          </w:p>
        </w:tc>
        <w:tc>
          <w:tcPr>
            <w:tcW w:w="1530" w:type="dxa"/>
            <w:vAlign w:val="center"/>
          </w:tcPr>
          <w:p w14:paraId="4BE7D4C3" w14:textId="77777777" w:rsidR="006A16A6" w:rsidRPr="007A3524" w:rsidRDefault="006A16A6" w:rsidP="00241E86">
            <w:pPr>
              <w:tabs>
                <w:tab w:val="decimal" w:pos="231"/>
              </w:tabs>
              <w:rPr>
                <w:rFonts w:ascii="Times New Roman" w:eastAsia="Calibri" w:hAnsi="Times New Roman" w:cs="Times New Roman"/>
                <w:sz w:val="20"/>
                <w:szCs w:val="20"/>
                <w:lang w:val="en-GB"/>
              </w:rPr>
            </w:pPr>
          </w:p>
        </w:tc>
        <w:tc>
          <w:tcPr>
            <w:tcW w:w="1350" w:type="dxa"/>
          </w:tcPr>
          <w:p w14:paraId="17DA2106"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2631910A" w14:textId="77777777" w:rsidR="006A16A6" w:rsidRPr="00D20D7C" w:rsidRDefault="006A16A6" w:rsidP="00241E86">
            <w:pPr>
              <w:rPr>
                <w:rFonts w:ascii="Times New Roman" w:hAnsi="Times New Roman"/>
                <w:sz w:val="20"/>
                <w:highlight w:val="yellow"/>
                <w:lang w:val="en-GB"/>
              </w:rPr>
            </w:pPr>
          </w:p>
        </w:tc>
      </w:tr>
      <w:tr w:rsidR="006A16A6" w:rsidRPr="007A3524" w14:paraId="4746F311" w14:textId="77777777" w:rsidTr="00241E86">
        <w:tc>
          <w:tcPr>
            <w:tcW w:w="4428" w:type="dxa"/>
          </w:tcPr>
          <w:p w14:paraId="4FB4D8FB" w14:textId="77777777" w:rsidR="006A16A6" w:rsidRPr="007A3524" w:rsidRDefault="006A16A6" w:rsidP="00241E86">
            <w:pPr>
              <w:tabs>
                <w:tab w:val="left" w:pos="353"/>
              </w:tabs>
              <w:ind w:firstLine="567"/>
              <w:rPr>
                <w:rFonts w:ascii="Times New Roman" w:eastAsia="Calibri" w:hAnsi="Times New Roman" w:cs="Times New Roman"/>
                <w:sz w:val="20"/>
                <w:szCs w:val="20"/>
                <w:vertAlign w:val="superscript"/>
                <w:lang w:val="en-GB"/>
              </w:rPr>
            </w:pPr>
            <w:r w:rsidRPr="007A3524">
              <w:rPr>
                <w:rFonts w:ascii="Times New Roman" w:eastAsia="Calibri" w:hAnsi="Times New Roman" w:cs="Times New Roman"/>
                <w:sz w:val="20"/>
                <w:szCs w:val="20"/>
                <w:lang w:val="en-GB"/>
              </w:rPr>
              <w:t xml:space="preserve">I completely </w:t>
            </w:r>
            <w:proofErr w:type="spellStart"/>
            <w:r w:rsidRPr="007A3524">
              <w:rPr>
                <w:rFonts w:ascii="Times New Roman" w:eastAsia="Calibri" w:hAnsi="Times New Roman" w:cs="Times New Roman"/>
                <w:sz w:val="20"/>
                <w:szCs w:val="20"/>
                <w:lang w:val="en-GB"/>
              </w:rPr>
              <w:t>disagree.</w:t>
            </w:r>
            <w:r w:rsidRPr="007A3524">
              <w:rPr>
                <w:rFonts w:ascii="Times New Roman" w:eastAsia="Calibri" w:hAnsi="Times New Roman" w:cs="Times New Roman"/>
                <w:sz w:val="20"/>
                <w:szCs w:val="20"/>
                <w:vertAlign w:val="superscript"/>
                <w:lang w:val="en-GB"/>
              </w:rPr>
              <w:t>b</w:t>
            </w:r>
            <w:proofErr w:type="spellEnd"/>
          </w:p>
        </w:tc>
        <w:tc>
          <w:tcPr>
            <w:tcW w:w="1530" w:type="dxa"/>
            <w:vAlign w:val="center"/>
          </w:tcPr>
          <w:p w14:paraId="67F4EDAC"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7.8 %</w:t>
            </w:r>
          </w:p>
        </w:tc>
        <w:tc>
          <w:tcPr>
            <w:tcW w:w="1350" w:type="dxa"/>
          </w:tcPr>
          <w:p w14:paraId="3A4ECD2E"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7C22348D" w14:textId="77777777" w:rsidR="006A16A6" w:rsidRPr="00D20D7C" w:rsidRDefault="006A16A6" w:rsidP="00241E86">
            <w:pPr>
              <w:rPr>
                <w:rFonts w:ascii="Times New Roman" w:hAnsi="Times New Roman"/>
                <w:sz w:val="20"/>
                <w:highlight w:val="yellow"/>
                <w:lang w:val="en-GB"/>
              </w:rPr>
            </w:pPr>
          </w:p>
        </w:tc>
      </w:tr>
      <w:tr w:rsidR="006A16A6" w:rsidRPr="007A3524" w14:paraId="2291AD94" w14:textId="77777777" w:rsidTr="00241E86">
        <w:tc>
          <w:tcPr>
            <w:tcW w:w="4428" w:type="dxa"/>
          </w:tcPr>
          <w:p w14:paraId="07E7B81C" w14:textId="77777777" w:rsidR="006A16A6" w:rsidRPr="007A3524" w:rsidRDefault="006A16A6" w:rsidP="00241E86">
            <w:pPr>
              <w:tabs>
                <w:tab w:val="left" w:pos="353"/>
              </w:tabs>
              <w:ind w:firstLine="567"/>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I generally disagree.</w:t>
            </w:r>
            <w:r w:rsidRPr="007A3524">
              <w:rPr>
                <w:rFonts w:ascii="Times New Roman" w:eastAsia="Calibri" w:hAnsi="Times New Roman" w:cs="Times New Roman"/>
                <w:sz w:val="20"/>
                <w:szCs w:val="20"/>
                <w:vertAlign w:val="superscript"/>
                <w:lang w:val="en-GB"/>
              </w:rPr>
              <w:t xml:space="preserve"> b</w:t>
            </w:r>
          </w:p>
        </w:tc>
        <w:tc>
          <w:tcPr>
            <w:tcW w:w="1530" w:type="dxa"/>
            <w:vAlign w:val="center"/>
          </w:tcPr>
          <w:p w14:paraId="5F8EB0FC"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3.7 %</w:t>
            </w:r>
          </w:p>
        </w:tc>
        <w:tc>
          <w:tcPr>
            <w:tcW w:w="1350" w:type="dxa"/>
          </w:tcPr>
          <w:p w14:paraId="002890D6"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2F491AB0" w14:textId="77777777" w:rsidR="006A16A6" w:rsidRPr="00D20D7C" w:rsidRDefault="006A16A6" w:rsidP="00241E86">
            <w:pPr>
              <w:rPr>
                <w:rFonts w:ascii="Times New Roman" w:hAnsi="Times New Roman"/>
                <w:sz w:val="20"/>
                <w:highlight w:val="yellow"/>
                <w:lang w:val="en-GB"/>
              </w:rPr>
            </w:pPr>
          </w:p>
        </w:tc>
      </w:tr>
      <w:tr w:rsidR="006A16A6" w:rsidRPr="007A3524" w14:paraId="62D7ECD6" w14:textId="77777777" w:rsidTr="00241E86">
        <w:tc>
          <w:tcPr>
            <w:tcW w:w="4428" w:type="dxa"/>
          </w:tcPr>
          <w:p w14:paraId="49BCCE3F" w14:textId="77777777" w:rsidR="006A16A6" w:rsidRPr="007A3524" w:rsidRDefault="006A16A6" w:rsidP="00241E86">
            <w:pPr>
              <w:tabs>
                <w:tab w:val="left" w:pos="353"/>
              </w:tabs>
              <w:ind w:firstLine="567"/>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I agree nor disagree</w:t>
            </w:r>
          </w:p>
        </w:tc>
        <w:tc>
          <w:tcPr>
            <w:tcW w:w="1530" w:type="dxa"/>
            <w:vAlign w:val="center"/>
          </w:tcPr>
          <w:p w14:paraId="6B412BAA"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11.6 %</w:t>
            </w:r>
          </w:p>
        </w:tc>
        <w:tc>
          <w:tcPr>
            <w:tcW w:w="1350" w:type="dxa"/>
          </w:tcPr>
          <w:p w14:paraId="3E34FE5C"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120EF4F4" w14:textId="77777777" w:rsidR="006A16A6" w:rsidRPr="00D20D7C" w:rsidRDefault="006A16A6" w:rsidP="00241E86">
            <w:pPr>
              <w:rPr>
                <w:rFonts w:ascii="Times New Roman" w:hAnsi="Times New Roman"/>
                <w:sz w:val="20"/>
                <w:highlight w:val="yellow"/>
                <w:lang w:val="en-GB"/>
              </w:rPr>
            </w:pPr>
          </w:p>
        </w:tc>
      </w:tr>
      <w:tr w:rsidR="006A16A6" w:rsidRPr="007A3524" w14:paraId="21425809" w14:textId="77777777" w:rsidTr="00241E86">
        <w:tc>
          <w:tcPr>
            <w:tcW w:w="4428" w:type="dxa"/>
          </w:tcPr>
          <w:p w14:paraId="10A5B06D" w14:textId="77777777" w:rsidR="006A16A6" w:rsidRPr="007A3524" w:rsidRDefault="006A16A6" w:rsidP="00241E86">
            <w:pPr>
              <w:tabs>
                <w:tab w:val="left" w:pos="353"/>
              </w:tabs>
              <w:ind w:firstLine="567"/>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I generally agree.</w:t>
            </w:r>
          </w:p>
        </w:tc>
        <w:tc>
          <w:tcPr>
            <w:tcW w:w="1530" w:type="dxa"/>
            <w:vAlign w:val="center"/>
          </w:tcPr>
          <w:p w14:paraId="3F6E018A"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17.7 %</w:t>
            </w:r>
          </w:p>
        </w:tc>
        <w:tc>
          <w:tcPr>
            <w:tcW w:w="1350" w:type="dxa"/>
          </w:tcPr>
          <w:p w14:paraId="7A3DF0F5"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3551E170" w14:textId="77777777" w:rsidR="006A16A6" w:rsidRPr="00D20D7C" w:rsidRDefault="006A16A6" w:rsidP="00241E86">
            <w:pPr>
              <w:rPr>
                <w:rFonts w:ascii="Times New Roman" w:hAnsi="Times New Roman"/>
                <w:sz w:val="20"/>
                <w:highlight w:val="yellow"/>
                <w:lang w:val="en-GB"/>
              </w:rPr>
            </w:pPr>
          </w:p>
        </w:tc>
      </w:tr>
      <w:tr w:rsidR="006A16A6" w:rsidRPr="007A3524" w14:paraId="52C56657" w14:textId="77777777" w:rsidTr="00241E86">
        <w:tc>
          <w:tcPr>
            <w:tcW w:w="4428" w:type="dxa"/>
          </w:tcPr>
          <w:p w14:paraId="09381CA7" w14:textId="77777777" w:rsidR="006A16A6" w:rsidRPr="007A3524" w:rsidRDefault="006A16A6" w:rsidP="00241E86">
            <w:pPr>
              <w:tabs>
                <w:tab w:val="left" w:pos="353"/>
              </w:tabs>
              <w:ind w:firstLine="567"/>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I completely agree.</w:t>
            </w:r>
          </w:p>
        </w:tc>
        <w:tc>
          <w:tcPr>
            <w:tcW w:w="1530" w:type="dxa"/>
            <w:vAlign w:val="center"/>
          </w:tcPr>
          <w:p w14:paraId="48AFDBCE" w14:textId="77777777" w:rsidR="006A16A6" w:rsidRPr="007A3524" w:rsidRDefault="006A16A6" w:rsidP="00241E86">
            <w:pPr>
              <w:tabs>
                <w:tab w:val="decimal" w:pos="231"/>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59.3 %</w:t>
            </w:r>
          </w:p>
        </w:tc>
        <w:tc>
          <w:tcPr>
            <w:tcW w:w="1350" w:type="dxa"/>
          </w:tcPr>
          <w:p w14:paraId="1D903CF6" w14:textId="77777777" w:rsidR="006A16A6" w:rsidRPr="007A3524" w:rsidRDefault="006A16A6" w:rsidP="00241E86">
            <w:pPr>
              <w:rPr>
                <w:rFonts w:ascii="Times New Roman" w:eastAsia="Calibri" w:hAnsi="Times New Roman" w:cs="Times New Roman"/>
                <w:sz w:val="20"/>
                <w:szCs w:val="20"/>
                <w:lang w:val="en-GB"/>
              </w:rPr>
            </w:pPr>
          </w:p>
        </w:tc>
        <w:tc>
          <w:tcPr>
            <w:tcW w:w="1890" w:type="dxa"/>
          </w:tcPr>
          <w:p w14:paraId="417F7C03" w14:textId="77777777" w:rsidR="006A16A6" w:rsidRPr="00D20D7C" w:rsidRDefault="006A16A6" w:rsidP="00241E86">
            <w:pPr>
              <w:rPr>
                <w:rFonts w:ascii="Times New Roman" w:hAnsi="Times New Roman"/>
                <w:sz w:val="20"/>
                <w:highlight w:val="yellow"/>
                <w:lang w:val="en-GB"/>
              </w:rPr>
            </w:pPr>
          </w:p>
        </w:tc>
      </w:tr>
    </w:tbl>
    <w:p w14:paraId="79F3FCFB" w14:textId="77777777" w:rsidR="006A16A6" w:rsidRPr="009E1686" w:rsidRDefault="006A16A6" w:rsidP="006A16A6">
      <w:pPr>
        <w:spacing w:after="0" w:line="240" w:lineRule="auto"/>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lastRenderedPageBreak/>
        <w:t xml:space="preserve">Note. HRK – Croatian </w:t>
      </w:r>
      <w:proofErr w:type="spellStart"/>
      <w:r w:rsidRPr="007A3524">
        <w:rPr>
          <w:rFonts w:ascii="Times New Roman" w:eastAsia="Calibri" w:hAnsi="Times New Roman" w:cs="Times New Roman"/>
          <w:sz w:val="20"/>
          <w:szCs w:val="20"/>
          <w:lang w:val="en-GB"/>
        </w:rPr>
        <w:t>kuna</w:t>
      </w:r>
      <w:proofErr w:type="spellEnd"/>
      <w:r w:rsidRPr="007A3524">
        <w:rPr>
          <w:rFonts w:ascii="Times New Roman" w:eastAsia="Calibri" w:hAnsi="Times New Roman" w:cs="Times New Roman"/>
          <w:sz w:val="20"/>
          <w:szCs w:val="20"/>
          <w:lang w:val="en-GB"/>
        </w:rPr>
        <w:t xml:space="preserve">. </w:t>
      </w:r>
      <w:proofErr w:type="spellStart"/>
      <w:proofErr w:type="gramStart"/>
      <w:r w:rsidRPr="007A3524">
        <w:rPr>
          <w:rFonts w:ascii="Times New Roman" w:eastAsia="Calibri" w:hAnsi="Times New Roman" w:cs="Times New Roman"/>
          <w:sz w:val="20"/>
          <w:szCs w:val="20"/>
          <w:vertAlign w:val="superscript"/>
          <w:lang w:val="en-GB"/>
        </w:rPr>
        <w:t>a</w:t>
      </w:r>
      <w:proofErr w:type="spellEnd"/>
      <w:proofErr w:type="gramEnd"/>
      <w:r w:rsidRPr="007A3524">
        <w:rPr>
          <w:rFonts w:ascii="Times New Roman" w:eastAsia="Calibri" w:hAnsi="Times New Roman" w:cs="Times New Roman"/>
          <w:sz w:val="20"/>
          <w:szCs w:val="20"/>
          <w:lang w:val="en-GB"/>
        </w:rPr>
        <w:t xml:space="preserve"> There were fewer than 10 apartments sold in the district in the period from 2012 to 2017. </w:t>
      </w:r>
      <w:proofErr w:type="gramStart"/>
      <w:r w:rsidRPr="007A3524">
        <w:rPr>
          <w:rFonts w:ascii="Times New Roman" w:eastAsia="Calibri" w:hAnsi="Times New Roman" w:cs="Times New Roman"/>
          <w:sz w:val="20"/>
          <w:szCs w:val="20"/>
          <w:vertAlign w:val="superscript"/>
          <w:lang w:val="en-GB"/>
        </w:rPr>
        <w:t>b</w:t>
      </w:r>
      <w:proofErr w:type="gramEnd"/>
      <w:r w:rsidRPr="007A3524">
        <w:rPr>
          <w:rFonts w:ascii="Times New Roman" w:eastAsia="Calibri" w:hAnsi="Times New Roman" w:cs="Times New Roman"/>
          <w:sz w:val="20"/>
          <w:szCs w:val="20"/>
          <w:lang w:val="en-GB"/>
        </w:rPr>
        <w:t xml:space="preserve"> The two negative categories were aggregated to form one category in the analysis.</w:t>
      </w:r>
      <w:r>
        <w:rPr>
          <w:rFonts w:ascii="Times New Roman" w:eastAsia="Calibri" w:hAnsi="Times New Roman" w:cs="Times New Roman"/>
          <w:sz w:val="20"/>
          <w:szCs w:val="20"/>
          <w:lang w:val="en-GB"/>
        </w:rPr>
        <w:t xml:space="preserve"> </w:t>
      </w:r>
      <w:r w:rsidRPr="00660754">
        <w:rPr>
          <w:rFonts w:ascii="Times New Roman" w:eastAsia="Calibri" w:hAnsi="Times New Roman" w:cs="Times New Roman"/>
          <w:sz w:val="20"/>
          <w:szCs w:val="20"/>
          <w:vertAlign w:val="superscript"/>
          <w:lang w:val="en-GB"/>
        </w:rPr>
        <w:t>*</w:t>
      </w:r>
      <w:r>
        <w:rPr>
          <w:rFonts w:ascii="Times New Roman" w:eastAsia="Calibri" w:hAnsi="Times New Roman" w:cs="Times New Roman"/>
          <w:sz w:val="20"/>
          <w:szCs w:val="20"/>
          <w:lang w:val="en-GB"/>
        </w:rPr>
        <w:t xml:space="preserve"> The difference between categories </w:t>
      </w:r>
      <w:proofErr w:type="gramStart"/>
      <w:r>
        <w:rPr>
          <w:rFonts w:ascii="Times New Roman" w:eastAsia="Calibri" w:hAnsi="Times New Roman" w:cs="Times New Roman"/>
          <w:sz w:val="20"/>
          <w:szCs w:val="20"/>
          <w:lang w:val="en-GB"/>
        </w:rPr>
        <w:t>was reported</w:t>
      </w:r>
      <w:proofErr w:type="gramEnd"/>
      <w:r>
        <w:rPr>
          <w:rFonts w:ascii="Times New Roman" w:eastAsia="Calibri" w:hAnsi="Times New Roman" w:cs="Times New Roman"/>
          <w:sz w:val="20"/>
          <w:szCs w:val="20"/>
          <w:lang w:val="en-GB"/>
        </w:rPr>
        <w:t xml:space="preserve"> if its effect size was substantial (i.e. if Cohen’s d values of both </w:t>
      </w:r>
      <w:proofErr w:type="spellStart"/>
      <w:r>
        <w:rPr>
          <w:rFonts w:ascii="Times New Roman" w:eastAsia="Calibri" w:hAnsi="Times New Roman" w:cs="Times New Roman"/>
          <w:sz w:val="20"/>
          <w:szCs w:val="20"/>
          <w:lang w:val="en-GB"/>
        </w:rPr>
        <w:t>Kruskal</w:t>
      </w:r>
      <w:proofErr w:type="spellEnd"/>
      <w:r>
        <w:rPr>
          <w:rFonts w:ascii="Times New Roman" w:eastAsia="Calibri" w:hAnsi="Times New Roman" w:cs="Times New Roman"/>
          <w:sz w:val="20"/>
          <w:szCs w:val="20"/>
          <w:lang w:val="en-GB"/>
        </w:rPr>
        <w:t xml:space="preserve">-Wallis and Mann-Whitney U tests were </w:t>
      </w:r>
      <w:r>
        <w:rPr>
          <w:rFonts w:ascii="Calibri" w:eastAsia="Calibri" w:hAnsi="Calibri" w:cs="Calibri"/>
          <w:sz w:val="20"/>
          <w:szCs w:val="20"/>
          <w:lang w:val="en-GB"/>
        </w:rPr>
        <w:t xml:space="preserve">≥ </w:t>
      </w:r>
      <w:r>
        <w:rPr>
          <w:rFonts w:ascii="Times New Roman" w:eastAsia="Calibri" w:hAnsi="Times New Roman" w:cs="Times New Roman"/>
          <w:sz w:val="20"/>
          <w:szCs w:val="20"/>
          <w:lang w:val="en-GB"/>
        </w:rPr>
        <w:t xml:space="preserve">.2; </w:t>
      </w:r>
      <w:proofErr w:type="spellStart"/>
      <w:r w:rsidRPr="0083286A">
        <w:rPr>
          <w:rFonts w:ascii="Times New Roman" w:eastAsia="Calibri" w:hAnsi="Times New Roman" w:cs="Times New Roman"/>
          <w:sz w:val="20"/>
          <w:szCs w:val="20"/>
          <w:lang w:val="en-GB"/>
        </w:rPr>
        <w:t>Lenhard</w:t>
      </w:r>
      <w:proofErr w:type="spellEnd"/>
      <w:r w:rsidRPr="0083286A">
        <w:rPr>
          <w:rFonts w:ascii="Times New Roman" w:eastAsia="Calibri" w:hAnsi="Times New Roman" w:cs="Times New Roman"/>
          <w:sz w:val="20"/>
          <w:szCs w:val="20"/>
          <w:lang w:val="en-GB"/>
        </w:rPr>
        <w:t xml:space="preserve"> and </w:t>
      </w:r>
      <w:proofErr w:type="spellStart"/>
      <w:r w:rsidRPr="0083286A">
        <w:rPr>
          <w:rFonts w:ascii="Times New Roman" w:eastAsia="Calibri" w:hAnsi="Times New Roman" w:cs="Times New Roman"/>
          <w:sz w:val="20"/>
          <w:szCs w:val="20"/>
          <w:lang w:val="en-GB"/>
        </w:rPr>
        <w:t>Lenhard</w:t>
      </w:r>
      <w:proofErr w:type="spellEnd"/>
      <w:r w:rsidRPr="0083286A">
        <w:rPr>
          <w:rFonts w:ascii="Times New Roman" w:eastAsia="Calibri" w:hAnsi="Times New Roman" w:cs="Times New Roman"/>
          <w:sz w:val="20"/>
          <w:szCs w:val="20"/>
          <w:lang w:val="en-GB"/>
        </w:rPr>
        <w:t>, 2016</w:t>
      </w:r>
      <w:r>
        <w:rPr>
          <w:rFonts w:ascii="Times New Roman" w:eastAsia="Calibri" w:hAnsi="Times New Roman" w:cs="Times New Roman"/>
          <w:sz w:val="20"/>
          <w:szCs w:val="20"/>
          <w:lang w:val="en-GB"/>
        </w:rPr>
        <w:t>).</w:t>
      </w:r>
    </w:p>
    <w:p w14:paraId="606D9963" w14:textId="77777777" w:rsidR="006A16A6" w:rsidRDefault="006A16A6" w:rsidP="006A16A6">
      <w:pPr>
        <w:spacing w:after="0" w:line="240" w:lineRule="auto"/>
        <w:rPr>
          <w:rFonts w:ascii="Times New Roman" w:eastAsia="Calibri" w:hAnsi="Times New Roman" w:cs="Times New Roman"/>
          <w:sz w:val="20"/>
          <w:szCs w:val="20"/>
          <w:lang w:val="en-GB"/>
        </w:rPr>
      </w:pPr>
    </w:p>
    <w:p w14:paraId="585017D5" w14:textId="557E3678" w:rsidR="006A16A6" w:rsidRDefault="006A16A6" w:rsidP="006A16A6">
      <w:pPr>
        <w:spacing w:after="0" w:line="240" w:lineRule="auto"/>
        <w:rPr>
          <w:rFonts w:ascii="Times New Roman" w:eastAsia="Calibri" w:hAnsi="Times New Roman" w:cs="Times New Roman"/>
          <w:sz w:val="20"/>
          <w:szCs w:val="20"/>
          <w:lang w:val="en-GB"/>
        </w:rPr>
      </w:pPr>
    </w:p>
    <w:p w14:paraId="65FC8484" w14:textId="23749D83" w:rsidR="00E9724C" w:rsidRDefault="00E9724C" w:rsidP="006A16A6">
      <w:pPr>
        <w:spacing w:after="0" w:line="240" w:lineRule="auto"/>
        <w:rPr>
          <w:rFonts w:ascii="Times New Roman" w:eastAsia="Calibri" w:hAnsi="Times New Roman" w:cs="Times New Roman"/>
          <w:sz w:val="20"/>
          <w:szCs w:val="20"/>
          <w:lang w:val="en-GB"/>
        </w:rPr>
      </w:pPr>
    </w:p>
    <w:p w14:paraId="4BCB7119" w14:textId="56BEA2FF" w:rsidR="00E9724C" w:rsidRDefault="00E9724C" w:rsidP="006A16A6">
      <w:pPr>
        <w:spacing w:after="0" w:line="240" w:lineRule="auto"/>
        <w:rPr>
          <w:rFonts w:ascii="Times New Roman" w:eastAsia="Calibri" w:hAnsi="Times New Roman" w:cs="Times New Roman"/>
          <w:sz w:val="20"/>
          <w:szCs w:val="20"/>
          <w:lang w:val="en-GB"/>
        </w:rPr>
      </w:pPr>
    </w:p>
    <w:p w14:paraId="6A800573" w14:textId="4C5DED6F" w:rsidR="00E9724C" w:rsidRDefault="00E9724C" w:rsidP="006A16A6">
      <w:pPr>
        <w:spacing w:after="0" w:line="240" w:lineRule="auto"/>
        <w:rPr>
          <w:rFonts w:ascii="Times New Roman" w:eastAsia="Calibri" w:hAnsi="Times New Roman" w:cs="Times New Roman"/>
          <w:sz w:val="20"/>
          <w:szCs w:val="20"/>
          <w:lang w:val="en-GB"/>
        </w:rPr>
      </w:pPr>
    </w:p>
    <w:p w14:paraId="4A6AA14D" w14:textId="77BAE8FA" w:rsidR="00E9724C" w:rsidRDefault="00E9724C" w:rsidP="006A16A6">
      <w:pPr>
        <w:spacing w:after="0" w:line="240" w:lineRule="auto"/>
        <w:rPr>
          <w:rFonts w:ascii="Times New Roman" w:eastAsia="Calibri" w:hAnsi="Times New Roman" w:cs="Times New Roman"/>
          <w:sz w:val="20"/>
          <w:szCs w:val="20"/>
          <w:lang w:val="en-GB"/>
        </w:rPr>
      </w:pPr>
    </w:p>
    <w:p w14:paraId="5888AF23" w14:textId="0EB3B659" w:rsidR="00E9724C" w:rsidRDefault="00E9724C" w:rsidP="006A16A6">
      <w:pPr>
        <w:spacing w:after="0" w:line="240" w:lineRule="auto"/>
        <w:rPr>
          <w:rFonts w:ascii="Times New Roman" w:eastAsia="Calibri" w:hAnsi="Times New Roman" w:cs="Times New Roman"/>
          <w:sz w:val="20"/>
          <w:szCs w:val="20"/>
          <w:lang w:val="en-GB"/>
        </w:rPr>
      </w:pPr>
    </w:p>
    <w:p w14:paraId="1F6725A3" w14:textId="531BA59F" w:rsidR="00E9724C" w:rsidRDefault="00E9724C" w:rsidP="006A16A6">
      <w:pPr>
        <w:spacing w:after="0" w:line="240" w:lineRule="auto"/>
        <w:rPr>
          <w:rFonts w:ascii="Times New Roman" w:eastAsia="Calibri" w:hAnsi="Times New Roman" w:cs="Times New Roman"/>
          <w:sz w:val="20"/>
          <w:szCs w:val="20"/>
          <w:lang w:val="en-GB"/>
        </w:rPr>
      </w:pPr>
    </w:p>
    <w:p w14:paraId="66ADA292" w14:textId="2E42A4C4" w:rsidR="00E9724C" w:rsidRDefault="00E9724C" w:rsidP="006A16A6">
      <w:pPr>
        <w:spacing w:after="0" w:line="240" w:lineRule="auto"/>
        <w:rPr>
          <w:rFonts w:ascii="Times New Roman" w:eastAsia="Calibri" w:hAnsi="Times New Roman" w:cs="Times New Roman"/>
          <w:sz w:val="20"/>
          <w:szCs w:val="20"/>
          <w:lang w:val="en-GB"/>
        </w:rPr>
      </w:pPr>
    </w:p>
    <w:p w14:paraId="4DB7B1FE" w14:textId="1B343F5B" w:rsidR="00E9724C" w:rsidRDefault="00E9724C" w:rsidP="006A16A6">
      <w:pPr>
        <w:spacing w:after="0" w:line="240" w:lineRule="auto"/>
        <w:rPr>
          <w:rFonts w:ascii="Times New Roman" w:eastAsia="Calibri" w:hAnsi="Times New Roman" w:cs="Times New Roman"/>
          <w:sz w:val="20"/>
          <w:szCs w:val="20"/>
          <w:lang w:val="en-GB"/>
        </w:rPr>
      </w:pPr>
    </w:p>
    <w:p w14:paraId="3E6F56FB" w14:textId="5068BB9E" w:rsidR="00E9724C" w:rsidRDefault="00E9724C" w:rsidP="006A16A6">
      <w:pPr>
        <w:spacing w:after="0" w:line="240" w:lineRule="auto"/>
        <w:rPr>
          <w:rFonts w:ascii="Times New Roman" w:eastAsia="Calibri" w:hAnsi="Times New Roman" w:cs="Times New Roman"/>
          <w:sz w:val="20"/>
          <w:szCs w:val="20"/>
          <w:lang w:val="en-GB"/>
        </w:rPr>
      </w:pPr>
    </w:p>
    <w:p w14:paraId="5CF26D78" w14:textId="5B5E82F6" w:rsidR="00E9724C" w:rsidRDefault="00E9724C" w:rsidP="006A16A6">
      <w:pPr>
        <w:spacing w:after="0" w:line="240" w:lineRule="auto"/>
        <w:rPr>
          <w:rFonts w:ascii="Times New Roman" w:eastAsia="Calibri" w:hAnsi="Times New Roman" w:cs="Times New Roman"/>
          <w:sz w:val="20"/>
          <w:szCs w:val="20"/>
          <w:lang w:val="en-GB"/>
        </w:rPr>
      </w:pPr>
    </w:p>
    <w:p w14:paraId="53D3068F" w14:textId="61AF8B11" w:rsidR="00E9724C" w:rsidRDefault="00E9724C" w:rsidP="006A16A6">
      <w:pPr>
        <w:spacing w:after="0" w:line="240" w:lineRule="auto"/>
        <w:rPr>
          <w:rFonts w:ascii="Times New Roman" w:eastAsia="Calibri" w:hAnsi="Times New Roman" w:cs="Times New Roman"/>
          <w:sz w:val="20"/>
          <w:szCs w:val="20"/>
          <w:lang w:val="en-GB"/>
        </w:rPr>
      </w:pPr>
    </w:p>
    <w:p w14:paraId="2676F354" w14:textId="3C61A36D" w:rsidR="00E9724C" w:rsidRDefault="00E9724C" w:rsidP="006A16A6">
      <w:pPr>
        <w:spacing w:after="0" w:line="240" w:lineRule="auto"/>
        <w:rPr>
          <w:rFonts w:ascii="Times New Roman" w:eastAsia="Calibri" w:hAnsi="Times New Roman" w:cs="Times New Roman"/>
          <w:sz w:val="20"/>
          <w:szCs w:val="20"/>
          <w:lang w:val="en-GB"/>
        </w:rPr>
      </w:pPr>
    </w:p>
    <w:p w14:paraId="08C75223" w14:textId="61A6AB68" w:rsidR="00E9724C" w:rsidRDefault="00E9724C" w:rsidP="006A16A6">
      <w:pPr>
        <w:spacing w:after="0" w:line="240" w:lineRule="auto"/>
        <w:rPr>
          <w:rFonts w:ascii="Times New Roman" w:eastAsia="Calibri" w:hAnsi="Times New Roman" w:cs="Times New Roman"/>
          <w:sz w:val="20"/>
          <w:szCs w:val="20"/>
          <w:lang w:val="en-GB"/>
        </w:rPr>
      </w:pPr>
    </w:p>
    <w:p w14:paraId="520A9271" w14:textId="7AA0D4D6" w:rsidR="00E9724C" w:rsidRDefault="00E9724C" w:rsidP="006A16A6">
      <w:pPr>
        <w:spacing w:after="0" w:line="240" w:lineRule="auto"/>
        <w:rPr>
          <w:rFonts w:ascii="Times New Roman" w:eastAsia="Calibri" w:hAnsi="Times New Roman" w:cs="Times New Roman"/>
          <w:sz w:val="20"/>
          <w:szCs w:val="20"/>
          <w:lang w:val="en-GB"/>
        </w:rPr>
      </w:pPr>
    </w:p>
    <w:p w14:paraId="07120324" w14:textId="590F370C" w:rsidR="00E9724C" w:rsidRDefault="00E9724C" w:rsidP="006A16A6">
      <w:pPr>
        <w:spacing w:after="0" w:line="240" w:lineRule="auto"/>
        <w:rPr>
          <w:rFonts w:ascii="Times New Roman" w:eastAsia="Calibri" w:hAnsi="Times New Roman" w:cs="Times New Roman"/>
          <w:sz w:val="20"/>
          <w:szCs w:val="20"/>
          <w:lang w:val="en-GB"/>
        </w:rPr>
      </w:pPr>
    </w:p>
    <w:p w14:paraId="37BF9F53" w14:textId="4D50166F" w:rsidR="00E9724C" w:rsidRDefault="00E9724C" w:rsidP="006A16A6">
      <w:pPr>
        <w:spacing w:after="0" w:line="240" w:lineRule="auto"/>
        <w:rPr>
          <w:rFonts w:ascii="Times New Roman" w:eastAsia="Calibri" w:hAnsi="Times New Roman" w:cs="Times New Roman"/>
          <w:sz w:val="20"/>
          <w:szCs w:val="20"/>
          <w:lang w:val="en-GB"/>
        </w:rPr>
      </w:pPr>
    </w:p>
    <w:p w14:paraId="14796DA7" w14:textId="11706488" w:rsidR="00E9724C" w:rsidRDefault="00E9724C" w:rsidP="006A16A6">
      <w:pPr>
        <w:spacing w:after="0" w:line="240" w:lineRule="auto"/>
        <w:rPr>
          <w:rFonts w:ascii="Times New Roman" w:eastAsia="Calibri" w:hAnsi="Times New Roman" w:cs="Times New Roman"/>
          <w:sz w:val="20"/>
          <w:szCs w:val="20"/>
          <w:lang w:val="en-GB"/>
        </w:rPr>
      </w:pPr>
    </w:p>
    <w:p w14:paraId="1FCD661D" w14:textId="25D31C8F" w:rsidR="00E9724C" w:rsidRDefault="00E9724C" w:rsidP="006A16A6">
      <w:pPr>
        <w:spacing w:after="0" w:line="240" w:lineRule="auto"/>
        <w:rPr>
          <w:rFonts w:ascii="Times New Roman" w:eastAsia="Calibri" w:hAnsi="Times New Roman" w:cs="Times New Roman"/>
          <w:sz w:val="20"/>
          <w:szCs w:val="20"/>
          <w:lang w:val="en-GB"/>
        </w:rPr>
      </w:pPr>
    </w:p>
    <w:p w14:paraId="2EFB725E" w14:textId="7F5F4082" w:rsidR="00E9724C" w:rsidRDefault="00E9724C" w:rsidP="006A16A6">
      <w:pPr>
        <w:spacing w:after="0" w:line="240" w:lineRule="auto"/>
        <w:rPr>
          <w:rFonts w:ascii="Times New Roman" w:eastAsia="Calibri" w:hAnsi="Times New Roman" w:cs="Times New Roman"/>
          <w:sz w:val="20"/>
          <w:szCs w:val="20"/>
          <w:lang w:val="en-GB"/>
        </w:rPr>
      </w:pPr>
    </w:p>
    <w:p w14:paraId="043ABC8F" w14:textId="5C605AD7" w:rsidR="00E9724C" w:rsidRDefault="00E9724C" w:rsidP="006A16A6">
      <w:pPr>
        <w:spacing w:after="0" w:line="240" w:lineRule="auto"/>
        <w:rPr>
          <w:rFonts w:ascii="Times New Roman" w:eastAsia="Calibri" w:hAnsi="Times New Roman" w:cs="Times New Roman"/>
          <w:sz w:val="20"/>
          <w:szCs w:val="20"/>
          <w:lang w:val="en-GB"/>
        </w:rPr>
      </w:pPr>
    </w:p>
    <w:p w14:paraId="7789E057" w14:textId="7F705B91" w:rsidR="00E9724C" w:rsidRDefault="00E9724C" w:rsidP="006A16A6">
      <w:pPr>
        <w:spacing w:after="0" w:line="240" w:lineRule="auto"/>
        <w:rPr>
          <w:rFonts w:ascii="Times New Roman" w:eastAsia="Calibri" w:hAnsi="Times New Roman" w:cs="Times New Roman"/>
          <w:sz w:val="20"/>
          <w:szCs w:val="20"/>
          <w:lang w:val="en-GB"/>
        </w:rPr>
      </w:pPr>
    </w:p>
    <w:p w14:paraId="1475D485" w14:textId="0766BC20" w:rsidR="00E9724C" w:rsidRDefault="00E9724C" w:rsidP="006A16A6">
      <w:pPr>
        <w:spacing w:after="0" w:line="240" w:lineRule="auto"/>
        <w:rPr>
          <w:rFonts w:ascii="Times New Roman" w:eastAsia="Calibri" w:hAnsi="Times New Roman" w:cs="Times New Roman"/>
          <w:sz w:val="20"/>
          <w:szCs w:val="20"/>
          <w:lang w:val="en-GB"/>
        </w:rPr>
      </w:pPr>
    </w:p>
    <w:p w14:paraId="0B4BC7E2" w14:textId="753FDBAD" w:rsidR="00E9724C" w:rsidRDefault="00E9724C" w:rsidP="006A16A6">
      <w:pPr>
        <w:spacing w:after="0" w:line="240" w:lineRule="auto"/>
        <w:rPr>
          <w:rFonts w:ascii="Times New Roman" w:eastAsia="Calibri" w:hAnsi="Times New Roman" w:cs="Times New Roman"/>
          <w:sz w:val="20"/>
          <w:szCs w:val="20"/>
          <w:lang w:val="en-GB"/>
        </w:rPr>
      </w:pPr>
    </w:p>
    <w:p w14:paraId="2DDB6CFE" w14:textId="55F10A8A" w:rsidR="00E9724C" w:rsidRDefault="00E9724C" w:rsidP="006A16A6">
      <w:pPr>
        <w:spacing w:after="0" w:line="240" w:lineRule="auto"/>
        <w:rPr>
          <w:rFonts w:ascii="Times New Roman" w:eastAsia="Calibri" w:hAnsi="Times New Roman" w:cs="Times New Roman"/>
          <w:sz w:val="20"/>
          <w:szCs w:val="20"/>
          <w:lang w:val="en-GB"/>
        </w:rPr>
      </w:pPr>
    </w:p>
    <w:p w14:paraId="1B2E27CD" w14:textId="54B9AAE1" w:rsidR="00E9724C" w:rsidRDefault="00E9724C" w:rsidP="006A16A6">
      <w:pPr>
        <w:spacing w:after="0" w:line="240" w:lineRule="auto"/>
        <w:rPr>
          <w:rFonts w:ascii="Times New Roman" w:eastAsia="Calibri" w:hAnsi="Times New Roman" w:cs="Times New Roman"/>
          <w:sz w:val="20"/>
          <w:szCs w:val="20"/>
          <w:lang w:val="en-GB"/>
        </w:rPr>
      </w:pPr>
    </w:p>
    <w:p w14:paraId="71DD578C" w14:textId="53747F95" w:rsidR="00E9724C" w:rsidRDefault="00E9724C" w:rsidP="006A16A6">
      <w:pPr>
        <w:spacing w:after="0" w:line="240" w:lineRule="auto"/>
        <w:rPr>
          <w:rFonts w:ascii="Times New Roman" w:eastAsia="Calibri" w:hAnsi="Times New Roman" w:cs="Times New Roman"/>
          <w:sz w:val="20"/>
          <w:szCs w:val="20"/>
          <w:lang w:val="en-GB"/>
        </w:rPr>
      </w:pPr>
    </w:p>
    <w:p w14:paraId="374F5C5C" w14:textId="7A96F81B" w:rsidR="00E9724C" w:rsidRDefault="00E9724C" w:rsidP="006A16A6">
      <w:pPr>
        <w:spacing w:after="0" w:line="240" w:lineRule="auto"/>
        <w:rPr>
          <w:rFonts w:ascii="Times New Roman" w:eastAsia="Calibri" w:hAnsi="Times New Roman" w:cs="Times New Roman"/>
          <w:sz w:val="20"/>
          <w:szCs w:val="20"/>
          <w:lang w:val="en-GB"/>
        </w:rPr>
      </w:pPr>
    </w:p>
    <w:p w14:paraId="0CB916FA" w14:textId="33B32F57" w:rsidR="00E9724C" w:rsidRDefault="00E9724C" w:rsidP="006A16A6">
      <w:pPr>
        <w:spacing w:after="0" w:line="240" w:lineRule="auto"/>
        <w:rPr>
          <w:rFonts w:ascii="Times New Roman" w:eastAsia="Calibri" w:hAnsi="Times New Roman" w:cs="Times New Roman"/>
          <w:sz w:val="20"/>
          <w:szCs w:val="20"/>
          <w:lang w:val="en-GB"/>
        </w:rPr>
      </w:pPr>
    </w:p>
    <w:p w14:paraId="7C2BF11F" w14:textId="3CCE2E45" w:rsidR="00E9724C" w:rsidRDefault="00E9724C" w:rsidP="006A16A6">
      <w:pPr>
        <w:spacing w:after="0" w:line="240" w:lineRule="auto"/>
        <w:rPr>
          <w:rFonts w:ascii="Times New Roman" w:eastAsia="Calibri" w:hAnsi="Times New Roman" w:cs="Times New Roman"/>
          <w:sz w:val="20"/>
          <w:szCs w:val="20"/>
          <w:lang w:val="en-GB"/>
        </w:rPr>
      </w:pPr>
    </w:p>
    <w:p w14:paraId="4CD1D838" w14:textId="2960BD4D" w:rsidR="00E9724C" w:rsidRDefault="00E9724C" w:rsidP="006A16A6">
      <w:pPr>
        <w:spacing w:after="0" w:line="240" w:lineRule="auto"/>
        <w:rPr>
          <w:rFonts w:ascii="Times New Roman" w:eastAsia="Calibri" w:hAnsi="Times New Roman" w:cs="Times New Roman"/>
          <w:sz w:val="20"/>
          <w:szCs w:val="20"/>
          <w:lang w:val="en-GB"/>
        </w:rPr>
      </w:pPr>
    </w:p>
    <w:p w14:paraId="7F4B0E75" w14:textId="7D769663" w:rsidR="00E9724C" w:rsidRDefault="00E9724C" w:rsidP="006A16A6">
      <w:pPr>
        <w:spacing w:after="0" w:line="240" w:lineRule="auto"/>
        <w:rPr>
          <w:rFonts w:ascii="Times New Roman" w:eastAsia="Calibri" w:hAnsi="Times New Roman" w:cs="Times New Roman"/>
          <w:sz w:val="20"/>
          <w:szCs w:val="20"/>
          <w:lang w:val="en-GB"/>
        </w:rPr>
      </w:pPr>
    </w:p>
    <w:p w14:paraId="497445C8" w14:textId="0CA5E034" w:rsidR="00E9724C" w:rsidRDefault="00E9724C" w:rsidP="006A16A6">
      <w:pPr>
        <w:spacing w:after="0" w:line="240" w:lineRule="auto"/>
        <w:rPr>
          <w:rFonts w:ascii="Times New Roman" w:eastAsia="Calibri" w:hAnsi="Times New Roman" w:cs="Times New Roman"/>
          <w:sz w:val="20"/>
          <w:szCs w:val="20"/>
          <w:lang w:val="en-GB"/>
        </w:rPr>
      </w:pPr>
    </w:p>
    <w:p w14:paraId="5296D680" w14:textId="7FAFBB65" w:rsidR="00E9724C" w:rsidRDefault="00E9724C" w:rsidP="006A16A6">
      <w:pPr>
        <w:spacing w:after="0" w:line="240" w:lineRule="auto"/>
        <w:rPr>
          <w:rFonts w:ascii="Times New Roman" w:eastAsia="Calibri" w:hAnsi="Times New Roman" w:cs="Times New Roman"/>
          <w:sz w:val="20"/>
          <w:szCs w:val="20"/>
          <w:lang w:val="en-GB"/>
        </w:rPr>
      </w:pPr>
    </w:p>
    <w:p w14:paraId="13B51C29" w14:textId="26061E26" w:rsidR="00E9724C" w:rsidRDefault="00E9724C" w:rsidP="006A16A6">
      <w:pPr>
        <w:spacing w:after="0" w:line="240" w:lineRule="auto"/>
        <w:rPr>
          <w:rFonts w:ascii="Times New Roman" w:eastAsia="Calibri" w:hAnsi="Times New Roman" w:cs="Times New Roman"/>
          <w:sz w:val="20"/>
          <w:szCs w:val="20"/>
          <w:lang w:val="en-GB"/>
        </w:rPr>
      </w:pPr>
    </w:p>
    <w:p w14:paraId="53BF55B2" w14:textId="6E4768D9" w:rsidR="00E9724C" w:rsidRDefault="00E9724C" w:rsidP="006A16A6">
      <w:pPr>
        <w:spacing w:after="0" w:line="240" w:lineRule="auto"/>
        <w:rPr>
          <w:rFonts w:ascii="Times New Roman" w:eastAsia="Calibri" w:hAnsi="Times New Roman" w:cs="Times New Roman"/>
          <w:sz w:val="20"/>
          <w:szCs w:val="20"/>
          <w:lang w:val="en-GB"/>
        </w:rPr>
      </w:pPr>
    </w:p>
    <w:p w14:paraId="448E4F35" w14:textId="22818031" w:rsidR="00E9724C" w:rsidRDefault="00E9724C" w:rsidP="006A16A6">
      <w:pPr>
        <w:spacing w:after="0" w:line="240" w:lineRule="auto"/>
        <w:rPr>
          <w:rFonts w:ascii="Times New Roman" w:eastAsia="Calibri" w:hAnsi="Times New Roman" w:cs="Times New Roman"/>
          <w:sz w:val="20"/>
          <w:szCs w:val="20"/>
          <w:lang w:val="en-GB"/>
        </w:rPr>
      </w:pPr>
    </w:p>
    <w:p w14:paraId="5D1FACC5" w14:textId="2333DAA9" w:rsidR="00E9724C" w:rsidRDefault="00E9724C" w:rsidP="006A16A6">
      <w:pPr>
        <w:spacing w:after="0" w:line="240" w:lineRule="auto"/>
        <w:rPr>
          <w:rFonts w:ascii="Times New Roman" w:eastAsia="Calibri" w:hAnsi="Times New Roman" w:cs="Times New Roman"/>
          <w:sz w:val="20"/>
          <w:szCs w:val="20"/>
          <w:lang w:val="en-GB"/>
        </w:rPr>
      </w:pPr>
    </w:p>
    <w:p w14:paraId="175837C0" w14:textId="2E5F76A0" w:rsidR="00E9724C" w:rsidRDefault="00E9724C" w:rsidP="006A16A6">
      <w:pPr>
        <w:spacing w:after="0" w:line="240" w:lineRule="auto"/>
        <w:rPr>
          <w:rFonts w:ascii="Times New Roman" w:eastAsia="Calibri" w:hAnsi="Times New Roman" w:cs="Times New Roman"/>
          <w:sz w:val="20"/>
          <w:szCs w:val="20"/>
          <w:lang w:val="en-GB"/>
        </w:rPr>
      </w:pPr>
    </w:p>
    <w:p w14:paraId="1F56A29B" w14:textId="59A8DCEA" w:rsidR="00E9724C" w:rsidRDefault="00E9724C" w:rsidP="006A16A6">
      <w:pPr>
        <w:spacing w:after="0" w:line="240" w:lineRule="auto"/>
        <w:rPr>
          <w:rFonts w:ascii="Times New Roman" w:eastAsia="Calibri" w:hAnsi="Times New Roman" w:cs="Times New Roman"/>
          <w:sz w:val="20"/>
          <w:szCs w:val="20"/>
          <w:lang w:val="en-GB"/>
        </w:rPr>
      </w:pPr>
    </w:p>
    <w:p w14:paraId="3E2FD739" w14:textId="4C6073DB" w:rsidR="00E9724C" w:rsidRDefault="00E9724C" w:rsidP="006A16A6">
      <w:pPr>
        <w:spacing w:after="0" w:line="240" w:lineRule="auto"/>
        <w:rPr>
          <w:rFonts w:ascii="Times New Roman" w:eastAsia="Calibri" w:hAnsi="Times New Roman" w:cs="Times New Roman"/>
          <w:sz w:val="20"/>
          <w:szCs w:val="20"/>
          <w:lang w:val="en-GB"/>
        </w:rPr>
      </w:pPr>
    </w:p>
    <w:p w14:paraId="2B4983B5" w14:textId="3E4E86DA" w:rsidR="00E9724C" w:rsidRDefault="00E9724C" w:rsidP="006A16A6">
      <w:pPr>
        <w:spacing w:after="0" w:line="240" w:lineRule="auto"/>
        <w:rPr>
          <w:rFonts w:ascii="Times New Roman" w:eastAsia="Calibri" w:hAnsi="Times New Roman" w:cs="Times New Roman"/>
          <w:sz w:val="20"/>
          <w:szCs w:val="20"/>
          <w:lang w:val="en-GB"/>
        </w:rPr>
      </w:pPr>
    </w:p>
    <w:p w14:paraId="659839B3" w14:textId="1BEA866F" w:rsidR="00E9724C" w:rsidRDefault="00E9724C" w:rsidP="006A16A6">
      <w:pPr>
        <w:spacing w:after="0" w:line="240" w:lineRule="auto"/>
        <w:rPr>
          <w:rFonts w:ascii="Times New Roman" w:eastAsia="Calibri" w:hAnsi="Times New Roman" w:cs="Times New Roman"/>
          <w:sz w:val="20"/>
          <w:szCs w:val="20"/>
          <w:lang w:val="en-GB"/>
        </w:rPr>
      </w:pPr>
    </w:p>
    <w:p w14:paraId="0F341436" w14:textId="5BF824D2" w:rsidR="00E9724C" w:rsidRDefault="00E9724C" w:rsidP="006A16A6">
      <w:pPr>
        <w:spacing w:after="0" w:line="240" w:lineRule="auto"/>
        <w:rPr>
          <w:rFonts w:ascii="Times New Roman" w:eastAsia="Calibri" w:hAnsi="Times New Roman" w:cs="Times New Roman"/>
          <w:sz w:val="20"/>
          <w:szCs w:val="20"/>
          <w:lang w:val="en-GB"/>
        </w:rPr>
      </w:pPr>
    </w:p>
    <w:p w14:paraId="59A977E3" w14:textId="55691302" w:rsidR="00E9724C" w:rsidRDefault="00E9724C" w:rsidP="006A16A6">
      <w:pPr>
        <w:spacing w:after="0" w:line="240" w:lineRule="auto"/>
        <w:rPr>
          <w:rFonts w:ascii="Times New Roman" w:eastAsia="Calibri" w:hAnsi="Times New Roman" w:cs="Times New Roman"/>
          <w:sz w:val="20"/>
          <w:szCs w:val="20"/>
          <w:lang w:val="en-GB"/>
        </w:rPr>
      </w:pPr>
    </w:p>
    <w:p w14:paraId="3B0B21DF" w14:textId="351F424D" w:rsidR="00E9724C" w:rsidRDefault="00E9724C" w:rsidP="006A16A6">
      <w:pPr>
        <w:spacing w:after="0" w:line="240" w:lineRule="auto"/>
        <w:rPr>
          <w:rFonts w:ascii="Times New Roman" w:eastAsia="Calibri" w:hAnsi="Times New Roman" w:cs="Times New Roman"/>
          <w:sz w:val="20"/>
          <w:szCs w:val="20"/>
          <w:lang w:val="en-GB"/>
        </w:rPr>
      </w:pPr>
    </w:p>
    <w:p w14:paraId="0B3F5918" w14:textId="1849AE62" w:rsidR="00E9724C" w:rsidRDefault="00E9724C" w:rsidP="006A16A6">
      <w:pPr>
        <w:spacing w:after="0" w:line="240" w:lineRule="auto"/>
        <w:rPr>
          <w:rFonts w:ascii="Times New Roman" w:eastAsia="Calibri" w:hAnsi="Times New Roman" w:cs="Times New Roman"/>
          <w:sz w:val="20"/>
          <w:szCs w:val="20"/>
          <w:lang w:val="en-GB"/>
        </w:rPr>
      </w:pPr>
    </w:p>
    <w:p w14:paraId="5DB3B613" w14:textId="525CD3E3" w:rsidR="00E9724C" w:rsidRDefault="00E9724C" w:rsidP="006A16A6">
      <w:pPr>
        <w:spacing w:after="0" w:line="240" w:lineRule="auto"/>
        <w:rPr>
          <w:rFonts w:ascii="Times New Roman" w:eastAsia="Calibri" w:hAnsi="Times New Roman" w:cs="Times New Roman"/>
          <w:sz w:val="20"/>
          <w:szCs w:val="20"/>
          <w:lang w:val="en-GB"/>
        </w:rPr>
      </w:pPr>
    </w:p>
    <w:p w14:paraId="4E399543" w14:textId="12201777" w:rsidR="00E9724C" w:rsidRDefault="00E9724C" w:rsidP="006A16A6">
      <w:pPr>
        <w:spacing w:after="0" w:line="240" w:lineRule="auto"/>
        <w:rPr>
          <w:rFonts w:ascii="Times New Roman" w:eastAsia="Calibri" w:hAnsi="Times New Roman" w:cs="Times New Roman"/>
          <w:sz w:val="20"/>
          <w:szCs w:val="20"/>
          <w:lang w:val="en-GB"/>
        </w:rPr>
      </w:pPr>
    </w:p>
    <w:p w14:paraId="7430E7D3" w14:textId="133A8151" w:rsidR="00E9724C" w:rsidRDefault="00E9724C" w:rsidP="006A16A6">
      <w:pPr>
        <w:spacing w:after="0" w:line="240" w:lineRule="auto"/>
        <w:rPr>
          <w:rFonts w:ascii="Times New Roman" w:eastAsia="Calibri" w:hAnsi="Times New Roman" w:cs="Times New Roman"/>
          <w:sz w:val="20"/>
          <w:szCs w:val="20"/>
          <w:lang w:val="en-GB"/>
        </w:rPr>
      </w:pPr>
    </w:p>
    <w:p w14:paraId="467FB70C" w14:textId="2C9E3129" w:rsidR="00E9724C" w:rsidRDefault="00E9724C" w:rsidP="006A16A6">
      <w:pPr>
        <w:spacing w:after="0" w:line="240" w:lineRule="auto"/>
        <w:rPr>
          <w:rFonts w:ascii="Times New Roman" w:eastAsia="Calibri" w:hAnsi="Times New Roman" w:cs="Times New Roman"/>
          <w:sz w:val="20"/>
          <w:szCs w:val="20"/>
          <w:lang w:val="en-GB"/>
        </w:rPr>
      </w:pPr>
    </w:p>
    <w:p w14:paraId="4BD0B7A7" w14:textId="21225FA1" w:rsidR="00E9724C" w:rsidRDefault="00E9724C" w:rsidP="006A16A6">
      <w:pPr>
        <w:spacing w:after="0" w:line="240" w:lineRule="auto"/>
        <w:rPr>
          <w:rFonts w:ascii="Times New Roman" w:eastAsia="Calibri" w:hAnsi="Times New Roman" w:cs="Times New Roman"/>
          <w:sz w:val="20"/>
          <w:szCs w:val="20"/>
          <w:lang w:val="en-GB"/>
        </w:rPr>
      </w:pPr>
    </w:p>
    <w:p w14:paraId="3EBB74C9" w14:textId="387C1FEE" w:rsidR="00E9724C" w:rsidRDefault="00E9724C" w:rsidP="006A16A6">
      <w:pPr>
        <w:spacing w:after="0" w:line="240" w:lineRule="auto"/>
        <w:rPr>
          <w:rFonts w:ascii="Times New Roman" w:eastAsia="Calibri" w:hAnsi="Times New Roman" w:cs="Times New Roman"/>
          <w:sz w:val="20"/>
          <w:szCs w:val="20"/>
          <w:lang w:val="en-GB"/>
        </w:rPr>
      </w:pPr>
    </w:p>
    <w:p w14:paraId="0CE1D04B" w14:textId="77777777" w:rsidR="00E9724C" w:rsidRDefault="00E9724C" w:rsidP="006A16A6">
      <w:pPr>
        <w:spacing w:after="0" w:line="240" w:lineRule="auto"/>
        <w:rPr>
          <w:rFonts w:ascii="Times New Roman" w:eastAsia="Calibri" w:hAnsi="Times New Roman" w:cs="Times New Roman"/>
          <w:sz w:val="20"/>
          <w:szCs w:val="20"/>
          <w:lang w:val="en-GB"/>
        </w:rPr>
      </w:pPr>
    </w:p>
    <w:p w14:paraId="2C8663C1" w14:textId="67A24C25" w:rsidR="006A16A6" w:rsidRPr="007A3524" w:rsidRDefault="006A16A6" w:rsidP="006A16A6">
      <w:pPr>
        <w:spacing w:after="0" w:line="240" w:lineRule="auto"/>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lastRenderedPageBreak/>
        <w:t>Table 2. Multilevel ordinal logistic regression model of elementary school pupils’ aspirations for tertiary education</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134"/>
        <w:gridCol w:w="851"/>
        <w:gridCol w:w="851"/>
      </w:tblGrid>
      <w:tr w:rsidR="006A16A6" w:rsidRPr="007A3524" w14:paraId="71A905D6" w14:textId="77777777" w:rsidTr="00241E86">
        <w:trPr>
          <w:gridAfter w:val="1"/>
          <w:wAfter w:w="851" w:type="dxa"/>
        </w:trPr>
        <w:tc>
          <w:tcPr>
            <w:tcW w:w="3369" w:type="dxa"/>
          </w:tcPr>
          <w:p w14:paraId="3AADAEB7" w14:textId="77777777" w:rsidR="006A16A6" w:rsidRPr="007A3524" w:rsidRDefault="006A16A6" w:rsidP="00241E86">
            <w:pPr>
              <w:rPr>
                <w:rFonts w:ascii="Times New Roman" w:eastAsia="Calibri" w:hAnsi="Times New Roman" w:cs="Times New Roman"/>
                <w:sz w:val="20"/>
                <w:szCs w:val="20"/>
                <w:lang w:val="en-GB"/>
              </w:rPr>
            </w:pPr>
          </w:p>
        </w:tc>
        <w:tc>
          <w:tcPr>
            <w:tcW w:w="1134" w:type="dxa"/>
          </w:tcPr>
          <w:p w14:paraId="341486E3"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B</w:t>
            </w:r>
          </w:p>
        </w:tc>
        <w:tc>
          <w:tcPr>
            <w:tcW w:w="851" w:type="dxa"/>
          </w:tcPr>
          <w:p w14:paraId="1287753B"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OR</w:t>
            </w:r>
          </w:p>
        </w:tc>
      </w:tr>
      <w:tr w:rsidR="006A16A6" w:rsidRPr="007A3524" w14:paraId="0E26EBDF" w14:textId="77777777" w:rsidTr="00241E86">
        <w:trPr>
          <w:gridAfter w:val="1"/>
          <w:wAfter w:w="851" w:type="dxa"/>
        </w:trPr>
        <w:tc>
          <w:tcPr>
            <w:tcW w:w="3369" w:type="dxa"/>
            <w:tcBorders>
              <w:bottom w:val="single" w:sz="4" w:space="0" w:color="auto"/>
            </w:tcBorders>
          </w:tcPr>
          <w:p w14:paraId="7C51E5CA" w14:textId="77777777" w:rsidR="006A16A6" w:rsidRPr="007A3524" w:rsidRDefault="006A16A6" w:rsidP="00241E86">
            <w:pPr>
              <w:rPr>
                <w:rFonts w:ascii="Times New Roman" w:eastAsia="Calibri" w:hAnsi="Times New Roman" w:cs="Times New Roman"/>
                <w:sz w:val="20"/>
                <w:szCs w:val="20"/>
                <w:lang w:val="en-GB"/>
              </w:rPr>
            </w:pPr>
          </w:p>
        </w:tc>
        <w:tc>
          <w:tcPr>
            <w:tcW w:w="1134" w:type="dxa"/>
            <w:tcBorders>
              <w:bottom w:val="single" w:sz="4" w:space="0" w:color="auto"/>
            </w:tcBorders>
          </w:tcPr>
          <w:p w14:paraId="6CE96ABE" w14:textId="77777777" w:rsidR="006A16A6" w:rsidRPr="007A3524" w:rsidRDefault="006A16A6" w:rsidP="00241E86">
            <w:pPr>
              <w:jc w:val="center"/>
              <w:rPr>
                <w:rFonts w:ascii="Times New Roman" w:eastAsia="Calibri" w:hAnsi="Times New Roman" w:cs="Times New Roman"/>
                <w:sz w:val="20"/>
                <w:szCs w:val="20"/>
                <w:lang w:val="en-GB"/>
              </w:rPr>
            </w:pPr>
          </w:p>
        </w:tc>
        <w:tc>
          <w:tcPr>
            <w:tcW w:w="851" w:type="dxa"/>
            <w:tcBorders>
              <w:bottom w:val="single" w:sz="4" w:space="0" w:color="auto"/>
            </w:tcBorders>
          </w:tcPr>
          <w:p w14:paraId="51B0FEAC" w14:textId="77777777" w:rsidR="006A16A6" w:rsidRPr="007A3524" w:rsidRDefault="006A16A6" w:rsidP="00241E86">
            <w:pPr>
              <w:jc w:val="center"/>
              <w:rPr>
                <w:rFonts w:ascii="Times New Roman" w:eastAsia="Calibri" w:hAnsi="Times New Roman" w:cs="Times New Roman"/>
                <w:sz w:val="20"/>
                <w:szCs w:val="20"/>
                <w:lang w:val="en-GB"/>
              </w:rPr>
            </w:pPr>
          </w:p>
        </w:tc>
      </w:tr>
      <w:tr w:rsidR="006A16A6" w:rsidRPr="007A3524" w14:paraId="7B1FFEC4" w14:textId="77777777" w:rsidTr="00241E86">
        <w:tc>
          <w:tcPr>
            <w:tcW w:w="3369" w:type="dxa"/>
            <w:tcBorders>
              <w:top w:val="single" w:sz="4" w:space="0" w:color="auto"/>
              <w:bottom w:val="nil"/>
            </w:tcBorders>
          </w:tcPr>
          <w:p w14:paraId="06338642" w14:textId="77777777" w:rsidR="006A16A6" w:rsidRPr="007A3524" w:rsidRDefault="006A16A6" w:rsidP="00241E86">
            <w:pPr>
              <w:ind w:firstLine="28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Threshold (0)</w:t>
            </w:r>
          </w:p>
        </w:tc>
        <w:tc>
          <w:tcPr>
            <w:tcW w:w="1134" w:type="dxa"/>
            <w:tcBorders>
              <w:top w:val="single" w:sz="4" w:space="0" w:color="auto"/>
              <w:bottom w:val="nil"/>
            </w:tcBorders>
            <w:vAlign w:val="center"/>
          </w:tcPr>
          <w:p w14:paraId="01B246F4" w14:textId="1C9BCCDE"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-3.593</w:t>
            </w:r>
          </w:p>
        </w:tc>
        <w:tc>
          <w:tcPr>
            <w:tcW w:w="851" w:type="dxa"/>
            <w:gridSpan w:val="2"/>
            <w:tcBorders>
              <w:top w:val="single" w:sz="4" w:space="0" w:color="auto"/>
              <w:bottom w:val="nil"/>
            </w:tcBorders>
            <w:vAlign w:val="center"/>
          </w:tcPr>
          <w:p w14:paraId="2F58C23A"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0.028</w:t>
            </w:r>
          </w:p>
        </w:tc>
      </w:tr>
      <w:tr w:rsidR="006A16A6" w:rsidRPr="007A3524" w14:paraId="3457ABCE" w14:textId="77777777" w:rsidTr="00241E86">
        <w:trPr>
          <w:trHeight w:val="272"/>
        </w:trPr>
        <w:tc>
          <w:tcPr>
            <w:tcW w:w="3369" w:type="dxa"/>
            <w:tcBorders>
              <w:top w:val="nil"/>
            </w:tcBorders>
          </w:tcPr>
          <w:p w14:paraId="157D91ED" w14:textId="77777777" w:rsidR="006A16A6" w:rsidRPr="007A3524" w:rsidRDefault="006A16A6" w:rsidP="00241E86">
            <w:pPr>
              <w:ind w:firstLine="28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Threshold (1)</w:t>
            </w:r>
          </w:p>
        </w:tc>
        <w:tc>
          <w:tcPr>
            <w:tcW w:w="1134" w:type="dxa"/>
            <w:tcBorders>
              <w:top w:val="nil"/>
            </w:tcBorders>
            <w:vAlign w:val="center"/>
          </w:tcPr>
          <w:p w14:paraId="0D53FA28" w14:textId="7E1F1A4F"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-2.445</w:t>
            </w:r>
          </w:p>
        </w:tc>
        <w:tc>
          <w:tcPr>
            <w:tcW w:w="851" w:type="dxa"/>
            <w:gridSpan w:val="2"/>
            <w:tcBorders>
              <w:top w:val="nil"/>
            </w:tcBorders>
            <w:vAlign w:val="center"/>
          </w:tcPr>
          <w:p w14:paraId="69B087D3"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0.087</w:t>
            </w:r>
          </w:p>
        </w:tc>
      </w:tr>
      <w:tr w:rsidR="006A16A6" w:rsidRPr="007A3524" w14:paraId="7E72F715" w14:textId="77777777" w:rsidTr="00241E86">
        <w:trPr>
          <w:trHeight w:val="272"/>
        </w:trPr>
        <w:tc>
          <w:tcPr>
            <w:tcW w:w="3369" w:type="dxa"/>
            <w:tcBorders>
              <w:top w:val="nil"/>
            </w:tcBorders>
          </w:tcPr>
          <w:p w14:paraId="2266C4DF" w14:textId="77777777" w:rsidR="006A16A6" w:rsidRPr="007A3524" w:rsidRDefault="006A16A6" w:rsidP="00241E86">
            <w:pPr>
              <w:ind w:firstLine="28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Threshold (2)</w:t>
            </w:r>
          </w:p>
        </w:tc>
        <w:tc>
          <w:tcPr>
            <w:tcW w:w="1134" w:type="dxa"/>
            <w:tcBorders>
              <w:top w:val="nil"/>
            </w:tcBorders>
            <w:vAlign w:val="center"/>
          </w:tcPr>
          <w:p w14:paraId="5B9B59FB" w14:textId="0A415019"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-1.300</w:t>
            </w:r>
          </w:p>
        </w:tc>
        <w:tc>
          <w:tcPr>
            <w:tcW w:w="851" w:type="dxa"/>
            <w:gridSpan w:val="2"/>
            <w:tcBorders>
              <w:top w:val="nil"/>
            </w:tcBorders>
            <w:vAlign w:val="center"/>
          </w:tcPr>
          <w:p w14:paraId="71D7CA26"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0.273</w:t>
            </w:r>
          </w:p>
        </w:tc>
      </w:tr>
      <w:tr w:rsidR="006A16A6" w:rsidRPr="007A3524" w14:paraId="4DA26FFE" w14:textId="77777777" w:rsidTr="00241E86">
        <w:trPr>
          <w:trHeight w:val="272"/>
        </w:trPr>
        <w:tc>
          <w:tcPr>
            <w:tcW w:w="3369" w:type="dxa"/>
            <w:tcBorders>
              <w:top w:val="nil"/>
            </w:tcBorders>
          </w:tcPr>
          <w:p w14:paraId="1B7DD465" w14:textId="77777777" w:rsidR="006A16A6" w:rsidRPr="007A3524" w:rsidRDefault="006A16A6" w:rsidP="00241E86">
            <w:pPr>
              <w:ind w:firstLine="28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Gender (male)</w:t>
            </w:r>
          </w:p>
        </w:tc>
        <w:tc>
          <w:tcPr>
            <w:tcW w:w="1134" w:type="dxa"/>
            <w:tcBorders>
              <w:top w:val="nil"/>
            </w:tcBorders>
            <w:vAlign w:val="center"/>
          </w:tcPr>
          <w:p w14:paraId="4549F298" w14:textId="57ACEA9E"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-0.645</w:t>
            </w:r>
          </w:p>
        </w:tc>
        <w:tc>
          <w:tcPr>
            <w:tcW w:w="851" w:type="dxa"/>
            <w:gridSpan w:val="2"/>
            <w:tcBorders>
              <w:top w:val="nil"/>
            </w:tcBorders>
            <w:vAlign w:val="center"/>
          </w:tcPr>
          <w:p w14:paraId="40EC8B22"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0.525</w:t>
            </w:r>
          </w:p>
        </w:tc>
      </w:tr>
      <w:tr w:rsidR="006A16A6" w:rsidRPr="007A3524" w14:paraId="4A12D8AB" w14:textId="77777777" w:rsidTr="00241E86">
        <w:trPr>
          <w:gridAfter w:val="1"/>
          <w:wAfter w:w="851" w:type="dxa"/>
          <w:trHeight w:val="272"/>
        </w:trPr>
        <w:tc>
          <w:tcPr>
            <w:tcW w:w="3369" w:type="dxa"/>
            <w:tcBorders>
              <w:top w:val="nil"/>
            </w:tcBorders>
          </w:tcPr>
          <w:p w14:paraId="6BAF388A" w14:textId="77777777" w:rsidR="006A16A6" w:rsidRPr="007A3524" w:rsidRDefault="006A16A6" w:rsidP="00241E86">
            <w:pPr>
              <w:rPr>
                <w:rFonts w:ascii="Times New Roman" w:eastAsia="Calibri" w:hAnsi="Times New Roman" w:cs="Times New Roman"/>
                <w:sz w:val="20"/>
                <w:szCs w:val="20"/>
                <w:u w:val="single"/>
                <w:lang w:val="en-GB"/>
              </w:rPr>
            </w:pPr>
          </w:p>
        </w:tc>
        <w:tc>
          <w:tcPr>
            <w:tcW w:w="1134" w:type="dxa"/>
            <w:tcBorders>
              <w:top w:val="nil"/>
            </w:tcBorders>
            <w:vAlign w:val="center"/>
          </w:tcPr>
          <w:p w14:paraId="3C18FB19" w14:textId="77777777" w:rsidR="006A16A6" w:rsidRPr="007A3524" w:rsidRDefault="006A16A6" w:rsidP="00241E86">
            <w:pPr>
              <w:tabs>
                <w:tab w:val="decimal" w:pos="260"/>
              </w:tabs>
              <w:rPr>
                <w:rFonts w:ascii="Times New Roman" w:eastAsia="Calibri" w:hAnsi="Times New Roman" w:cs="Times New Roman"/>
                <w:sz w:val="20"/>
                <w:szCs w:val="20"/>
                <w:lang w:val="en-GB"/>
              </w:rPr>
            </w:pPr>
          </w:p>
        </w:tc>
        <w:tc>
          <w:tcPr>
            <w:tcW w:w="851" w:type="dxa"/>
            <w:tcBorders>
              <w:top w:val="nil"/>
            </w:tcBorders>
            <w:vAlign w:val="center"/>
          </w:tcPr>
          <w:p w14:paraId="2565B664" w14:textId="77777777" w:rsidR="006A16A6" w:rsidRPr="007A3524" w:rsidRDefault="006A16A6" w:rsidP="00241E86">
            <w:pPr>
              <w:rPr>
                <w:rFonts w:ascii="Times New Roman" w:eastAsia="Calibri" w:hAnsi="Times New Roman" w:cs="Times New Roman"/>
                <w:sz w:val="20"/>
                <w:szCs w:val="20"/>
                <w:lang w:val="en-GB"/>
              </w:rPr>
            </w:pPr>
          </w:p>
        </w:tc>
      </w:tr>
      <w:tr w:rsidR="006A16A6" w:rsidRPr="007A3524" w14:paraId="5C563261" w14:textId="77777777" w:rsidTr="00241E86">
        <w:trPr>
          <w:gridAfter w:val="1"/>
          <w:wAfter w:w="851" w:type="dxa"/>
          <w:trHeight w:val="272"/>
        </w:trPr>
        <w:tc>
          <w:tcPr>
            <w:tcW w:w="3369" w:type="dxa"/>
            <w:tcBorders>
              <w:top w:val="nil"/>
            </w:tcBorders>
          </w:tcPr>
          <w:p w14:paraId="500EF6C1" w14:textId="77777777" w:rsidR="006A16A6" w:rsidRPr="007A3524" w:rsidRDefault="006A16A6" w:rsidP="00241E86">
            <w:pPr>
              <w:rPr>
                <w:rFonts w:ascii="Times New Roman" w:eastAsia="Calibri" w:hAnsi="Times New Roman" w:cs="Times New Roman"/>
                <w:sz w:val="20"/>
                <w:szCs w:val="20"/>
                <w:u w:val="single"/>
                <w:lang w:val="en-GB"/>
              </w:rPr>
            </w:pPr>
            <w:r w:rsidRPr="007A3524">
              <w:rPr>
                <w:rFonts w:ascii="Times New Roman" w:eastAsia="Calibri" w:hAnsi="Times New Roman" w:cs="Times New Roman"/>
                <w:sz w:val="20"/>
                <w:szCs w:val="20"/>
                <w:u w:val="single"/>
                <w:lang w:val="en-GB"/>
              </w:rPr>
              <w:t>Status attainment</w:t>
            </w:r>
          </w:p>
        </w:tc>
        <w:tc>
          <w:tcPr>
            <w:tcW w:w="1134" w:type="dxa"/>
            <w:tcBorders>
              <w:top w:val="nil"/>
            </w:tcBorders>
            <w:vAlign w:val="center"/>
          </w:tcPr>
          <w:p w14:paraId="691D33C3" w14:textId="77777777" w:rsidR="006A16A6" w:rsidRPr="007A3524" w:rsidRDefault="006A16A6" w:rsidP="00241E86">
            <w:pPr>
              <w:tabs>
                <w:tab w:val="decimal" w:pos="260"/>
              </w:tabs>
              <w:rPr>
                <w:rFonts w:ascii="Times New Roman" w:eastAsia="Calibri" w:hAnsi="Times New Roman" w:cs="Times New Roman"/>
                <w:sz w:val="20"/>
                <w:szCs w:val="20"/>
                <w:lang w:val="en-GB"/>
              </w:rPr>
            </w:pPr>
          </w:p>
        </w:tc>
        <w:tc>
          <w:tcPr>
            <w:tcW w:w="851" w:type="dxa"/>
            <w:tcBorders>
              <w:top w:val="nil"/>
            </w:tcBorders>
            <w:vAlign w:val="center"/>
          </w:tcPr>
          <w:p w14:paraId="20579E07" w14:textId="77777777" w:rsidR="006A16A6" w:rsidRPr="007A3524" w:rsidRDefault="006A16A6" w:rsidP="00241E86">
            <w:pPr>
              <w:rPr>
                <w:rFonts w:ascii="Times New Roman" w:eastAsia="Calibri" w:hAnsi="Times New Roman" w:cs="Times New Roman"/>
                <w:sz w:val="20"/>
                <w:szCs w:val="20"/>
                <w:lang w:val="en-GB"/>
              </w:rPr>
            </w:pPr>
          </w:p>
        </w:tc>
      </w:tr>
      <w:tr w:rsidR="006A16A6" w:rsidRPr="007A3524" w14:paraId="2CC5EB7B" w14:textId="77777777" w:rsidTr="00241E86">
        <w:trPr>
          <w:gridAfter w:val="1"/>
          <w:wAfter w:w="851" w:type="dxa"/>
          <w:trHeight w:val="272"/>
        </w:trPr>
        <w:tc>
          <w:tcPr>
            <w:tcW w:w="3369" w:type="dxa"/>
            <w:tcBorders>
              <w:top w:val="nil"/>
            </w:tcBorders>
          </w:tcPr>
          <w:p w14:paraId="71D7AA26" w14:textId="77777777" w:rsidR="006A16A6" w:rsidRPr="007A3524" w:rsidRDefault="006A16A6" w:rsidP="00241E86">
            <w:pPr>
              <w:ind w:firstLine="284"/>
              <w:rPr>
                <w:rFonts w:ascii="Times New Roman" w:eastAsia="Calibri" w:hAnsi="Times New Roman" w:cs="Times New Roman"/>
                <w:sz w:val="20"/>
                <w:szCs w:val="20"/>
                <w:vertAlign w:val="superscript"/>
                <w:lang w:val="en-GB"/>
              </w:rPr>
            </w:pPr>
            <w:r w:rsidRPr="007A3524">
              <w:rPr>
                <w:rFonts w:ascii="Times New Roman" w:eastAsia="Calibri" w:hAnsi="Times New Roman" w:cs="Times New Roman"/>
                <w:sz w:val="20"/>
                <w:szCs w:val="20"/>
                <w:lang w:val="en-GB"/>
              </w:rPr>
              <w:t xml:space="preserve">Mother’s </w:t>
            </w:r>
            <w:proofErr w:type="spellStart"/>
            <w:r w:rsidRPr="007A3524">
              <w:rPr>
                <w:rFonts w:ascii="Times New Roman" w:eastAsia="Calibri" w:hAnsi="Times New Roman" w:cs="Times New Roman"/>
                <w:sz w:val="20"/>
                <w:szCs w:val="20"/>
                <w:lang w:val="en-GB"/>
              </w:rPr>
              <w:t>employment</w:t>
            </w:r>
            <w:r w:rsidRPr="007A3524">
              <w:rPr>
                <w:rFonts w:ascii="Times New Roman" w:eastAsia="Calibri" w:hAnsi="Times New Roman" w:cs="Times New Roman"/>
                <w:sz w:val="20"/>
                <w:szCs w:val="20"/>
                <w:vertAlign w:val="superscript"/>
                <w:lang w:val="en-GB"/>
              </w:rPr>
              <w:t>a</w:t>
            </w:r>
            <w:proofErr w:type="spellEnd"/>
          </w:p>
        </w:tc>
        <w:tc>
          <w:tcPr>
            <w:tcW w:w="1134" w:type="dxa"/>
            <w:tcBorders>
              <w:top w:val="nil"/>
            </w:tcBorders>
            <w:vAlign w:val="center"/>
          </w:tcPr>
          <w:p w14:paraId="79A757C1"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 </w:t>
            </w:r>
          </w:p>
        </w:tc>
        <w:tc>
          <w:tcPr>
            <w:tcW w:w="851" w:type="dxa"/>
            <w:tcBorders>
              <w:top w:val="nil"/>
            </w:tcBorders>
            <w:vAlign w:val="center"/>
          </w:tcPr>
          <w:p w14:paraId="23DE934E"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 </w:t>
            </w:r>
          </w:p>
        </w:tc>
      </w:tr>
      <w:tr w:rsidR="006A16A6" w:rsidRPr="007A3524" w14:paraId="4E575F64" w14:textId="77777777" w:rsidTr="00241E86">
        <w:tc>
          <w:tcPr>
            <w:tcW w:w="3369" w:type="dxa"/>
          </w:tcPr>
          <w:p w14:paraId="3FE7A6D9" w14:textId="77777777" w:rsidR="006A16A6" w:rsidRPr="007A3524" w:rsidRDefault="006A16A6" w:rsidP="00241E86">
            <w:pPr>
              <w:ind w:firstLine="567"/>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Unemployed</w:t>
            </w:r>
          </w:p>
        </w:tc>
        <w:tc>
          <w:tcPr>
            <w:tcW w:w="1134" w:type="dxa"/>
            <w:vAlign w:val="center"/>
          </w:tcPr>
          <w:p w14:paraId="34F8B284"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-0.028</w:t>
            </w:r>
          </w:p>
        </w:tc>
        <w:tc>
          <w:tcPr>
            <w:tcW w:w="851" w:type="dxa"/>
            <w:gridSpan w:val="2"/>
            <w:vAlign w:val="center"/>
          </w:tcPr>
          <w:p w14:paraId="43E54A12"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0.973</w:t>
            </w:r>
          </w:p>
        </w:tc>
      </w:tr>
      <w:tr w:rsidR="006A16A6" w:rsidRPr="007A3524" w14:paraId="2A163117" w14:textId="77777777" w:rsidTr="00241E86">
        <w:tc>
          <w:tcPr>
            <w:tcW w:w="3369" w:type="dxa"/>
          </w:tcPr>
          <w:p w14:paraId="08F36AC7" w14:textId="77777777" w:rsidR="006A16A6" w:rsidRPr="007A3524" w:rsidRDefault="006A16A6" w:rsidP="00241E86">
            <w:pPr>
              <w:ind w:firstLine="567"/>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Retired</w:t>
            </w:r>
          </w:p>
        </w:tc>
        <w:tc>
          <w:tcPr>
            <w:tcW w:w="1134" w:type="dxa"/>
            <w:vAlign w:val="center"/>
          </w:tcPr>
          <w:p w14:paraId="7D5419E6"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0.243</w:t>
            </w:r>
          </w:p>
        </w:tc>
        <w:tc>
          <w:tcPr>
            <w:tcW w:w="851" w:type="dxa"/>
            <w:gridSpan w:val="2"/>
            <w:vAlign w:val="center"/>
          </w:tcPr>
          <w:p w14:paraId="1E7282F2"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1.275</w:t>
            </w:r>
          </w:p>
        </w:tc>
      </w:tr>
      <w:tr w:rsidR="006A16A6" w:rsidRPr="007A3524" w14:paraId="0E4E7FDE" w14:textId="77777777" w:rsidTr="00241E86">
        <w:tc>
          <w:tcPr>
            <w:tcW w:w="3369" w:type="dxa"/>
          </w:tcPr>
          <w:p w14:paraId="30661B85" w14:textId="77777777" w:rsidR="006A16A6" w:rsidRPr="007A3524" w:rsidRDefault="006A16A6" w:rsidP="00241E86">
            <w:pPr>
              <w:ind w:firstLine="567"/>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I don’t know / Not applicable</w:t>
            </w:r>
          </w:p>
        </w:tc>
        <w:tc>
          <w:tcPr>
            <w:tcW w:w="1134" w:type="dxa"/>
            <w:vAlign w:val="center"/>
          </w:tcPr>
          <w:p w14:paraId="583A80D3"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0.453</w:t>
            </w:r>
          </w:p>
        </w:tc>
        <w:tc>
          <w:tcPr>
            <w:tcW w:w="851" w:type="dxa"/>
            <w:gridSpan w:val="2"/>
            <w:vAlign w:val="center"/>
          </w:tcPr>
          <w:p w14:paraId="576D11BE"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1.573</w:t>
            </w:r>
          </w:p>
        </w:tc>
      </w:tr>
      <w:tr w:rsidR="006A16A6" w:rsidRPr="007A3524" w14:paraId="05FF7D00" w14:textId="77777777" w:rsidTr="00241E86">
        <w:trPr>
          <w:gridAfter w:val="1"/>
          <w:wAfter w:w="851" w:type="dxa"/>
        </w:trPr>
        <w:tc>
          <w:tcPr>
            <w:tcW w:w="3369" w:type="dxa"/>
          </w:tcPr>
          <w:p w14:paraId="748C12F4" w14:textId="77777777" w:rsidR="006A16A6" w:rsidRPr="007A3524" w:rsidRDefault="006A16A6" w:rsidP="00241E86">
            <w:pPr>
              <w:ind w:firstLine="284"/>
              <w:rPr>
                <w:rFonts w:ascii="Times New Roman" w:eastAsia="Calibri" w:hAnsi="Times New Roman" w:cs="Times New Roman"/>
                <w:sz w:val="20"/>
                <w:szCs w:val="20"/>
                <w:vertAlign w:val="superscript"/>
                <w:lang w:val="en-GB"/>
              </w:rPr>
            </w:pPr>
            <w:r w:rsidRPr="007A3524">
              <w:rPr>
                <w:rFonts w:ascii="Times New Roman" w:eastAsia="Calibri" w:hAnsi="Times New Roman" w:cs="Times New Roman"/>
                <w:sz w:val="20"/>
                <w:szCs w:val="20"/>
                <w:lang w:val="en-GB"/>
              </w:rPr>
              <w:t xml:space="preserve">Father’s </w:t>
            </w:r>
            <w:proofErr w:type="spellStart"/>
            <w:r w:rsidRPr="007A3524">
              <w:rPr>
                <w:rFonts w:ascii="Times New Roman" w:eastAsia="Calibri" w:hAnsi="Times New Roman" w:cs="Times New Roman"/>
                <w:sz w:val="20"/>
                <w:szCs w:val="20"/>
                <w:lang w:val="en-GB"/>
              </w:rPr>
              <w:t>employment</w:t>
            </w:r>
            <w:r w:rsidRPr="007A3524">
              <w:rPr>
                <w:rFonts w:ascii="Times New Roman" w:eastAsia="Calibri" w:hAnsi="Times New Roman" w:cs="Times New Roman"/>
                <w:sz w:val="20"/>
                <w:szCs w:val="20"/>
                <w:vertAlign w:val="superscript"/>
                <w:lang w:val="en-GB"/>
              </w:rPr>
              <w:t>a</w:t>
            </w:r>
            <w:proofErr w:type="spellEnd"/>
          </w:p>
        </w:tc>
        <w:tc>
          <w:tcPr>
            <w:tcW w:w="1134" w:type="dxa"/>
            <w:vAlign w:val="center"/>
          </w:tcPr>
          <w:p w14:paraId="3CC01A65"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 </w:t>
            </w:r>
          </w:p>
        </w:tc>
        <w:tc>
          <w:tcPr>
            <w:tcW w:w="851" w:type="dxa"/>
            <w:vAlign w:val="center"/>
          </w:tcPr>
          <w:p w14:paraId="30C162FE"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 </w:t>
            </w:r>
          </w:p>
        </w:tc>
      </w:tr>
      <w:tr w:rsidR="006A16A6" w:rsidRPr="007A3524" w14:paraId="2886E952" w14:textId="77777777" w:rsidTr="00241E86">
        <w:tc>
          <w:tcPr>
            <w:tcW w:w="3369" w:type="dxa"/>
          </w:tcPr>
          <w:p w14:paraId="356B0A7E" w14:textId="77777777" w:rsidR="006A16A6" w:rsidRPr="007A3524" w:rsidRDefault="006A16A6" w:rsidP="00241E86">
            <w:pPr>
              <w:ind w:firstLine="567"/>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Unemployed</w:t>
            </w:r>
          </w:p>
        </w:tc>
        <w:tc>
          <w:tcPr>
            <w:tcW w:w="1134" w:type="dxa"/>
            <w:vAlign w:val="center"/>
          </w:tcPr>
          <w:p w14:paraId="667E6507"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-0.674</w:t>
            </w:r>
          </w:p>
        </w:tc>
        <w:tc>
          <w:tcPr>
            <w:tcW w:w="851" w:type="dxa"/>
            <w:gridSpan w:val="2"/>
            <w:vAlign w:val="center"/>
          </w:tcPr>
          <w:p w14:paraId="19F6B4E8"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0.510</w:t>
            </w:r>
          </w:p>
        </w:tc>
      </w:tr>
      <w:tr w:rsidR="006A16A6" w:rsidRPr="007A3524" w14:paraId="31D10BF2" w14:textId="77777777" w:rsidTr="00241E86">
        <w:tc>
          <w:tcPr>
            <w:tcW w:w="3369" w:type="dxa"/>
          </w:tcPr>
          <w:p w14:paraId="5AB1BBBD" w14:textId="77777777" w:rsidR="006A16A6" w:rsidRPr="007A3524" w:rsidRDefault="006A16A6" w:rsidP="00241E86">
            <w:pPr>
              <w:ind w:firstLine="567"/>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Retired</w:t>
            </w:r>
          </w:p>
        </w:tc>
        <w:tc>
          <w:tcPr>
            <w:tcW w:w="1134" w:type="dxa"/>
            <w:vAlign w:val="center"/>
          </w:tcPr>
          <w:p w14:paraId="6F7C3067"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-0.149</w:t>
            </w:r>
          </w:p>
        </w:tc>
        <w:tc>
          <w:tcPr>
            <w:tcW w:w="851" w:type="dxa"/>
            <w:gridSpan w:val="2"/>
            <w:vAlign w:val="center"/>
          </w:tcPr>
          <w:p w14:paraId="0A59CB18"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0.861</w:t>
            </w:r>
          </w:p>
        </w:tc>
      </w:tr>
      <w:tr w:rsidR="006A16A6" w:rsidRPr="007A3524" w14:paraId="5907FA5B" w14:textId="77777777" w:rsidTr="00241E86">
        <w:tc>
          <w:tcPr>
            <w:tcW w:w="3369" w:type="dxa"/>
          </w:tcPr>
          <w:p w14:paraId="3BC40D8B" w14:textId="77777777" w:rsidR="006A16A6" w:rsidRPr="007A3524" w:rsidRDefault="006A16A6" w:rsidP="00241E86">
            <w:pPr>
              <w:ind w:firstLine="567"/>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I don’t know / Not applicable</w:t>
            </w:r>
          </w:p>
        </w:tc>
        <w:tc>
          <w:tcPr>
            <w:tcW w:w="1134" w:type="dxa"/>
            <w:vAlign w:val="center"/>
          </w:tcPr>
          <w:p w14:paraId="6B486409"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0.171</w:t>
            </w:r>
          </w:p>
        </w:tc>
        <w:tc>
          <w:tcPr>
            <w:tcW w:w="851" w:type="dxa"/>
            <w:gridSpan w:val="2"/>
            <w:vAlign w:val="center"/>
          </w:tcPr>
          <w:p w14:paraId="5332A59B"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1.187</w:t>
            </w:r>
          </w:p>
        </w:tc>
      </w:tr>
      <w:tr w:rsidR="006A16A6" w:rsidRPr="007A3524" w14:paraId="1739A797" w14:textId="77777777" w:rsidTr="00241E86">
        <w:trPr>
          <w:gridAfter w:val="1"/>
          <w:wAfter w:w="851" w:type="dxa"/>
        </w:trPr>
        <w:tc>
          <w:tcPr>
            <w:tcW w:w="3369" w:type="dxa"/>
          </w:tcPr>
          <w:p w14:paraId="221C671A" w14:textId="77777777" w:rsidR="006A16A6" w:rsidRPr="007A3524" w:rsidRDefault="006A16A6" w:rsidP="00241E86">
            <w:pPr>
              <w:ind w:firstLine="284"/>
              <w:rPr>
                <w:rFonts w:ascii="Times New Roman" w:eastAsia="Calibri" w:hAnsi="Times New Roman" w:cs="Times New Roman"/>
                <w:sz w:val="20"/>
                <w:szCs w:val="20"/>
                <w:vertAlign w:val="superscript"/>
                <w:lang w:val="en-GB"/>
              </w:rPr>
            </w:pPr>
            <w:r w:rsidRPr="007A3524">
              <w:rPr>
                <w:rFonts w:ascii="Times New Roman" w:eastAsia="Calibri" w:hAnsi="Times New Roman" w:cs="Times New Roman"/>
                <w:sz w:val="20"/>
                <w:szCs w:val="20"/>
                <w:lang w:val="en-GB"/>
              </w:rPr>
              <w:t xml:space="preserve">Mother’s </w:t>
            </w:r>
            <w:proofErr w:type="spellStart"/>
            <w:r w:rsidRPr="007A3524">
              <w:rPr>
                <w:rFonts w:ascii="Times New Roman" w:eastAsia="Calibri" w:hAnsi="Times New Roman" w:cs="Times New Roman"/>
                <w:sz w:val="20"/>
                <w:szCs w:val="20"/>
                <w:lang w:val="en-GB"/>
              </w:rPr>
              <w:t>education</w:t>
            </w:r>
            <w:r w:rsidRPr="007A3524">
              <w:rPr>
                <w:rFonts w:ascii="Times New Roman" w:eastAsia="Calibri" w:hAnsi="Times New Roman" w:cs="Times New Roman"/>
                <w:sz w:val="20"/>
                <w:szCs w:val="20"/>
                <w:vertAlign w:val="superscript"/>
                <w:lang w:val="en-GB"/>
              </w:rPr>
              <w:t>b</w:t>
            </w:r>
            <w:proofErr w:type="spellEnd"/>
          </w:p>
        </w:tc>
        <w:tc>
          <w:tcPr>
            <w:tcW w:w="1134" w:type="dxa"/>
            <w:vAlign w:val="center"/>
          </w:tcPr>
          <w:p w14:paraId="36AC1575"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 </w:t>
            </w:r>
          </w:p>
        </w:tc>
        <w:tc>
          <w:tcPr>
            <w:tcW w:w="851" w:type="dxa"/>
            <w:vAlign w:val="center"/>
          </w:tcPr>
          <w:p w14:paraId="02BFE826"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 </w:t>
            </w:r>
          </w:p>
        </w:tc>
      </w:tr>
      <w:tr w:rsidR="006A16A6" w:rsidRPr="007A3524" w14:paraId="1ED3CADF" w14:textId="77777777" w:rsidTr="00241E86">
        <w:tc>
          <w:tcPr>
            <w:tcW w:w="3369" w:type="dxa"/>
          </w:tcPr>
          <w:p w14:paraId="19DEFEA9" w14:textId="77777777" w:rsidR="006A16A6" w:rsidRPr="007A3524" w:rsidRDefault="006A16A6" w:rsidP="00241E86">
            <w:pPr>
              <w:ind w:firstLine="567"/>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Elementary education</w:t>
            </w:r>
          </w:p>
        </w:tc>
        <w:tc>
          <w:tcPr>
            <w:tcW w:w="1134" w:type="dxa"/>
            <w:vAlign w:val="center"/>
          </w:tcPr>
          <w:p w14:paraId="1ADC69B8"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-0.427</w:t>
            </w:r>
          </w:p>
        </w:tc>
        <w:tc>
          <w:tcPr>
            <w:tcW w:w="851" w:type="dxa"/>
            <w:gridSpan w:val="2"/>
            <w:vAlign w:val="center"/>
          </w:tcPr>
          <w:p w14:paraId="14D086E5"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0.653</w:t>
            </w:r>
          </w:p>
        </w:tc>
      </w:tr>
      <w:tr w:rsidR="006A16A6" w:rsidRPr="007A3524" w14:paraId="07DBB57E" w14:textId="77777777" w:rsidTr="00241E86">
        <w:tc>
          <w:tcPr>
            <w:tcW w:w="3369" w:type="dxa"/>
          </w:tcPr>
          <w:p w14:paraId="3E1A9205" w14:textId="77777777" w:rsidR="006A16A6" w:rsidRPr="007A3524" w:rsidRDefault="006A16A6" w:rsidP="00241E86">
            <w:pPr>
              <w:ind w:firstLine="567"/>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Upper secondary education</w:t>
            </w:r>
          </w:p>
        </w:tc>
        <w:tc>
          <w:tcPr>
            <w:tcW w:w="1134" w:type="dxa"/>
            <w:vAlign w:val="center"/>
          </w:tcPr>
          <w:p w14:paraId="1C60AED2"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-0.186</w:t>
            </w:r>
          </w:p>
        </w:tc>
        <w:tc>
          <w:tcPr>
            <w:tcW w:w="851" w:type="dxa"/>
            <w:gridSpan w:val="2"/>
            <w:vAlign w:val="center"/>
          </w:tcPr>
          <w:p w14:paraId="441F826F"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0.830</w:t>
            </w:r>
          </w:p>
        </w:tc>
      </w:tr>
      <w:tr w:rsidR="006A16A6" w:rsidRPr="007A3524" w14:paraId="7F975AAA" w14:textId="77777777" w:rsidTr="00241E86">
        <w:trPr>
          <w:gridAfter w:val="1"/>
          <w:wAfter w:w="851" w:type="dxa"/>
        </w:trPr>
        <w:tc>
          <w:tcPr>
            <w:tcW w:w="3369" w:type="dxa"/>
          </w:tcPr>
          <w:p w14:paraId="12CE5C19" w14:textId="77777777" w:rsidR="006A16A6" w:rsidRPr="007A3524" w:rsidRDefault="006A16A6" w:rsidP="00241E86">
            <w:pPr>
              <w:ind w:firstLine="28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 xml:space="preserve">Father’s </w:t>
            </w:r>
            <w:proofErr w:type="spellStart"/>
            <w:r w:rsidRPr="007A3524">
              <w:rPr>
                <w:rFonts w:ascii="Times New Roman" w:eastAsia="Calibri" w:hAnsi="Times New Roman" w:cs="Times New Roman"/>
                <w:sz w:val="20"/>
                <w:szCs w:val="20"/>
                <w:lang w:val="en-GB"/>
              </w:rPr>
              <w:t>education</w:t>
            </w:r>
            <w:r w:rsidRPr="007A3524">
              <w:rPr>
                <w:rFonts w:ascii="Times New Roman" w:eastAsia="Calibri" w:hAnsi="Times New Roman" w:cs="Times New Roman"/>
                <w:sz w:val="20"/>
                <w:szCs w:val="20"/>
                <w:vertAlign w:val="superscript"/>
                <w:lang w:val="en-GB"/>
              </w:rPr>
              <w:t>b</w:t>
            </w:r>
            <w:proofErr w:type="spellEnd"/>
          </w:p>
        </w:tc>
        <w:tc>
          <w:tcPr>
            <w:tcW w:w="1134" w:type="dxa"/>
            <w:vAlign w:val="center"/>
          </w:tcPr>
          <w:p w14:paraId="11AFDCD6"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 </w:t>
            </w:r>
          </w:p>
        </w:tc>
        <w:tc>
          <w:tcPr>
            <w:tcW w:w="851" w:type="dxa"/>
            <w:vAlign w:val="center"/>
          </w:tcPr>
          <w:p w14:paraId="22B7C899"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 </w:t>
            </w:r>
          </w:p>
        </w:tc>
      </w:tr>
      <w:tr w:rsidR="006A16A6" w:rsidRPr="007A3524" w14:paraId="3E8AFA6B" w14:textId="77777777" w:rsidTr="00241E86">
        <w:tc>
          <w:tcPr>
            <w:tcW w:w="3369" w:type="dxa"/>
          </w:tcPr>
          <w:p w14:paraId="6C7E17BA" w14:textId="77777777" w:rsidR="006A16A6" w:rsidRPr="007A3524" w:rsidRDefault="006A16A6" w:rsidP="00241E86">
            <w:pPr>
              <w:ind w:firstLine="567"/>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Elementary education</w:t>
            </w:r>
          </w:p>
        </w:tc>
        <w:tc>
          <w:tcPr>
            <w:tcW w:w="1134" w:type="dxa"/>
            <w:vAlign w:val="center"/>
          </w:tcPr>
          <w:p w14:paraId="3C613108"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-0.412</w:t>
            </w:r>
          </w:p>
        </w:tc>
        <w:tc>
          <w:tcPr>
            <w:tcW w:w="851" w:type="dxa"/>
            <w:gridSpan w:val="2"/>
            <w:vAlign w:val="center"/>
          </w:tcPr>
          <w:p w14:paraId="77A2E07C"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0.662</w:t>
            </w:r>
          </w:p>
        </w:tc>
      </w:tr>
      <w:tr w:rsidR="006A16A6" w:rsidRPr="007A3524" w14:paraId="29D3143A" w14:textId="77777777" w:rsidTr="00241E86">
        <w:tc>
          <w:tcPr>
            <w:tcW w:w="3369" w:type="dxa"/>
          </w:tcPr>
          <w:p w14:paraId="74B5C0FF" w14:textId="77777777" w:rsidR="006A16A6" w:rsidRPr="007A3524" w:rsidRDefault="006A16A6" w:rsidP="00241E86">
            <w:pPr>
              <w:ind w:firstLine="567"/>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Upper secondary education</w:t>
            </w:r>
          </w:p>
        </w:tc>
        <w:tc>
          <w:tcPr>
            <w:tcW w:w="1134" w:type="dxa"/>
            <w:vAlign w:val="center"/>
          </w:tcPr>
          <w:p w14:paraId="7BB9E694"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-0.162</w:t>
            </w:r>
          </w:p>
        </w:tc>
        <w:tc>
          <w:tcPr>
            <w:tcW w:w="851" w:type="dxa"/>
            <w:gridSpan w:val="2"/>
            <w:vAlign w:val="center"/>
          </w:tcPr>
          <w:p w14:paraId="25CFA3FE"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0.851</w:t>
            </w:r>
          </w:p>
        </w:tc>
      </w:tr>
      <w:tr w:rsidR="006A16A6" w:rsidRPr="007A3524" w14:paraId="2E144EE8" w14:textId="77777777" w:rsidTr="00241E86">
        <w:tc>
          <w:tcPr>
            <w:tcW w:w="3369" w:type="dxa"/>
          </w:tcPr>
          <w:p w14:paraId="21BBBD74" w14:textId="77777777" w:rsidR="006A16A6" w:rsidRPr="007A3524" w:rsidRDefault="006A16A6" w:rsidP="00241E86">
            <w:pPr>
              <w:ind w:firstLine="28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Own room</w:t>
            </w:r>
          </w:p>
        </w:tc>
        <w:tc>
          <w:tcPr>
            <w:tcW w:w="1134" w:type="dxa"/>
            <w:vAlign w:val="center"/>
          </w:tcPr>
          <w:p w14:paraId="3A5FD073"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0.036</w:t>
            </w:r>
          </w:p>
        </w:tc>
        <w:tc>
          <w:tcPr>
            <w:tcW w:w="851" w:type="dxa"/>
            <w:gridSpan w:val="2"/>
            <w:vAlign w:val="center"/>
          </w:tcPr>
          <w:p w14:paraId="08CCA64B"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1.036</w:t>
            </w:r>
          </w:p>
        </w:tc>
      </w:tr>
      <w:tr w:rsidR="006A16A6" w:rsidRPr="007A3524" w14:paraId="076DAA71" w14:textId="77777777" w:rsidTr="00241E86">
        <w:tc>
          <w:tcPr>
            <w:tcW w:w="3369" w:type="dxa"/>
          </w:tcPr>
          <w:p w14:paraId="5C23F4F1" w14:textId="77777777" w:rsidR="006A16A6" w:rsidRPr="007A3524" w:rsidRDefault="006A16A6" w:rsidP="00241E86">
            <w:pPr>
              <w:ind w:firstLine="28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Work desk</w:t>
            </w:r>
          </w:p>
        </w:tc>
        <w:tc>
          <w:tcPr>
            <w:tcW w:w="1134" w:type="dxa"/>
            <w:vAlign w:val="center"/>
          </w:tcPr>
          <w:p w14:paraId="6A78B982" w14:textId="2417C91C"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0.457</w:t>
            </w:r>
          </w:p>
        </w:tc>
        <w:tc>
          <w:tcPr>
            <w:tcW w:w="851" w:type="dxa"/>
            <w:gridSpan w:val="2"/>
            <w:vAlign w:val="center"/>
          </w:tcPr>
          <w:p w14:paraId="3471A903"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1.579</w:t>
            </w:r>
          </w:p>
        </w:tc>
      </w:tr>
      <w:tr w:rsidR="006A16A6" w:rsidRPr="007A3524" w14:paraId="4165331A" w14:textId="77777777" w:rsidTr="00241E86">
        <w:tc>
          <w:tcPr>
            <w:tcW w:w="3369" w:type="dxa"/>
          </w:tcPr>
          <w:p w14:paraId="15305611" w14:textId="77777777" w:rsidR="006A16A6" w:rsidRPr="007A3524" w:rsidRDefault="006A16A6" w:rsidP="00241E86">
            <w:pPr>
              <w:ind w:firstLine="28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Computer</w:t>
            </w:r>
          </w:p>
        </w:tc>
        <w:tc>
          <w:tcPr>
            <w:tcW w:w="1134" w:type="dxa"/>
            <w:vAlign w:val="center"/>
          </w:tcPr>
          <w:p w14:paraId="7A6299AC"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-0.048</w:t>
            </w:r>
          </w:p>
        </w:tc>
        <w:tc>
          <w:tcPr>
            <w:tcW w:w="851" w:type="dxa"/>
            <w:gridSpan w:val="2"/>
            <w:vAlign w:val="center"/>
          </w:tcPr>
          <w:p w14:paraId="33AE50F9"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0.953</w:t>
            </w:r>
          </w:p>
        </w:tc>
      </w:tr>
      <w:tr w:rsidR="006A16A6" w:rsidRPr="007A3524" w14:paraId="519CB752" w14:textId="77777777" w:rsidTr="00241E86">
        <w:tc>
          <w:tcPr>
            <w:tcW w:w="3369" w:type="dxa"/>
          </w:tcPr>
          <w:p w14:paraId="626653B2" w14:textId="77777777" w:rsidR="006A16A6" w:rsidRPr="007A3524" w:rsidRDefault="006A16A6" w:rsidP="00241E86">
            <w:pPr>
              <w:ind w:left="28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 xml:space="preserve">Parents expect higher education </w:t>
            </w:r>
            <w:proofErr w:type="spellStart"/>
            <w:r w:rsidRPr="007A3524">
              <w:rPr>
                <w:rFonts w:ascii="Times New Roman" w:eastAsia="Calibri" w:hAnsi="Times New Roman" w:cs="Times New Roman"/>
                <w:sz w:val="20"/>
                <w:szCs w:val="20"/>
                <w:lang w:val="en-GB"/>
              </w:rPr>
              <w:t>enrolment</w:t>
            </w:r>
            <w:r w:rsidRPr="007A3524">
              <w:rPr>
                <w:rFonts w:ascii="Times New Roman" w:eastAsia="Calibri" w:hAnsi="Times New Roman" w:cs="Times New Roman"/>
                <w:sz w:val="20"/>
                <w:szCs w:val="20"/>
                <w:vertAlign w:val="superscript"/>
                <w:lang w:val="en-GB"/>
              </w:rPr>
              <w:t>c</w:t>
            </w:r>
            <w:proofErr w:type="spellEnd"/>
          </w:p>
        </w:tc>
        <w:tc>
          <w:tcPr>
            <w:tcW w:w="1134" w:type="dxa"/>
            <w:vAlign w:val="center"/>
          </w:tcPr>
          <w:p w14:paraId="0AA5B90C" w14:textId="51837B04"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0.642</w:t>
            </w:r>
          </w:p>
        </w:tc>
        <w:tc>
          <w:tcPr>
            <w:tcW w:w="851" w:type="dxa"/>
            <w:gridSpan w:val="2"/>
            <w:vAlign w:val="center"/>
          </w:tcPr>
          <w:p w14:paraId="12B8AB9F"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1.901</w:t>
            </w:r>
          </w:p>
        </w:tc>
      </w:tr>
      <w:tr w:rsidR="006A16A6" w:rsidRPr="007A3524" w14:paraId="4D7A61A1" w14:textId="77777777" w:rsidTr="00241E86">
        <w:tc>
          <w:tcPr>
            <w:tcW w:w="3369" w:type="dxa"/>
          </w:tcPr>
          <w:p w14:paraId="0431A65A" w14:textId="77777777" w:rsidR="006A16A6" w:rsidRPr="007A3524" w:rsidRDefault="006A16A6" w:rsidP="00241E86">
            <w:pPr>
              <w:ind w:left="28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 xml:space="preserve">Parents would be satisfied with VET </w:t>
            </w:r>
            <w:proofErr w:type="spellStart"/>
            <w:r w:rsidRPr="007A3524">
              <w:rPr>
                <w:rFonts w:ascii="Times New Roman" w:eastAsia="Calibri" w:hAnsi="Times New Roman" w:cs="Times New Roman"/>
                <w:sz w:val="20"/>
                <w:szCs w:val="20"/>
                <w:lang w:val="en-GB"/>
              </w:rPr>
              <w:t>education</w:t>
            </w:r>
            <w:r w:rsidRPr="007A3524">
              <w:rPr>
                <w:rFonts w:ascii="Times New Roman" w:eastAsia="Calibri" w:hAnsi="Times New Roman" w:cs="Times New Roman"/>
                <w:sz w:val="20"/>
                <w:szCs w:val="20"/>
                <w:vertAlign w:val="superscript"/>
                <w:lang w:val="en-GB"/>
              </w:rPr>
              <w:t>c</w:t>
            </w:r>
            <w:proofErr w:type="spellEnd"/>
          </w:p>
        </w:tc>
        <w:tc>
          <w:tcPr>
            <w:tcW w:w="1134" w:type="dxa"/>
            <w:vAlign w:val="center"/>
          </w:tcPr>
          <w:p w14:paraId="7FC76AD6" w14:textId="468FF7FA"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-0.147</w:t>
            </w:r>
          </w:p>
        </w:tc>
        <w:tc>
          <w:tcPr>
            <w:tcW w:w="851" w:type="dxa"/>
            <w:gridSpan w:val="2"/>
            <w:vAlign w:val="center"/>
          </w:tcPr>
          <w:p w14:paraId="205A9106"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0.864</w:t>
            </w:r>
          </w:p>
        </w:tc>
      </w:tr>
      <w:tr w:rsidR="006A16A6" w:rsidRPr="007A3524" w14:paraId="4EC75290" w14:textId="77777777" w:rsidTr="00241E86">
        <w:tc>
          <w:tcPr>
            <w:tcW w:w="3369" w:type="dxa"/>
          </w:tcPr>
          <w:p w14:paraId="6B003E25" w14:textId="77777777" w:rsidR="006A16A6" w:rsidRPr="007A3524" w:rsidRDefault="006A16A6" w:rsidP="00241E86">
            <w:pPr>
              <w:ind w:firstLine="28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 xml:space="preserve">Maternal academic </w:t>
            </w:r>
            <w:proofErr w:type="spellStart"/>
            <w:r w:rsidRPr="007A3524">
              <w:rPr>
                <w:rFonts w:ascii="Times New Roman" w:eastAsia="Calibri" w:hAnsi="Times New Roman" w:cs="Times New Roman"/>
                <w:sz w:val="20"/>
                <w:szCs w:val="20"/>
                <w:lang w:val="en-GB"/>
              </w:rPr>
              <w:t>support</w:t>
            </w:r>
            <w:r w:rsidRPr="007A3524">
              <w:rPr>
                <w:rFonts w:ascii="Times New Roman" w:eastAsia="Calibri" w:hAnsi="Times New Roman" w:cs="Times New Roman"/>
                <w:sz w:val="20"/>
                <w:szCs w:val="20"/>
                <w:vertAlign w:val="superscript"/>
                <w:lang w:val="en-GB"/>
              </w:rPr>
              <w:t>c</w:t>
            </w:r>
            <w:proofErr w:type="spellEnd"/>
          </w:p>
        </w:tc>
        <w:tc>
          <w:tcPr>
            <w:tcW w:w="1134" w:type="dxa"/>
            <w:vAlign w:val="center"/>
          </w:tcPr>
          <w:p w14:paraId="035CF76C" w14:textId="1C290871"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0.338</w:t>
            </w:r>
          </w:p>
        </w:tc>
        <w:tc>
          <w:tcPr>
            <w:tcW w:w="851" w:type="dxa"/>
            <w:gridSpan w:val="2"/>
            <w:vAlign w:val="center"/>
          </w:tcPr>
          <w:p w14:paraId="208CA5F4"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1.402</w:t>
            </w:r>
          </w:p>
        </w:tc>
      </w:tr>
      <w:tr w:rsidR="006A16A6" w:rsidRPr="007A3524" w14:paraId="47005E35" w14:textId="77777777" w:rsidTr="00241E86">
        <w:tc>
          <w:tcPr>
            <w:tcW w:w="3369" w:type="dxa"/>
          </w:tcPr>
          <w:p w14:paraId="4FB73EBF" w14:textId="77777777" w:rsidR="006A16A6" w:rsidRPr="007A3524" w:rsidRDefault="006A16A6" w:rsidP="00241E86">
            <w:pPr>
              <w:ind w:firstLine="28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 xml:space="preserve">Paternal academic </w:t>
            </w:r>
            <w:proofErr w:type="spellStart"/>
            <w:r w:rsidRPr="007A3524">
              <w:rPr>
                <w:rFonts w:ascii="Times New Roman" w:eastAsia="Calibri" w:hAnsi="Times New Roman" w:cs="Times New Roman"/>
                <w:sz w:val="20"/>
                <w:szCs w:val="20"/>
                <w:lang w:val="en-GB"/>
              </w:rPr>
              <w:t>support</w:t>
            </w:r>
            <w:r w:rsidRPr="007A3524">
              <w:rPr>
                <w:rFonts w:ascii="Times New Roman" w:eastAsia="Calibri" w:hAnsi="Times New Roman" w:cs="Times New Roman"/>
                <w:sz w:val="20"/>
                <w:szCs w:val="20"/>
                <w:vertAlign w:val="superscript"/>
                <w:lang w:val="en-GB"/>
              </w:rPr>
              <w:t>c</w:t>
            </w:r>
            <w:proofErr w:type="spellEnd"/>
          </w:p>
        </w:tc>
        <w:tc>
          <w:tcPr>
            <w:tcW w:w="1134" w:type="dxa"/>
            <w:vAlign w:val="center"/>
          </w:tcPr>
          <w:p w14:paraId="43EEF676"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0.083</w:t>
            </w:r>
          </w:p>
        </w:tc>
        <w:tc>
          <w:tcPr>
            <w:tcW w:w="851" w:type="dxa"/>
            <w:gridSpan w:val="2"/>
            <w:vAlign w:val="center"/>
          </w:tcPr>
          <w:p w14:paraId="4171D4E0"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1.086</w:t>
            </w:r>
          </w:p>
        </w:tc>
      </w:tr>
      <w:tr w:rsidR="006A16A6" w:rsidRPr="007A3524" w14:paraId="0E350295" w14:textId="77777777" w:rsidTr="00241E86">
        <w:trPr>
          <w:gridAfter w:val="1"/>
          <w:wAfter w:w="851" w:type="dxa"/>
        </w:trPr>
        <w:tc>
          <w:tcPr>
            <w:tcW w:w="3369" w:type="dxa"/>
          </w:tcPr>
          <w:p w14:paraId="742AE002" w14:textId="77777777" w:rsidR="006A16A6" w:rsidRPr="007A3524" w:rsidRDefault="006A16A6" w:rsidP="00241E86">
            <w:pPr>
              <w:rPr>
                <w:rFonts w:ascii="Times New Roman" w:eastAsia="Calibri" w:hAnsi="Times New Roman" w:cs="Times New Roman"/>
                <w:sz w:val="20"/>
                <w:szCs w:val="20"/>
                <w:u w:val="single"/>
                <w:lang w:val="en-GB"/>
              </w:rPr>
            </w:pPr>
          </w:p>
        </w:tc>
        <w:tc>
          <w:tcPr>
            <w:tcW w:w="1134" w:type="dxa"/>
            <w:vAlign w:val="center"/>
          </w:tcPr>
          <w:p w14:paraId="2BE094E1" w14:textId="77777777" w:rsidR="006A16A6" w:rsidRPr="007A3524" w:rsidRDefault="006A16A6" w:rsidP="00241E86">
            <w:pPr>
              <w:tabs>
                <w:tab w:val="decimal" w:pos="260"/>
              </w:tabs>
              <w:rPr>
                <w:rFonts w:ascii="Times New Roman" w:eastAsia="Calibri" w:hAnsi="Times New Roman" w:cs="Times New Roman"/>
                <w:sz w:val="20"/>
                <w:szCs w:val="20"/>
                <w:lang w:val="en-GB"/>
              </w:rPr>
            </w:pPr>
          </w:p>
        </w:tc>
        <w:tc>
          <w:tcPr>
            <w:tcW w:w="851" w:type="dxa"/>
            <w:vAlign w:val="center"/>
          </w:tcPr>
          <w:p w14:paraId="61BC41CB" w14:textId="77777777" w:rsidR="006A16A6" w:rsidRPr="007A3524" w:rsidRDefault="006A16A6" w:rsidP="00241E86">
            <w:pPr>
              <w:rPr>
                <w:rFonts w:ascii="Times New Roman" w:eastAsia="Calibri" w:hAnsi="Times New Roman" w:cs="Times New Roman"/>
                <w:sz w:val="20"/>
                <w:szCs w:val="20"/>
                <w:lang w:val="en-GB"/>
              </w:rPr>
            </w:pPr>
          </w:p>
        </w:tc>
      </w:tr>
      <w:tr w:rsidR="006A16A6" w:rsidRPr="007A3524" w14:paraId="3CB2DFCC" w14:textId="77777777" w:rsidTr="00241E86">
        <w:trPr>
          <w:gridAfter w:val="1"/>
          <w:wAfter w:w="851" w:type="dxa"/>
        </w:trPr>
        <w:tc>
          <w:tcPr>
            <w:tcW w:w="3369" w:type="dxa"/>
          </w:tcPr>
          <w:p w14:paraId="22B0CEF2" w14:textId="77777777" w:rsidR="006A16A6" w:rsidRPr="007A3524" w:rsidRDefault="006A16A6" w:rsidP="00241E86">
            <w:pPr>
              <w:rPr>
                <w:rFonts w:ascii="Times New Roman" w:eastAsia="Calibri" w:hAnsi="Times New Roman" w:cs="Times New Roman"/>
                <w:sz w:val="20"/>
                <w:szCs w:val="20"/>
                <w:u w:val="single"/>
                <w:lang w:val="en-GB"/>
              </w:rPr>
            </w:pPr>
            <w:r w:rsidRPr="007A3524">
              <w:rPr>
                <w:rFonts w:ascii="Times New Roman" w:eastAsia="Calibri" w:hAnsi="Times New Roman" w:cs="Times New Roman"/>
                <w:sz w:val="20"/>
                <w:szCs w:val="20"/>
                <w:u w:val="single"/>
                <w:lang w:val="en-GB"/>
              </w:rPr>
              <w:t>Blocked opportunities</w:t>
            </w:r>
          </w:p>
        </w:tc>
        <w:tc>
          <w:tcPr>
            <w:tcW w:w="1134" w:type="dxa"/>
            <w:vAlign w:val="center"/>
          </w:tcPr>
          <w:p w14:paraId="73FFD1F5" w14:textId="77777777" w:rsidR="006A16A6" w:rsidRPr="007A3524" w:rsidRDefault="006A16A6" w:rsidP="00241E86">
            <w:pPr>
              <w:tabs>
                <w:tab w:val="decimal" w:pos="260"/>
              </w:tabs>
              <w:rPr>
                <w:rFonts w:ascii="Times New Roman" w:eastAsia="Calibri" w:hAnsi="Times New Roman" w:cs="Times New Roman"/>
                <w:sz w:val="20"/>
                <w:szCs w:val="20"/>
                <w:lang w:val="en-GB"/>
              </w:rPr>
            </w:pPr>
          </w:p>
        </w:tc>
        <w:tc>
          <w:tcPr>
            <w:tcW w:w="851" w:type="dxa"/>
            <w:vAlign w:val="center"/>
          </w:tcPr>
          <w:p w14:paraId="38269F1D" w14:textId="77777777" w:rsidR="006A16A6" w:rsidRPr="007A3524" w:rsidRDefault="006A16A6" w:rsidP="00241E86">
            <w:pPr>
              <w:rPr>
                <w:rFonts w:ascii="Times New Roman" w:eastAsia="Calibri" w:hAnsi="Times New Roman" w:cs="Times New Roman"/>
                <w:sz w:val="20"/>
                <w:szCs w:val="20"/>
                <w:lang w:val="en-GB"/>
              </w:rPr>
            </w:pPr>
          </w:p>
        </w:tc>
      </w:tr>
      <w:tr w:rsidR="006A16A6" w:rsidRPr="007A3524" w14:paraId="1635F7CE" w14:textId="77777777" w:rsidTr="00241E86">
        <w:tc>
          <w:tcPr>
            <w:tcW w:w="3369" w:type="dxa"/>
          </w:tcPr>
          <w:p w14:paraId="35405ACB" w14:textId="77777777" w:rsidR="006A16A6" w:rsidRPr="007A3524" w:rsidRDefault="006A16A6" w:rsidP="00241E86">
            <w:pPr>
              <w:ind w:firstLine="28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Grade point average (7</w:t>
            </w:r>
            <w:r w:rsidRPr="007A3524">
              <w:rPr>
                <w:rFonts w:ascii="Times New Roman" w:eastAsia="Calibri" w:hAnsi="Times New Roman" w:cs="Times New Roman"/>
                <w:sz w:val="20"/>
                <w:szCs w:val="20"/>
                <w:vertAlign w:val="superscript"/>
                <w:lang w:val="en-GB"/>
              </w:rPr>
              <w:t>th</w:t>
            </w:r>
            <w:r w:rsidRPr="007A3524">
              <w:rPr>
                <w:rFonts w:ascii="Times New Roman" w:eastAsia="Calibri" w:hAnsi="Times New Roman" w:cs="Times New Roman"/>
                <w:sz w:val="20"/>
                <w:szCs w:val="20"/>
                <w:lang w:val="en-GB"/>
              </w:rPr>
              <w:t xml:space="preserve"> grade)</w:t>
            </w:r>
            <w:r w:rsidRPr="007A3524">
              <w:rPr>
                <w:rFonts w:ascii="Times New Roman" w:eastAsia="Calibri" w:hAnsi="Times New Roman" w:cs="Times New Roman"/>
                <w:sz w:val="20"/>
                <w:szCs w:val="20"/>
                <w:vertAlign w:val="superscript"/>
                <w:lang w:val="en-GB"/>
              </w:rPr>
              <w:t>c</w:t>
            </w:r>
          </w:p>
        </w:tc>
        <w:tc>
          <w:tcPr>
            <w:tcW w:w="1134" w:type="dxa"/>
            <w:vAlign w:val="center"/>
          </w:tcPr>
          <w:p w14:paraId="00E7F4BE" w14:textId="39EDB044"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1.393</w:t>
            </w:r>
          </w:p>
        </w:tc>
        <w:tc>
          <w:tcPr>
            <w:tcW w:w="851" w:type="dxa"/>
            <w:gridSpan w:val="2"/>
            <w:vAlign w:val="center"/>
          </w:tcPr>
          <w:p w14:paraId="5DA4CC14"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4.029</w:t>
            </w:r>
          </w:p>
        </w:tc>
      </w:tr>
      <w:tr w:rsidR="006A16A6" w:rsidRPr="007A3524" w14:paraId="18197F0D" w14:textId="77777777" w:rsidTr="00241E86">
        <w:tc>
          <w:tcPr>
            <w:tcW w:w="3369" w:type="dxa"/>
          </w:tcPr>
          <w:p w14:paraId="2F70654A" w14:textId="77777777" w:rsidR="006A16A6" w:rsidRPr="007A3524" w:rsidRDefault="006A16A6" w:rsidP="00241E86">
            <w:pPr>
              <w:ind w:firstLine="28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 xml:space="preserve">School </w:t>
            </w:r>
            <w:proofErr w:type="spellStart"/>
            <w:r w:rsidRPr="007A3524">
              <w:rPr>
                <w:rFonts w:ascii="Times New Roman" w:eastAsia="Calibri" w:hAnsi="Times New Roman" w:cs="Times New Roman"/>
                <w:sz w:val="20"/>
                <w:szCs w:val="20"/>
                <w:lang w:val="en-GB"/>
              </w:rPr>
              <w:t>satisfaction</w:t>
            </w:r>
            <w:r w:rsidRPr="007A3524">
              <w:rPr>
                <w:rFonts w:ascii="Times New Roman" w:eastAsia="Calibri" w:hAnsi="Times New Roman" w:cs="Times New Roman"/>
                <w:sz w:val="20"/>
                <w:szCs w:val="20"/>
                <w:vertAlign w:val="superscript"/>
                <w:lang w:val="en-GB"/>
              </w:rPr>
              <w:t>c</w:t>
            </w:r>
            <w:proofErr w:type="spellEnd"/>
          </w:p>
        </w:tc>
        <w:tc>
          <w:tcPr>
            <w:tcW w:w="1134" w:type="dxa"/>
            <w:vAlign w:val="center"/>
          </w:tcPr>
          <w:p w14:paraId="05EA9E5B" w14:textId="2629658C"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0.173</w:t>
            </w:r>
          </w:p>
        </w:tc>
        <w:tc>
          <w:tcPr>
            <w:tcW w:w="851" w:type="dxa"/>
            <w:gridSpan w:val="2"/>
            <w:vAlign w:val="center"/>
          </w:tcPr>
          <w:p w14:paraId="14C9ADB4"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1.189</w:t>
            </w:r>
          </w:p>
        </w:tc>
      </w:tr>
      <w:tr w:rsidR="006A16A6" w:rsidRPr="007A3524" w14:paraId="319A5C5D" w14:textId="77777777" w:rsidTr="00241E86">
        <w:tc>
          <w:tcPr>
            <w:tcW w:w="3369" w:type="dxa"/>
          </w:tcPr>
          <w:p w14:paraId="252BD317" w14:textId="77777777" w:rsidR="006A16A6" w:rsidRPr="007A3524" w:rsidRDefault="006A16A6" w:rsidP="00241E86">
            <w:pPr>
              <w:ind w:firstLine="28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 xml:space="preserve">School </w:t>
            </w:r>
            <w:proofErr w:type="spellStart"/>
            <w:r w:rsidRPr="007A3524">
              <w:rPr>
                <w:rFonts w:ascii="Times New Roman" w:eastAsia="Calibri" w:hAnsi="Times New Roman" w:cs="Times New Roman"/>
                <w:sz w:val="20"/>
                <w:szCs w:val="20"/>
                <w:lang w:val="en-GB"/>
              </w:rPr>
              <w:t>workload</w:t>
            </w:r>
            <w:r w:rsidRPr="007A3524">
              <w:rPr>
                <w:rFonts w:ascii="Times New Roman" w:eastAsia="Calibri" w:hAnsi="Times New Roman" w:cs="Times New Roman"/>
                <w:sz w:val="20"/>
                <w:szCs w:val="20"/>
                <w:vertAlign w:val="superscript"/>
                <w:lang w:val="en-GB"/>
              </w:rPr>
              <w:t>c</w:t>
            </w:r>
            <w:proofErr w:type="spellEnd"/>
          </w:p>
        </w:tc>
        <w:tc>
          <w:tcPr>
            <w:tcW w:w="1134" w:type="dxa"/>
            <w:vAlign w:val="center"/>
          </w:tcPr>
          <w:p w14:paraId="1D4DEA21"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0.074</w:t>
            </w:r>
          </w:p>
        </w:tc>
        <w:tc>
          <w:tcPr>
            <w:tcW w:w="851" w:type="dxa"/>
            <w:gridSpan w:val="2"/>
            <w:vAlign w:val="center"/>
          </w:tcPr>
          <w:p w14:paraId="511BC67C"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1.076</w:t>
            </w:r>
          </w:p>
        </w:tc>
      </w:tr>
      <w:tr w:rsidR="006A16A6" w:rsidRPr="007A3524" w14:paraId="62339583" w14:textId="77777777" w:rsidTr="00241E86">
        <w:tc>
          <w:tcPr>
            <w:tcW w:w="3369" w:type="dxa"/>
          </w:tcPr>
          <w:p w14:paraId="09D6230C" w14:textId="77777777" w:rsidR="006A16A6" w:rsidRPr="007A3524" w:rsidRDefault="006A16A6" w:rsidP="00241E86">
            <w:pPr>
              <w:ind w:firstLine="28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Academic self-</w:t>
            </w:r>
            <w:proofErr w:type="spellStart"/>
            <w:r w:rsidRPr="007A3524">
              <w:rPr>
                <w:rFonts w:ascii="Times New Roman" w:eastAsia="Calibri" w:hAnsi="Times New Roman" w:cs="Times New Roman"/>
                <w:sz w:val="20"/>
                <w:szCs w:val="20"/>
                <w:lang w:val="en-GB"/>
              </w:rPr>
              <w:t>efficacy</w:t>
            </w:r>
            <w:r w:rsidRPr="007A3524">
              <w:rPr>
                <w:rFonts w:ascii="Times New Roman" w:eastAsia="Calibri" w:hAnsi="Times New Roman" w:cs="Times New Roman"/>
                <w:sz w:val="20"/>
                <w:szCs w:val="20"/>
                <w:vertAlign w:val="superscript"/>
                <w:lang w:val="en-GB"/>
              </w:rPr>
              <w:t>c</w:t>
            </w:r>
            <w:proofErr w:type="spellEnd"/>
          </w:p>
        </w:tc>
        <w:tc>
          <w:tcPr>
            <w:tcW w:w="1134" w:type="dxa"/>
            <w:vAlign w:val="center"/>
          </w:tcPr>
          <w:p w14:paraId="770B2CDE"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-0.041</w:t>
            </w:r>
          </w:p>
        </w:tc>
        <w:tc>
          <w:tcPr>
            <w:tcW w:w="851" w:type="dxa"/>
            <w:gridSpan w:val="2"/>
            <w:vAlign w:val="center"/>
          </w:tcPr>
          <w:p w14:paraId="02C5329E"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0.960</w:t>
            </w:r>
          </w:p>
        </w:tc>
      </w:tr>
      <w:tr w:rsidR="006A16A6" w:rsidRPr="007A3524" w14:paraId="40F70225" w14:textId="77777777" w:rsidTr="00241E86">
        <w:trPr>
          <w:gridAfter w:val="1"/>
          <w:wAfter w:w="851" w:type="dxa"/>
        </w:trPr>
        <w:tc>
          <w:tcPr>
            <w:tcW w:w="3369" w:type="dxa"/>
          </w:tcPr>
          <w:p w14:paraId="6FFBB2AF" w14:textId="77777777" w:rsidR="006A16A6" w:rsidRPr="007A3524" w:rsidRDefault="006A16A6" w:rsidP="00241E86">
            <w:pPr>
              <w:rPr>
                <w:rFonts w:ascii="Times New Roman" w:eastAsia="Calibri" w:hAnsi="Times New Roman" w:cs="Times New Roman"/>
                <w:sz w:val="20"/>
                <w:szCs w:val="20"/>
                <w:u w:val="single"/>
                <w:lang w:val="en-GB"/>
              </w:rPr>
            </w:pPr>
          </w:p>
        </w:tc>
        <w:tc>
          <w:tcPr>
            <w:tcW w:w="1134" w:type="dxa"/>
            <w:vAlign w:val="center"/>
          </w:tcPr>
          <w:p w14:paraId="2602CA3A" w14:textId="77777777" w:rsidR="006A16A6" w:rsidRPr="007A3524" w:rsidRDefault="006A16A6" w:rsidP="00241E86">
            <w:pPr>
              <w:tabs>
                <w:tab w:val="decimal" w:pos="260"/>
              </w:tabs>
              <w:rPr>
                <w:rFonts w:ascii="Times New Roman" w:eastAsia="Calibri" w:hAnsi="Times New Roman" w:cs="Times New Roman"/>
                <w:sz w:val="20"/>
                <w:szCs w:val="20"/>
                <w:lang w:val="en-GB"/>
              </w:rPr>
            </w:pPr>
          </w:p>
        </w:tc>
        <w:tc>
          <w:tcPr>
            <w:tcW w:w="851" w:type="dxa"/>
            <w:vAlign w:val="center"/>
          </w:tcPr>
          <w:p w14:paraId="5414E737" w14:textId="77777777" w:rsidR="006A16A6" w:rsidRPr="007A3524" w:rsidRDefault="006A16A6" w:rsidP="00241E86">
            <w:pPr>
              <w:rPr>
                <w:rFonts w:ascii="Times New Roman" w:eastAsia="Calibri" w:hAnsi="Times New Roman" w:cs="Times New Roman"/>
                <w:sz w:val="20"/>
                <w:szCs w:val="20"/>
                <w:lang w:val="en-GB"/>
              </w:rPr>
            </w:pPr>
          </w:p>
        </w:tc>
      </w:tr>
      <w:tr w:rsidR="006A16A6" w:rsidRPr="007A3524" w14:paraId="43B887D3" w14:textId="77777777" w:rsidTr="00241E86">
        <w:trPr>
          <w:gridAfter w:val="1"/>
          <w:wAfter w:w="851" w:type="dxa"/>
        </w:trPr>
        <w:tc>
          <w:tcPr>
            <w:tcW w:w="3369" w:type="dxa"/>
          </w:tcPr>
          <w:p w14:paraId="5F1A2520" w14:textId="77777777" w:rsidR="006A16A6" w:rsidRPr="007A3524" w:rsidRDefault="006A16A6" w:rsidP="00241E86">
            <w:pPr>
              <w:rPr>
                <w:rFonts w:ascii="Times New Roman" w:eastAsia="Calibri" w:hAnsi="Times New Roman" w:cs="Times New Roman"/>
                <w:sz w:val="20"/>
                <w:szCs w:val="20"/>
                <w:u w:val="single"/>
                <w:lang w:val="en-GB"/>
              </w:rPr>
            </w:pPr>
            <w:r w:rsidRPr="007A3524">
              <w:rPr>
                <w:rFonts w:ascii="Times New Roman" w:eastAsia="Calibri" w:hAnsi="Times New Roman" w:cs="Times New Roman"/>
                <w:sz w:val="20"/>
                <w:szCs w:val="20"/>
                <w:u w:val="single"/>
                <w:lang w:val="en-GB"/>
              </w:rPr>
              <w:t>School context</w:t>
            </w:r>
          </w:p>
        </w:tc>
        <w:tc>
          <w:tcPr>
            <w:tcW w:w="1134" w:type="dxa"/>
            <w:vAlign w:val="center"/>
          </w:tcPr>
          <w:p w14:paraId="090F14BF" w14:textId="77777777" w:rsidR="006A16A6" w:rsidRPr="007A3524" w:rsidRDefault="006A16A6" w:rsidP="00241E86">
            <w:pPr>
              <w:tabs>
                <w:tab w:val="decimal" w:pos="260"/>
              </w:tabs>
              <w:rPr>
                <w:rFonts w:ascii="Times New Roman" w:eastAsia="Calibri" w:hAnsi="Times New Roman" w:cs="Times New Roman"/>
                <w:sz w:val="20"/>
                <w:szCs w:val="20"/>
                <w:lang w:val="en-GB"/>
              </w:rPr>
            </w:pPr>
          </w:p>
        </w:tc>
        <w:tc>
          <w:tcPr>
            <w:tcW w:w="851" w:type="dxa"/>
            <w:vAlign w:val="center"/>
          </w:tcPr>
          <w:p w14:paraId="229B87E1" w14:textId="77777777" w:rsidR="006A16A6" w:rsidRPr="007A3524" w:rsidRDefault="006A16A6" w:rsidP="00241E86">
            <w:pPr>
              <w:rPr>
                <w:rFonts w:ascii="Times New Roman" w:eastAsia="Calibri" w:hAnsi="Times New Roman" w:cs="Times New Roman"/>
                <w:sz w:val="20"/>
                <w:szCs w:val="20"/>
                <w:lang w:val="en-GB"/>
              </w:rPr>
            </w:pPr>
          </w:p>
        </w:tc>
      </w:tr>
      <w:tr w:rsidR="006A16A6" w:rsidRPr="007A3524" w14:paraId="4C3334F0" w14:textId="77777777" w:rsidTr="00241E86">
        <w:tc>
          <w:tcPr>
            <w:tcW w:w="3369" w:type="dxa"/>
          </w:tcPr>
          <w:p w14:paraId="193F6F43" w14:textId="77777777" w:rsidR="006A16A6" w:rsidRPr="007A3524" w:rsidRDefault="006A16A6" w:rsidP="00241E86">
            <w:pPr>
              <w:ind w:firstLine="28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School’s grade point average</w:t>
            </w:r>
          </w:p>
          <w:p w14:paraId="319C2D5D" w14:textId="77777777" w:rsidR="006A16A6" w:rsidRPr="007A3524" w:rsidRDefault="006A16A6" w:rsidP="00241E86">
            <w:pPr>
              <w:ind w:firstLine="28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(5</w:t>
            </w:r>
            <w:r w:rsidRPr="007A3524">
              <w:rPr>
                <w:rFonts w:ascii="Times New Roman" w:eastAsia="Calibri" w:hAnsi="Times New Roman" w:cs="Times New Roman"/>
                <w:sz w:val="20"/>
                <w:szCs w:val="20"/>
                <w:vertAlign w:val="superscript"/>
                <w:lang w:val="en-GB"/>
              </w:rPr>
              <w:t>th</w:t>
            </w:r>
            <w:r w:rsidRPr="007A3524">
              <w:rPr>
                <w:rFonts w:ascii="Times New Roman" w:eastAsia="Calibri" w:hAnsi="Times New Roman" w:cs="Times New Roman"/>
                <w:sz w:val="20"/>
                <w:szCs w:val="20"/>
                <w:lang w:val="en-GB"/>
              </w:rPr>
              <w:t xml:space="preserve"> to 8</w:t>
            </w:r>
            <w:r w:rsidRPr="007A3524">
              <w:rPr>
                <w:rFonts w:ascii="Times New Roman" w:eastAsia="Calibri" w:hAnsi="Times New Roman" w:cs="Times New Roman"/>
                <w:sz w:val="20"/>
                <w:szCs w:val="20"/>
                <w:vertAlign w:val="superscript"/>
                <w:lang w:val="en-GB"/>
              </w:rPr>
              <w:t>th</w:t>
            </w:r>
            <w:r w:rsidRPr="007A3524">
              <w:rPr>
                <w:rFonts w:ascii="Times New Roman" w:eastAsia="Calibri" w:hAnsi="Times New Roman" w:cs="Times New Roman"/>
                <w:sz w:val="20"/>
                <w:szCs w:val="20"/>
                <w:lang w:val="en-GB"/>
              </w:rPr>
              <w:t xml:space="preserve"> grade)</w:t>
            </w:r>
            <w:r w:rsidRPr="007A3524">
              <w:rPr>
                <w:rFonts w:ascii="Times New Roman" w:eastAsia="Calibri" w:hAnsi="Times New Roman" w:cs="Times New Roman"/>
                <w:sz w:val="20"/>
                <w:szCs w:val="20"/>
                <w:vertAlign w:val="superscript"/>
                <w:lang w:val="en-GB"/>
              </w:rPr>
              <w:t>c</w:t>
            </w:r>
          </w:p>
        </w:tc>
        <w:tc>
          <w:tcPr>
            <w:tcW w:w="1134" w:type="dxa"/>
            <w:vAlign w:val="center"/>
          </w:tcPr>
          <w:p w14:paraId="4F852253"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0.349</w:t>
            </w:r>
          </w:p>
        </w:tc>
        <w:tc>
          <w:tcPr>
            <w:tcW w:w="851" w:type="dxa"/>
            <w:gridSpan w:val="2"/>
            <w:vAlign w:val="center"/>
          </w:tcPr>
          <w:p w14:paraId="4182A650"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1.418</w:t>
            </w:r>
          </w:p>
        </w:tc>
      </w:tr>
      <w:tr w:rsidR="006A16A6" w:rsidRPr="007A3524" w14:paraId="2CC26941" w14:textId="77777777" w:rsidTr="00241E86">
        <w:tc>
          <w:tcPr>
            <w:tcW w:w="3369" w:type="dxa"/>
          </w:tcPr>
          <w:p w14:paraId="6382A7EA" w14:textId="77777777" w:rsidR="006A16A6" w:rsidRPr="007A3524" w:rsidRDefault="006A16A6" w:rsidP="00241E86">
            <w:pPr>
              <w:ind w:firstLine="28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 xml:space="preserve">School </w:t>
            </w:r>
            <w:proofErr w:type="spellStart"/>
            <w:r w:rsidRPr="007A3524">
              <w:rPr>
                <w:rFonts w:ascii="Times New Roman" w:eastAsia="Calibri" w:hAnsi="Times New Roman" w:cs="Times New Roman"/>
                <w:sz w:val="20"/>
                <w:szCs w:val="20"/>
                <w:lang w:val="en-GB"/>
              </w:rPr>
              <w:t>size</w:t>
            </w:r>
            <w:r w:rsidRPr="007A3524">
              <w:rPr>
                <w:rFonts w:ascii="Times New Roman" w:eastAsia="Calibri" w:hAnsi="Times New Roman" w:cs="Times New Roman"/>
                <w:sz w:val="20"/>
                <w:szCs w:val="20"/>
                <w:vertAlign w:val="superscript"/>
                <w:lang w:val="en-GB"/>
              </w:rPr>
              <w:t>c</w:t>
            </w:r>
            <w:proofErr w:type="spellEnd"/>
          </w:p>
        </w:tc>
        <w:tc>
          <w:tcPr>
            <w:tcW w:w="1134" w:type="dxa"/>
            <w:vAlign w:val="center"/>
          </w:tcPr>
          <w:p w14:paraId="267095D9"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0.000</w:t>
            </w:r>
          </w:p>
        </w:tc>
        <w:tc>
          <w:tcPr>
            <w:tcW w:w="851" w:type="dxa"/>
            <w:gridSpan w:val="2"/>
            <w:vAlign w:val="center"/>
          </w:tcPr>
          <w:p w14:paraId="48317781"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1.000</w:t>
            </w:r>
          </w:p>
        </w:tc>
      </w:tr>
      <w:tr w:rsidR="006A16A6" w:rsidRPr="007A3524" w14:paraId="2C4EFA70" w14:textId="77777777" w:rsidTr="00241E86">
        <w:tc>
          <w:tcPr>
            <w:tcW w:w="3369" w:type="dxa"/>
          </w:tcPr>
          <w:p w14:paraId="394CB0D7" w14:textId="77777777" w:rsidR="006A16A6" w:rsidRPr="007A3524" w:rsidRDefault="006A16A6" w:rsidP="00241E86">
            <w:pPr>
              <w:ind w:firstLine="28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 xml:space="preserve">Average class </w:t>
            </w:r>
            <w:proofErr w:type="spellStart"/>
            <w:r w:rsidRPr="007A3524">
              <w:rPr>
                <w:rFonts w:ascii="Times New Roman" w:eastAsia="Calibri" w:hAnsi="Times New Roman" w:cs="Times New Roman"/>
                <w:sz w:val="20"/>
                <w:szCs w:val="20"/>
                <w:lang w:val="en-GB"/>
              </w:rPr>
              <w:t>size</w:t>
            </w:r>
            <w:r w:rsidRPr="007A3524">
              <w:rPr>
                <w:rFonts w:ascii="Times New Roman" w:eastAsia="Calibri" w:hAnsi="Times New Roman" w:cs="Times New Roman"/>
                <w:sz w:val="20"/>
                <w:szCs w:val="20"/>
                <w:vertAlign w:val="superscript"/>
                <w:lang w:val="en-GB"/>
              </w:rPr>
              <w:t>c</w:t>
            </w:r>
            <w:proofErr w:type="spellEnd"/>
          </w:p>
        </w:tc>
        <w:tc>
          <w:tcPr>
            <w:tcW w:w="1134" w:type="dxa"/>
            <w:vAlign w:val="center"/>
          </w:tcPr>
          <w:p w14:paraId="4E28F3DC"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-0.084</w:t>
            </w:r>
          </w:p>
        </w:tc>
        <w:tc>
          <w:tcPr>
            <w:tcW w:w="851" w:type="dxa"/>
            <w:gridSpan w:val="2"/>
            <w:vAlign w:val="center"/>
          </w:tcPr>
          <w:p w14:paraId="14200AE7"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0.919</w:t>
            </w:r>
          </w:p>
        </w:tc>
      </w:tr>
      <w:tr w:rsidR="006A16A6" w:rsidRPr="007A3524" w14:paraId="16E89BCA" w14:textId="77777777" w:rsidTr="00241E86">
        <w:trPr>
          <w:gridAfter w:val="1"/>
          <w:wAfter w:w="851" w:type="dxa"/>
        </w:trPr>
        <w:tc>
          <w:tcPr>
            <w:tcW w:w="3369" w:type="dxa"/>
            <w:tcBorders>
              <w:bottom w:val="nil"/>
            </w:tcBorders>
          </w:tcPr>
          <w:p w14:paraId="6CEA6F34" w14:textId="77777777" w:rsidR="006A16A6" w:rsidRPr="007A3524" w:rsidRDefault="006A16A6" w:rsidP="00241E86">
            <w:pPr>
              <w:ind w:firstLine="284"/>
              <w:rPr>
                <w:rFonts w:ascii="Times New Roman" w:eastAsia="Calibri" w:hAnsi="Times New Roman" w:cs="Times New Roman"/>
                <w:sz w:val="20"/>
                <w:szCs w:val="20"/>
                <w:vertAlign w:val="superscript"/>
                <w:lang w:val="en-GB"/>
              </w:rPr>
            </w:pPr>
            <w:r w:rsidRPr="007A3524">
              <w:rPr>
                <w:rFonts w:ascii="Times New Roman" w:eastAsia="Calibri" w:hAnsi="Times New Roman" w:cs="Times New Roman"/>
                <w:sz w:val="20"/>
                <w:szCs w:val="20"/>
                <w:lang w:val="en-GB"/>
              </w:rPr>
              <w:t xml:space="preserve">Real estate </w:t>
            </w:r>
            <w:proofErr w:type="spellStart"/>
            <w:r w:rsidRPr="007A3524">
              <w:rPr>
                <w:rFonts w:ascii="Times New Roman" w:eastAsia="Calibri" w:hAnsi="Times New Roman" w:cs="Times New Roman"/>
                <w:sz w:val="20"/>
                <w:szCs w:val="20"/>
                <w:lang w:val="en-GB"/>
              </w:rPr>
              <w:t>prices</w:t>
            </w:r>
            <w:r w:rsidRPr="007A3524">
              <w:rPr>
                <w:rFonts w:ascii="Times New Roman" w:eastAsia="Calibri" w:hAnsi="Times New Roman" w:cs="Times New Roman"/>
                <w:sz w:val="20"/>
                <w:szCs w:val="20"/>
                <w:vertAlign w:val="superscript"/>
                <w:lang w:val="en-GB"/>
              </w:rPr>
              <w:t>d</w:t>
            </w:r>
            <w:proofErr w:type="spellEnd"/>
          </w:p>
        </w:tc>
        <w:tc>
          <w:tcPr>
            <w:tcW w:w="1134" w:type="dxa"/>
            <w:tcBorders>
              <w:bottom w:val="nil"/>
            </w:tcBorders>
            <w:vAlign w:val="center"/>
          </w:tcPr>
          <w:p w14:paraId="78B919E5"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 </w:t>
            </w:r>
          </w:p>
        </w:tc>
        <w:tc>
          <w:tcPr>
            <w:tcW w:w="851" w:type="dxa"/>
            <w:tcBorders>
              <w:bottom w:val="nil"/>
            </w:tcBorders>
            <w:vAlign w:val="center"/>
          </w:tcPr>
          <w:p w14:paraId="702357B5"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 </w:t>
            </w:r>
          </w:p>
        </w:tc>
      </w:tr>
      <w:tr w:rsidR="006A16A6" w:rsidRPr="007A3524" w14:paraId="06A19A2A" w14:textId="77777777" w:rsidTr="00241E86">
        <w:tc>
          <w:tcPr>
            <w:tcW w:w="3369" w:type="dxa"/>
            <w:tcBorders>
              <w:top w:val="nil"/>
              <w:bottom w:val="nil"/>
            </w:tcBorders>
          </w:tcPr>
          <w:p w14:paraId="74AD508C" w14:textId="77777777" w:rsidR="006A16A6" w:rsidRPr="007A3524" w:rsidRDefault="006A16A6" w:rsidP="00241E86">
            <w:pPr>
              <w:ind w:firstLine="567"/>
              <w:rPr>
                <w:rFonts w:ascii="Times New Roman" w:eastAsia="Calibri" w:hAnsi="Times New Roman" w:cs="Times New Roman"/>
                <w:sz w:val="20"/>
                <w:szCs w:val="20"/>
                <w:vertAlign w:val="superscript"/>
                <w:lang w:val="en-GB"/>
              </w:rPr>
            </w:pPr>
            <w:r w:rsidRPr="007A3524">
              <w:rPr>
                <w:rFonts w:ascii="Times New Roman" w:eastAsia="Calibri" w:hAnsi="Times New Roman" w:cs="Times New Roman"/>
                <w:sz w:val="20"/>
                <w:szCs w:val="20"/>
                <w:lang w:val="en-GB"/>
              </w:rPr>
              <w:t xml:space="preserve">Not enough </w:t>
            </w:r>
            <w:proofErr w:type="spellStart"/>
            <w:r w:rsidRPr="007A3524">
              <w:rPr>
                <w:rFonts w:ascii="Times New Roman" w:eastAsia="Calibri" w:hAnsi="Times New Roman" w:cs="Times New Roman"/>
                <w:sz w:val="20"/>
                <w:szCs w:val="20"/>
                <w:lang w:val="en-GB"/>
              </w:rPr>
              <w:t>information</w:t>
            </w:r>
            <w:r w:rsidRPr="007A3524">
              <w:rPr>
                <w:rFonts w:ascii="Times New Roman" w:eastAsia="Calibri" w:hAnsi="Times New Roman" w:cs="Times New Roman"/>
                <w:sz w:val="20"/>
                <w:szCs w:val="20"/>
                <w:vertAlign w:val="superscript"/>
                <w:lang w:val="en-GB"/>
              </w:rPr>
              <w:t>e</w:t>
            </w:r>
            <w:proofErr w:type="spellEnd"/>
          </w:p>
        </w:tc>
        <w:tc>
          <w:tcPr>
            <w:tcW w:w="1134" w:type="dxa"/>
            <w:tcBorders>
              <w:top w:val="nil"/>
              <w:bottom w:val="nil"/>
            </w:tcBorders>
            <w:vAlign w:val="center"/>
          </w:tcPr>
          <w:p w14:paraId="37F80598"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-0.392</w:t>
            </w:r>
          </w:p>
        </w:tc>
        <w:tc>
          <w:tcPr>
            <w:tcW w:w="851" w:type="dxa"/>
            <w:gridSpan w:val="2"/>
            <w:tcBorders>
              <w:top w:val="nil"/>
              <w:bottom w:val="nil"/>
            </w:tcBorders>
            <w:vAlign w:val="center"/>
          </w:tcPr>
          <w:p w14:paraId="40FB6013"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0.676</w:t>
            </w:r>
          </w:p>
        </w:tc>
      </w:tr>
      <w:tr w:rsidR="006A16A6" w:rsidRPr="007A3524" w14:paraId="233AE2D9" w14:textId="77777777" w:rsidTr="00241E86">
        <w:trPr>
          <w:trHeight w:val="95"/>
        </w:trPr>
        <w:tc>
          <w:tcPr>
            <w:tcW w:w="3369" w:type="dxa"/>
            <w:tcBorders>
              <w:top w:val="nil"/>
              <w:bottom w:val="nil"/>
            </w:tcBorders>
          </w:tcPr>
          <w:p w14:paraId="00A3E7E5" w14:textId="77777777" w:rsidR="006A16A6" w:rsidRPr="007A3524" w:rsidRDefault="006A16A6" w:rsidP="00241E86">
            <w:pPr>
              <w:ind w:firstLine="567"/>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&lt; 8000 HRK/m</w:t>
            </w:r>
            <w:r w:rsidRPr="007A3524">
              <w:rPr>
                <w:rFonts w:ascii="Times New Roman" w:eastAsia="Calibri" w:hAnsi="Times New Roman" w:cs="Times New Roman"/>
                <w:sz w:val="20"/>
                <w:szCs w:val="20"/>
                <w:vertAlign w:val="superscript"/>
                <w:lang w:val="en-GB"/>
              </w:rPr>
              <w:t>2</w:t>
            </w:r>
          </w:p>
        </w:tc>
        <w:tc>
          <w:tcPr>
            <w:tcW w:w="1134" w:type="dxa"/>
            <w:tcBorders>
              <w:top w:val="nil"/>
              <w:bottom w:val="nil"/>
            </w:tcBorders>
            <w:vAlign w:val="center"/>
          </w:tcPr>
          <w:p w14:paraId="2B03FD3B"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-0.117</w:t>
            </w:r>
          </w:p>
        </w:tc>
        <w:tc>
          <w:tcPr>
            <w:tcW w:w="851" w:type="dxa"/>
            <w:gridSpan w:val="2"/>
            <w:tcBorders>
              <w:top w:val="nil"/>
              <w:bottom w:val="nil"/>
            </w:tcBorders>
            <w:vAlign w:val="center"/>
          </w:tcPr>
          <w:p w14:paraId="53168D63"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0.890</w:t>
            </w:r>
          </w:p>
        </w:tc>
      </w:tr>
      <w:tr w:rsidR="006A16A6" w:rsidRPr="007A3524" w14:paraId="173E3718" w14:textId="77777777" w:rsidTr="00241E86">
        <w:tc>
          <w:tcPr>
            <w:tcW w:w="3369" w:type="dxa"/>
            <w:tcBorders>
              <w:top w:val="nil"/>
              <w:bottom w:val="single" w:sz="4" w:space="0" w:color="auto"/>
            </w:tcBorders>
          </w:tcPr>
          <w:p w14:paraId="251D72C1" w14:textId="77777777" w:rsidR="006A16A6" w:rsidRPr="007A3524" w:rsidRDefault="006A16A6" w:rsidP="00241E86">
            <w:pPr>
              <w:tabs>
                <w:tab w:val="left" w:pos="353"/>
              </w:tabs>
              <w:ind w:firstLine="567"/>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8000-9500 HRK/m</w:t>
            </w:r>
            <w:r w:rsidRPr="007A3524">
              <w:rPr>
                <w:rFonts w:ascii="Times New Roman" w:eastAsia="Calibri" w:hAnsi="Times New Roman" w:cs="Times New Roman"/>
                <w:sz w:val="20"/>
                <w:szCs w:val="20"/>
                <w:vertAlign w:val="superscript"/>
                <w:lang w:val="en-GB"/>
              </w:rPr>
              <w:t>2</w:t>
            </w:r>
          </w:p>
        </w:tc>
        <w:tc>
          <w:tcPr>
            <w:tcW w:w="1134" w:type="dxa"/>
            <w:tcBorders>
              <w:top w:val="nil"/>
              <w:bottom w:val="single" w:sz="4" w:space="0" w:color="auto"/>
            </w:tcBorders>
            <w:vAlign w:val="center"/>
          </w:tcPr>
          <w:p w14:paraId="75C81A5F" w14:textId="77777777" w:rsidR="006A16A6" w:rsidRPr="007A3524" w:rsidRDefault="006A16A6" w:rsidP="00241E86">
            <w:pPr>
              <w:tabs>
                <w:tab w:val="decimal" w:pos="260"/>
              </w:tabs>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0.082</w:t>
            </w:r>
          </w:p>
        </w:tc>
        <w:tc>
          <w:tcPr>
            <w:tcW w:w="851" w:type="dxa"/>
            <w:gridSpan w:val="2"/>
            <w:tcBorders>
              <w:top w:val="nil"/>
              <w:bottom w:val="single" w:sz="4" w:space="0" w:color="auto"/>
            </w:tcBorders>
            <w:vAlign w:val="center"/>
          </w:tcPr>
          <w:p w14:paraId="18A89A90"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1.085</w:t>
            </w:r>
          </w:p>
        </w:tc>
      </w:tr>
      <w:tr w:rsidR="006A16A6" w:rsidRPr="007A3524" w14:paraId="43037954" w14:textId="77777777" w:rsidTr="00241E86">
        <w:trPr>
          <w:gridAfter w:val="1"/>
          <w:wAfter w:w="851" w:type="dxa"/>
        </w:trPr>
        <w:tc>
          <w:tcPr>
            <w:tcW w:w="3369" w:type="dxa"/>
            <w:tcBorders>
              <w:top w:val="single" w:sz="4" w:space="0" w:color="auto"/>
              <w:bottom w:val="nil"/>
            </w:tcBorders>
          </w:tcPr>
          <w:p w14:paraId="48D450B6" w14:textId="77777777" w:rsidR="006A16A6" w:rsidRPr="007A3524" w:rsidRDefault="006A16A6" w:rsidP="00241E86">
            <w:pPr>
              <w:ind w:firstLine="28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-2LL</w:t>
            </w:r>
          </w:p>
        </w:tc>
        <w:tc>
          <w:tcPr>
            <w:tcW w:w="1134" w:type="dxa"/>
            <w:tcBorders>
              <w:top w:val="single" w:sz="4" w:space="0" w:color="auto"/>
              <w:bottom w:val="nil"/>
            </w:tcBorders>
          </w:tcPr>
          <w:p w14:paraId="14292A6A"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8430.401</w:t>
            </w:r>
          </w:p>
        </w:tc>
        <w:tc>
          <w:tcPr>
            <w:tcW w:w="851" w:type="dxa"/>
            <w:tcBorders>
              <w:top w:val="single" w:sz="4" w:space="0" w:color="auto"/>
              <w:bottom w:val="nil"/>
            </w:tcBorders>
          </w:tcPr>
          <w:p w14:paraId="0A4CE540" w14:textId="77777777" w:rsidR="006A16A6" w:rsidRPr="007A3524" w:rsidRDefault="006A16A6" w:rsidP="00241E86">
            <w:pPr>
              <w:rPr>
                <w:rFonts w:ascii="Times New Roman" w:eastAsia="Calibri" w:hAnsi="Times New Roman" w:cs="Times New Roman"/>
                <w:sz w:val="20"/>
                <w:szCs w:val="20"/>
                <w:lang w:val="en-GB"/>
              </w:rPr>
            </w:pPr>
          </w:p>
        </w:tc>
      </w:tr>
      <w:tr w:rsidR="006A16A6" w:rsidRPr="007A3524" w14:paraId="2D1C1B9D" w14:textId="77777777" w:rsidTr="00241E86">
        <w:trPr>
          <w:gridAfter w:val="1"/>
          <w:wAfter w:w="851" w:type="dxa"/>
        </w:trPr>
        <w:tc>
          <w:tcPr>
            <w:tcW w:w="3369" w:type="dxa"/>
            <w:tcBorders>
              <w:top w:val="nil"/>
              <w:bottom w:val="nil"/>
            </w:tcBorders>
          </w:tcPr>
          <w:p w14:paraId="77526461" w14:textId="77777777" w:rsidR="006A16A6" w:rsidRPr="007A3524" w:rsidRDefault="006A16A6" w:rsidP="00241E86">
            <w:pPr>
              <w:ind w:firstLine="28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AIC</w:t>
            </w:r>
          </w:p>
        </w:tc>
        <w:tc>
          <w:tcPr>
            <w:tcW w:w="1134" w:type="dxa"/>
            <w:tcBorders>
              <w:top w:val="nil"/>
              <w:bottom w:val="nil"/>
            </w:tcBorders>
          </w:tcPr>
          <w:p w14:paraId="2EE1C76A"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8432.406</w:t>
            </w:r>
          </w:p>
        </w:tc>
        <w:tc>
          <w:tcPr>
            <w:tcW w:w="851" w:type="dxa"/>
            <w:tcBorders>
              <w:top w:val="nil"/>
              <w:bottom w:val="nil"/>
            </w:tcBorders>
          </w:tcPr>
          <w:p w14:paraId="26ABEFD2" w14:textId="77777777" w:rsidR="006A16A6" w:rsidRPr="007A3524" w:rsidRDefault="006A16A6" w:rsidP="00241E86">
            <w:pPr>
              <w:rPr>
                <w:rFonts w:ascii="Times New Roman" w:eastAsia="Calibri" w:hAnsi="Times New Roman" w:cs="Times New Roman"/>
                <w:sz w:val="20"/>
                <w:szCs w:val="20"/>
                <w:lang w:val="en-GB"/>
              </w:rPr>
            </w:pPr>
          </w:p>
        </w:tc>
      </w:tr>
      <w:tr w:rsidR="006A16A6" w:rsidRPr="007A3524" w14:paraId="4A140DC7" w14:textId="77777777" w:rsidTr="00241E86">
        <w:trPr>
          <w:gridAfter w:val="1"/>
          <w:wAfter w:w="851" w:type="dxa"/>
        </w:trPr>
        <w:tc>
          <w:tcPr>
            <w:tcW w:w="3369" w:type="dxa"/>
          </w:tcPr>
          <w:p w14:paraId="2A5C2516" w14:textId="77777777" w:rsidR="006A16A6" w:rsidRPr="007A3524" w:rsidRDefault="006A16A6" w:rsidP="00241E86">
            <w:pPr>
              <w:ind w:firstLine="284"/>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BIC</w:t>
            </w:r>
          </w:p>
        </w:tc>
        <w:tc>
          <w:tcPr>
            <w:tcW w:w="1134" w:type="dxa"/>
          </w:tcPr>
          <w:p w14:paraId="2C0788AC" w14:textId="77777777" w:rsidR="006A16A6" w:rsidRPr="007A3524" w:rsidRDefault="006A16A6" w:rsidP="00241E86">
            <w:pPr>
              <w:rPr>
                <w:rFonts w:ascii="Times New Roman" w:eastAsia="Calibri" w:hAnsi="Times New Roman" w:cs="Times New Roman"/>
                <w:sz w:val="20"/>
                <w:szCs w:val="20"/>
                <w:lang w:val="en-GB"/>
              </w:rPr>
            </w:pPr>
            <w:r w:rsidRPr="007A3524">
              <w:rPr>
                <w:rFonts w:ascii="Times New Roman" w:eastAsia="Calibri" w:hAnsi="Times New Roman" w:cs="Times New Roman"/>
                <w:sz w:val="20"/>
                <w:szCs w:val="20"/>
                <w:lang w:val="en-GB"/>
              </w:rPr>
              <w:t>8436.973</w:t>
            </w:r>
          </w:p>
        </w:tc>
        <w:tc>
          <w:tcPr>
            <w:tcW w:w="851" w:type="dxa"/>
          </w:tcPr>
          <w:p w14:paraId="3812F37F" w14:textId="77777777" w:rsidR="006A16A6" w:rsidRPr="007A3524" w:rsidRDefault="006A16A6" w:rsidP="00241E86">
            <w:pPr>
              <w:rPr>
                <w:rFonts w:ascii="Times New Roman" w:eastAsia="Calibri" w:hAnsi="Times New Roman" w:cs="Times New Roman"/>
                <w:sz w:val="20"/>
                <w:szCs w:val="20"/>
                <w:lang w:val="en-GB"/>
              </w:rPr>
            </w:pPr>
          </w:p>
        </w:tc>
      </w:tr>
      <w:tr w:rsidR="006A16A6" w:rsidRPr="007A3524" w14:paraId="5D7AB5AB" w14:textId="77777777" w:rsidTr="00241E86">
        <w:trPr>
          <w:gridAfter w:val="1"/>
          <w:wAfter w:w="851" w:type="dxa"/>
        </w:trPr>
        <w:tc>
          <w:tcPr>
            <w:tcW w:w="3369" w:type="dxa"/>
          </w:tcPr>
          <w:p w14:paraId="7E615F6F" w14:textId="77777777" w:rsidR="006A16A6" w:rsidRPr="007A3524" w:rsidRDefault="006A16A6" w:rsidP="00241E86">
            <w:pPr>
              <w:ind w:firstLine="284"/>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of cases classified correctly</w:t>
            </w:r>
          </w:p>
        </w:tc>
        <w:tc>
          <w:tcPr>
            <w:tcW w:w="1134" w:type="dxa"/>
          </w:tcPr>
          <w:p w14:paraId="789724D9" w14:textId="77777777" w:rsidR="006A16A6" w:rsidRPr="007A3524" w:rsidRDefault="006A16A6" w:rsidP="00241E86">
            <w:pPr>
              <w:tabs>
                <w:tab w:val="decimal" w:pos="351"/>
              </w:tabs>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67.3 %</w:t>
            </w:r>
          </w:p>
        </w:tc>
        <w:tc>
          <w:tcPr>
            <w:tcW w:w="851" w:type="dxa"/>
          </w:tcPr>
          <w:p w14:paraId="596D9F07" w14:textId="77777777" w:rsidR="006A16A6" w:rsidRPr="007A3524" w:rsidRDefault="006A16A6" w:rsidP="00241E86">
            <w:pPr>
              <w:rPr>
                <w:rFonts w:ascii="Times New Roman" w:eastAsia="Calibri" w:hAnsi="Times New Roman" w:cs="Times New Roman"/>
                <w:sz w:val="20"/>
                <w:szCs w:val="20"/>
                <w:lang w:val="en-GB"/>
              </w:rPr>
            </w:pPr>
          </w:p>
        </w:tc>
      </w:tr>
    </w:tbl>
    <w:p w14:paraId="47985110" w14:textId="77777777" w:rsidR="006A16A6" w:rsidRDefault="006A16A6" w:rsidP="006A16A6">
      <w:pPr>
        <w:spacing w:after="0" w:line="240" w:lineRule="auto"/>
      </w:pPr>
      <w:r w:rsidRPr="007A3524">
        <w:rPr>
          <w:rFonts w:ascii="Times New Roman" w:eastAsia="Calibri" w:hAnsi="Times New Roman" w:cs="Times New Roman"/>
          <w:sz w:val="20"/>
          <w:szCs w:val="20"/>
          <w:lang w:val="en-GB"/>
        </w:rPr>
        <w:t xml:space="preserve">Note. Outcome: </w:t>
      </w:r>
      <w:r w:rsidRPr="007A3524">
        <w:rPr>
          <w:rFonts w:ascii="Times New Roman" w:eastAsia="Calibri" w:hAnsi="Times New Roman" w:cs="Times New Roman"/>
          <w:i/>
          <w:iCs/>
          <w:sz w:val="20"/>
          <w:szCs w:val="20"/>
          <w:lang w:val="en-GB"/>
        </w:rPr>
        <w:t>In the future, I want to pursue higher education.</w:t>
      </w:r>
      <w:r w:rsidRPr="007A3524">
        <w:rPr>
          <w:rFonts w:ascii="Times New Roman" w:eastAsia="Calibri" w:hAnsi="Times New Roman" w:cs="Times New Roman"/>
          <w:sz w:val="20"/>
          <w:szCs w:val="20"/>
          <w:lang w:val="en-GB"/>
        </w:rPr>
        <w:t xml:space="preserve"> (</w:t>
      </w:r>
      <w:proofErr w:type="gramStart"/>
      <w:r w:rsidRPr="007A3524">
        <w:rPr>
          <w:rFonts w:ascii="Times New Roman" w:eastAsia="Calibri" w:hAnsi="Times New Roman" w:cs="Times New Roman"/>
          <w:sz w:val="20"/>
          <w:szCs w:val="20"/>
          <w:lang w:val="en-GB"/>
        </w:rPr>
        <w:t>0</w:t>
      </w:r>
      <w:proofErr w:type="gramEnd"/>
      <w:r w:rsidRPr="007A3524">
        <w:rPr>
          <w:rFonts w:ascii="Times New Roman" w:eastAsia="Calibri" w:hAnsi="Times New Roman" w:cs="Times New Roman"/>
          <w:sz w:val="20"/>
          <w:szCs w:val="20"/>
          <w:lang w:val="en-GB"/>
        </w:rPr>
        <w:t xml:space="preserve"> – </w:t>
      </w:r>
      <w:r w:rsidRPr="007A3524">
        <w:rPr>
          <w:rFonts w:ascii="Times New Roman" w:eastAsia="Calibri" w:hAnsi="Times New Roman" w:cs="Times New Roman"/>
          <w:i/>
          <w:iCs/>
          <w:sz w:val="20"/>
          <w:szCs w:val="20"/>
          <w:lang w:val="en-GB"/>
        </w:rPr>
        <w:t>I completely disagree / I generally disagree</w:t>
      </w:r>
      <w:r w:rsidRPr="007A3524">
        <w:rPr>
          <w:rFonts w:ascii="Times New Roman" w:eastAsia="Calibri" w:hAnsi="Times New Roman" w:cs="Times New Roman"/>
          <w:sz w:val="20"/>
          <w:szCs w:val="20"/>
          <w:lang w:val="en-GB"/>
        </w:rPr>
        <w:t xml:space="preserve">; 1 – </w:t>
      </w:r>
      <w:r w:rsidRPr="007A3524">
        <w:rPr>
          <w:rFonts w:ascii="Times New Roman" w:eastAsia="Calibri" w:hAnsi="Times New Roman" w:cs="Times New Roman"/>
          <w:i/>
          <w:iCs/>
          <w:sz w:val="20"/>
          <w:szCs w:val="20"/>
          <w:lang w:val="en-GB"/>
        </w:rPr>
        <w:t>I neither agree nor disagree</w:t>
      </w:r>
      <w:r w:rsidRPr="007A3524">
        <w:rPr>
          <w:rFonts w:ascii="Times New Roman" w:eastAsia="Calibri" w:hAnsi="Times New Roman" w:cs="Times New Roman"/>
          <w:sz w:val="20"/>
          <w:szCs w:val="20"/>
          <w:lang w:val="en-GB"/>
        </w:rPr>
        <w:t xml:space="preserve">; 2 – </w:t>
      </w:r>
      <w:r w:rsidRPr="007A3524">
        <w:rPr>
          <w:rFonts w:ascii="Times New Roman" w:eastAsia="Calibri" w:hAnsi="Times New Roman" w:cs="Times New Roman"/>
          <w:i/>
          <w:iCs/>
          <w:sz w:val="20"/>
          <w:szCs w:val="20"/>
          <w:lang w:val="en-GB"/>
        </w:rPr>
        <w:t>I generally agree</w:t>
      </w:r>
      <w:r w:rsidRPr="007A3524">
        <w:rPr>
          <w:rFonts w:ascii="Times New Roman" w:eastAsia="Calibri" w:hAnsi="Times New Roman" w:cs="Times New Roman"/>
          <w:sz w:val="20"/>
          <w:szCs w:val="20"/>
          <w:lang w:val="en-GB"/>
        </w:rPr>
        <w:t xml:space="preserve">; 3 – </w:t>
      </w:r>
      <w:r w:rsidRPr="007A3524">
        <w:rPr>
          <w:rFonts w:ascii="Times New Roman" w:eastAsia="Calibri" w:hAnsi="Times New Roman" w:cs="Times New Roman"/>
          <w:i/>
          <w:iCs/>
          <w:sz w:val="20"/>
          <w:szCs w:val="20"/>
          <w:lang w:val="en-GB"/>
        </w:rPr>
        <w:t>I completely agree</w:t>
      </w:r>
      <w:r w:rsidRPr="007A3524">
        <w:rPr>
          <w:rFonts w:ascii="Times New Roman" w:eastAsia="Calibri" w:hAnsi="Times New Roman" w:cs="Times New Roman"/>
          <w:sz w:val="20"/>
          <w:szCs w:val="20"/>
          <w:lang w:val="en-GB"/>
        </w:rPr>
        <w:t xml:space="preserve">). The reference category is </w:t>
      </w:r>
      <w:proofErr w:type="gramStart"/>
      <w:r w:rsidRPr="007A3524">
        <w:rPr>
          <w:rFonts w:ascii="Times New Roman" w:eastAsia="Calibri" w:hAnsi="Times New Roman" w:cs="Times New Roman"/>
          <w:sz w:val="20"/>
          <w:szCs w:val="20"/>
          <w:lang w:val="en-GB"/>
        </w:rPr>
        <w:t>3</w:t>
      </w:r>
      <w:proofErr w:type="gramEnd"/>
      <w:r w:rsidRPr="007A3524">
        <w:rPr>
          <w:rFonts w:ascii="Times New Roman" w:eastAsia="Calibri" w:hAnsi="Times New Roman" w:cs="Times New Roman"/>
          <w:sz w:val="20"/>
          <w:szCs w:val="20"/>
          <w:lang w:val="en-GB"/>
        </w:rPr>
        <w:t xml:space="preserve"> – </w:t>
      </w:r>
      <w:r w:rsidRPr="007A3524">
        <w:rPr>
          <w:rFonts w:ascii="Times New Roman" w:eastAsia="Calibri" w:hAnsi="Times New Roman" w:cs="Times New Roman"/>
          <w:i/>
          <w:iCs/>
          <w:sz w:val="20"/>
          <w:szCs w:val="20"/>
          <w:lang w:val="en-GB"/>
        </w:rPr>
        <w:t>I completely agree</w:t>
      </w:r>
      <w:r w:rsidRPr="007A3524">
        <w:rPr>
          <w:rFonts w:ascii="Times New Roman" w:eastAsia="Calibri" w:hAnsi="Times New Roman" w:cs="Times New Roman"/>
          <w:sz w:val="20"/>
          <w:szCs w:val="20"/>
          <w:lang w:val="en-GB"/>
        </w:rPr>
        <w:t xml:space="preserve">. </w:t>
      </w:r>
      <w:proofErr w:type="gramStart"/>
      <w:r w:rsidRPr="007A3524">
        <w:rPr>
          <w:rFonts w:ascii="Times New Roman" w:eastAsia="Calibri" w:hAnsi="Times New Roman" w:cs="Times New Roman"/>
          <w:sz w:val="20"/>
          <w:szCs w:val="20"/>
          <w:lang w:val="en-GB"/>
        </w:rPr>
        <w:t>OR</w:t>
      </w:r>
      <w:proofErr w:type="gramEnd"/>
      <w:r w:rsidRPr="007A3524">
        <w:rPr>
          <w:rFonts w:ascii="Times New Roman" w:eastAsia="Calibri" w:hAnsi="Times New Roman" w:cs="Times New Roman"/>
          <w:sz w:val="20"/>
          <w:szCs w:val="20"/>
          <w:lang w:val="en-GB"/>
        </w:rPr>
        <w:t xml:space="preserve"> = Odds ratio, -2LL = −2 log likelihood, AIC = </w:t>
      </w:r>
      <w:proofErr w:type="spellStart"/>
      <w:r w:rsidRPr="007A3524">
        <w:rPr>
          <w:rFonts w:ascii="Times New Roman" w:eastAsia="Calibri" w:hAnsi="Times New Roman" w:cs="Times New Roman"/>
          <w:sz w:val="20"/>
          <w:szCs w:val="20"/>
          <w:lang w:val="en-GB"/>
        </w:rPr>
        <w:t>Akaike’s</w:t>
      </w:r>
      <w:proofErr w:type="spellEnd"/>
      <w:r w:rsidRPr="007A3524">
        <w:rPr>
          <w:rFonts w:ascii="Times New Roman" w:eastAsia="Calibri" w:hAnsi="Times New Roman" w:cs="Times New Roman"/>
          <w:sz w:val="20"/>
          <w:szCs w:val="20"/>
          <w:lang w:val="en-GB"/>
        </w:rPr>
        <w:t xml:space="preserve"> information criterion, BIC = Bayesian information criterion, HRK – Croatian </w:t>
      </w:r>
      <w:proofErr w:type="spellStart"/>
      <w:r w:rsidRPr="007A3524">
        <w:rPr>
          <w:rFonts w:ascii="Times New Roman" w:eastAsia="Calibri" w:hAnsi="Times New Roman" w:cs="Times New Roman"/>
          <w:sz w:val="20"/>
          <w:szCs w:val="20"/>
          <w:lang w:val="en-GB"/>
        </w:rPr>
        <w:t>kuna</w:t>
      </w:r>
      <w:proofErr w:type="spellEnd"/>
      <w:r w:rsidRPr="007A3524">
        <w:rPr>
          <w:rFonts w:ascii="Times New Roman" w:eastAsia="Calibri" w:hAnsi="Times New Roman" w:cs="Times New Roman"/>
          <w:sz w:val="20"/>
          <w:szCs w:val="20"/>
          <w:lang w:val="en-GB"/>
        </w:rPr>
        <w:t xml:space="preserve">. </w:t>
      </w:r>
      <w:proofErr w:type="spellStart"/>
      <w:proofErr w:type="gramStart"/>
      <w:r w:rsidRPr="007A3524">
        <w:rPr>
          <w:rFonts w:ascii="Times New Roman" w:eastAsia="Calibri" w:hAnsi="Times New Roman" w:cs="Times New Roman"/>
          <w:sz w:val="20"/>
          <w:szCs w:val="20"/>
          <w:vertAlign w:val="superscript"/>
          <w:lang w:val="en-GB"/>
        </w:rPr>
        <w:t>a</w:t>
      </w:r>
      <w:proofErr w:type="spellEnd"/>
      <w:proofErr w:type="gramEnd"/>
      <w:r w:rsidRPr="007A3524">
        <w:rPr>
          <w:rFonts w:ascii="Times New Roman" w:eastAsia="Calibri" w:hAnsi="Times New Roman" w:cs="Times New Roman"/>
          <w:sz w:val="20"/>
          <w:szCs w:val="20"/>
          <w:lang w:val="en-GB"/>
        </w:rPr>
        <w:t xml:space="preserve"> The reference category is </w:t>
      </w:r>
      <w:r w:rsidRPr="007A3524">
        <w:rPr>
          <w:rFonts w:ascii="Times New Roman" w:eastAsia="Calibri" w:hAnsi="Times New Roman" w:cs="Times New Roman"/>
          <w:i/>
          <w:iCs/>
          <w:sz w:val="20"/>
          <w:szCs w:val="20"/>
          <w:lang w:val="en-GB"/>
        </w:rPr>
        <w:t>Employed</w:t>
      </w:r>
      <w:r w:rsidRPr="007A3524">
        <w:rPr>
          <w:rFonts w:ascii="Times New Roman" w:eastAsia="Calibri" w:hAnsi="Times New Roman" w:cs="Times New Roman"/>
          <w:sz w:val="20"/>
          <w:szCs w:val="20"/>
          <w:lang w:val="en-GB"/>
        </w:rPr>
        <w:t xml:space="preserve">. </w:t>
      </w:r>
      <w:proofErr w:type="gramStart"/>
      <w:r w:rsidRPr="007A3524">
        <w:rPr>
          <w:rFonts w:ascii="Times New Roman" w:eastAsia="Calibri" w:hAnsi="Times New Roman" w:cs="Times New Roman"/>
          <w:sz w:val="20"/>
          <w:szCs w:val="20"/>
          <w:vertAlign w:val="superscript"/>
          <w:lang w:val="en-GB"/>
        </w:rPr>
        <w:t>b</w:t>
      </w:r>
      <w:proofErr w:type="gramEnd"/>
      <w:r w:rsidRPr="007A3524">
        <w:rPr>
          <w:rFonts w:ascii="Times New Roman" w:eastAsia="Calibri" w:hAnsi="Times New Roman" w:cs="Times New Roman"/>
          <w:sz w:val="20"/>
          <w:szCs w:val="20"/>
          <w:lang w:val="en-GB"/>
        </w:rPr>
        <w:t xml:space="preserve"> The reference category is </w:t>
      </w:r>
      <w:r w:rsidRPr="007A3524">
        <w:rPr>
          <w:rFonts w:ascii="Times New Roman" w:eastAsia="Calibri" w:hAnsi="Times New Roman" w:cs="Times New Roman"/>
          <w:i/>
          <w:iCs/>
          <w:sz w:val="20"/>
          <w:szCs w:val="20"/>
          <w:lang w:val="en-GB"/>
        </w:rPr>
        <w:t>Higher education</w:t>
      </w:r>
      <w:r w:rsidRPr="007A3524">
        <w:rPr>
          <w:rFonts w:ascii="Times New Roman" w:eastAsia="Calibri" w:hAnsi="Times New Roman" w:cs="Times New Roman"/>
          <w:sz w:val="20"/>
          <w:szCs w:val="20"/>
          <w:lang w:val="en-GB"/>
        </w:rPr>
        <w:t xml:space="preserve">. </w:t>
      </w:r>
      <w:proofErr w:type="gramStart"/>
      <w:r w:rsidRPr="007A3524">
        <w:rPr>
          <w:rFonts w:ascii="Times New Roman" w:eastAsia="Calibri" w:hAnsi="Times New Roman" w:cs="Times New Roman"/>
          <w:sz w:val="20"/>
          <w:szCs w:val="20"/>
          <w:vertAlign w:val="superscript"/>
          <w:lang w:val="en-GB"/>
        </w:rPr>
        <w:t>c</w:t>
      </w:r>
      <w:proofErr w:type="gramEnd"/>
      <w:r w:rsidRPr="007A3524">
        <w:rPr>
          <w:rFonts w:ascii="Times New Roman" w:eastAsia="Calibri" w:hAnsi="Times New Roman" w:cs="Times New Roman"/>
          <w:sz w:val="20"/>
          <w:szCs w:val="20"/>
          <w:lang w:val="en-GB"/>
        </w:rPr>
        <w:t xml:space="preserve"> The variable is grand-mean centred. </w:t>
      </w:r>
      <w:proofErr w:type="gramStart"/>
      <w:r w:rsidRPr="007A3524">
        <w:rPr>
          <w:rFonts w:ascii="Times New Roman" w:eastAsia="Calibri" w:hAnsi="Times New Roman" w:cs="Times New Roman"/>
          <w:sz w:val="20"/>
          <w:szCs w:val="20"/>
          <w:vertAlign w:val="superscript"/>
          <w:lang w:val="en-GB"/>
        </w:rPr>
        <w:t>d</w:t>
      </w:r>
      <w:proofErr w:type="gramEnd"/>
      <w:r w:rsidRPr="007A3524">
        <w:rPr>
          <w:rFonts w:ascii="Times New Roman" w:eastAsia="Calibri" w:hAnsi="Times New Roman" w:cs="Times New Roman"/>
          <w:sz w:val="20"/>
          <w:szCs w:val="20"/>
          <w:lang w:val="en-GB"/>
        </w:rPr>
        <w:t xml:space="preserve"> The reference category is &gt; </w:t>
      </w:r>
      <w:r w:rsidRPr="007A3524">
        <w:rPr>
          <w:rFonts w:ascii="Times New Roman" w:eastAsia="Calibri" w:hAnsi="Times New Roman" w:cs="Times New Roman"/>
          <w:sz w:val="20"/>
          <w:szCs w:val="20"/>
          <w:lang w:val="en-GB"/>
        </w:rPr>
        <w:lastRenderedPageBreak/>
        <w:t>9500 HRK/m</w:t>
      </w:r>
      <w:r w:rsidRPr="007A3524">
        <w:rPr>
          <w:rFonts w:ascii="Times New Roman" w:eastAsia="Calibri" w:hAnsi="Times New Roman" w:cs="Times New Roman"/>
          <w:sz w:val="20"/>
          <w:szCs w:val="20"/>
          <w:vertAlign w:val="superscript"/>
          <w:lang w:val="en-GB"/>
        </w:rPr>
        <w:t>2</w:t>
      </w:r>
      <w:r w:rsidRPr="007A3524">
        <w:rPr>
          <w:rFonts w:ascii="Times New Roman" w:eastAsia="Calibri" w:hAnsi="Times New Roman" w:cs="Times New Roman"/>
          <w:sz w:val="20"/>
          <w:szCs w:val="20"/>
          <w:lang w:val="en-GB"/>
        </w:rPr>
        <w:t xml:space="preserve">. </w:t>
      </w:r>
      <w:proofErr w:type="gramStart"/>
      <w:r w:rsidRPr="007A3524">
        <w:rPr>
          <w:rFonts w:ascii="Times New Roman" w:eastAsia="Calibri" w:hAnsi="Times New Roman" w:cs="Times New Roman"/>
          <w:sz w:val="20"/>
          <w:szCs w:val="20"/>
          <w:vertAlign w:val="superscript"/>
          <w:lang w:val="en-GB"/>
        </w:rPr>
        <w:t>e</w:t>
      </w:r>
      <w:proofErr w:type="gramEnd"/>
      <w:r w:rsidRPr="007A3524">
        <w:rPr>
          <w:rFonts w:ascii="Times New Roman" w:eastAsia="Calibri" w:hAnsi="Times New Roman" w:cs="Times New Roman"/>
          <w:sz w:val="20"/>
          <w:szCs w:val="20"/>
          <w:lang w:val="en-GB"/>
        </w:rPr>
        <w:t xml:space="preserve"> There were fewer than 10 apartments sold in the district in the period from 2012 to 2017. </w:t>
      </w:r>
      <w:r w:rsidRPr="007A3524">
        <w:rPr>
          <w:rFonts w:ascii="Times New Roman" w:eastAsia="Calibri" w:hAnsi="Times New Roman" w:cs="Times New Roman"/>
          <w:sz w:val="20"/>
          <w:szCs w:val="20"/>
          <w:vertAlign w:val="superscript"/>
          <w:lang w:val="en-GB"/>
        </w:rPr>
        <w:t>*</w:t>
      </w:r>
      <w:r w:rsidRPr="007A3524">
        <w:rPr>
          <w:rFonts w:ascii="Times New Roman" w:eastAsia="Calibri" w:hAnsi="Times New Roman" w:cs="Times New Roman"/>
          <w:i/>
          <w:iCs/>
          <w:sz w:val="20"/>
          <w:szCs w:val="20"/>
          <w:lang w:val="en-GB"/>
        </w:rPr>
        <w:t>p</w:t>
      </w:r>
      <w:r w:rsidRPr="007A3524">
        <w:rPr>
          <w:rFonts w:ascii="Times New Roman" w:eastAsia="Calibri" w:hAnsi="Times New Roman" w:cs="Times New Roman"/>
          <w:sz w:val="20"/>
          <w:szCs w:val="20"/>
          <w:lang w:val="en-GB"/>
        </w:rPr>
        <w:t xml:space="preserve"> &lt; .05. </w:t>
      </w:r>
      <w:r w:rsidRPr="007A3524">
        <w:rPr>
          <w:rFonts w:ascii="Times New Roman" w:eastAsia="Calibri" w:hAnsi="Times New Roman" w:cs="Times New Roman"/>
          <w:sz w:val="20"/>
          <w:szCs w:val="20"/>
          <w:vertAlign w:val="superscript"/>
          <w:lang w:val="en-GB"/>
        </w:rPr>
        <w:t>**</w:t>
      </w:r>
      <w:r w:rsidRPr="007A3524">
        <w:rPr>
          <w:rFonts w:ascii="Times New Roman" w:eastAsia="Calibri" w:hAnsi="Times New Roman" w:cs="Times New Roman"/>
          <w:i/>
          <w:iCs/>
          <w:sz w:val="20"/>
          <w:szCs w:val="20"/>
          <w:lang w:val="en-GB"/>
        </w:rPr>
        <w:t>p</w:t>
      </w:r>
      <w:r w:rsidRPr="007A3524">
        <w:rPr>
          <w:rFonts w:ascii="Times New Roman" w:eastAsia="Calibri" w:hAnsi="Times New Roman" w:cs="Times New Roman"/>
          <w:sz w:val="20"/>
          <w:szCs w:val="20"/>
          <w:lang w:val="en-GB"/>
        </w:rPr>
        <w:t xml:space="preserve"> &lt; .01</w:t>
      </w:r>
    </w:p>
    <w:p w14:paraId="19C4C355" w14:textId="77777777" w:rsidR="006A16A6" w:rsidRDefault="006A16A6" w:rsidP="003F755E">
      <w:pPr>
        <w:spacing w:line="480" w:lineRule="auto"/>
        <w:rPr>
          <w:lang w:val="en-GB"/>
        </w:rPr>
      </w:pPr>
    </w:p>
    <w:sectPr w:rsidR="006A16A6" w:rsidSect="00C03AF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3D729" w14:textId="77777777" w:rsidR="00FE1BAC" w:rsidRDefault="00FE1BAC" w:rsidP="008B29E8">
      <w:pPr>
        <w:spacing w:after="0" w:line="240" w:lineRule="auto"/>
      </w:pPr>
      <w:r>
        <w:separator/>
      </w:r>
    </w:p>
  </w:endnote>
  <w:endnote w:type="continuationSeparator" w:id="0">
    <w:p w14:paraId="7E06BEFE" w14:textId="77777777" w:rsidR="00FE1BAC" w:rsidRDefault="00FE1BAC" w:rsidP="008B29E8">
      <w:pPr>
        <w:spacing w:after="0" w:line="240" w:lineRule="auto"/>
      </w:pPr>
      <w:r>
        <w:continuationSeparator/>
      </w:r>
    </w:p>
  </w:endnote>
  <w:endnote w:type="continuationNotice" w:id="1">
    <w:p w14:paraId="407D796A" w14:textId="77777777" w:rsidR="00FE1BAC" w:rsidRDefault="00FE1B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D21BB" w14:textId="77777777" w:rsidR="00F73D7B" w:rsidRDefault="00F73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37473" w14:textId="77777777" w:rsidR="00FE1BAC" w:rsidRDefault="00FE1BAC" w:rsidP="008B29E8">
      <w:pPr>
        <w:spacing w:after="0" w:line="240" w:lineRule="auto"/>
      </w:pPr>
      <w:r>
        <w:separator/>
      </w:r>
    </w:p>
  </w:footnote>
  <w:footnote w:type="continuationSeparator" w:id="0">
    <w:p w14:paraId="4D8ACB68" w14:textId="77777777" w:rsidR="00FE1BAC" w:rsidRDefault="00FE1BAC" w:rsidP="008B29E8">
      <w:pPr>
        <w:spacing w:after="0" w:line="240" w:lineRule="auto"/>
      </w:pPr>
      <w:r>
        <w:continuationSeparator/>
      </w:r>
    </w:p>
  </w:footnote>
  <w:footnote w:type="continuationNotice" w:id="1">
    <w:p w14:paraId="7A97C945" w14:textId="77777777" w:rsidR="00FE1BAC" w:rsidRDefault="00FE1BAC">
      <w:pPr>
        <w:spacing w:after="0" w:line="240" w:lineRule="auto"/>
      </w:pPr>
    </w:p>
  </w:footnote>
  <w:footnote w:id="2">
    <w:p w14:paraId="09787243" w14:textId="65598DF0" w:rsidR="002D4D4C" w:rsidRPr="00BB02C6" w:rsidRDefault="002D4D4C" w:rsidP="00BB4F49">
      <w:pPr>
        <w:pStyle w:val="FootnoteText"/>
        <w:rPr>
          <w:rFonts w:ascii="Times New Roman" w:eastAsia="Times New Roman" w:hAnsi="Times New Roman" w:cs="Times New Roman"/>
          <w:sz w:val="22"/>
          <w:szCs w:val="24"/>
          <w:lang w:val="en-GB" w:eastAsia="en-GB"/>
        </w:rPr>
      </w:pPr>
      <w:r w:rsidRPr="00894701">
        <w:rPr>
          <w:rStyle w:val="FootnoteReference"/>
        </w:rPr>
        <w:footnoteRef/>
      </w:r>
      <w:r w:rsidRPr="00894701">
        <w:t xml:space="preserve"> </w:t>
      </w:r>
      <w:r w:rsidRPr="00BB02C6">
        <w:rPr>
          <w:rFonts w:ascii="Times New Roman" w:eastAsia="Times New Roman" w:hAnsi="Times New Roman" w:cs="Times New Roman"/>
          <w:sz w:val="22"/>
          <w:szCs w:val="24"/>
          <w:lang w:val="en-GB" w:eastAsia="en-GB"/>
        </w:rPr>
        <w:t>Exceptionally, some medical school programmes in this category are 5 years in duration.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239CD" w14:textId="77777777" w:rsidR="002D4D4C" w:rsidRPr="00B61B7B" w:rsidRDefault="002D4D4C" w:rsidP="00B61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55E0D"/>
    <w:multiLevelType w:val="hybridMultilevel"/>
    <w:tmpl w:val="AD460B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E72A43"/>
    <w:multiLevelType w:val="hybridMultilevel"/>
    <w:tmpl w:val="1DDA86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95F6C7C"/>
    <w:multiLevelType w:val="hybridMultilevel"/>
    <w:tmpl w:val="5948B6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A2"/>
    <w:rsid w:val="00000365"/>
    <w:rsid w:val="00001727"/>
    <w:rsid w:val="00002344"/>
    <w:rsid w:val="000026CD"/>
    <w:rsid w:val="00002A8F"/>
    <w:rsid w:val="00004877"/>
    <w:rsid w:val="000055A1"/>
    <w:rsid w:val="000055D1"/>
    <w:rsid w:val="00005659"/>
    <w:rsid w:val="00006424"/>
    <w:rsid w:val="00007EE6"/>
    <w:rsid w:val="000100F7"/>
    <w:rsid w:val="0001022D"/>
    <w:rsid w:val="00010F14"/>
    <w:rsid w:val="000121A4"/>
    <w:rsid w:val="0001285C"/>
    <w:rsid w:val="00012DB0"/>
    <w:rsid w:val="00012F95"/>
    <w:rsid w:val="00012FB5"/>
    <w:rsid w:val="00012FE0"/>
    <w:rsid w:val="00013013"/>
    <w:rsid w:val="000133E9"/>
    <w:rsid w:val="00013E8B"/>
    <w:rsid w:val="00013F50"/>
    <w:rsid w:val="00014250"/>
    <w:rsid w:val="000145F2"/>
    <w:rsid w:val="000147E5"/>
    <w:rsid w:val="000151A3"/>
    <w:rsid w:val="0001553B"/>
    <w:rsid w:val="0001556B"/>
    <w:rsid w:val="00016047"/>
    <w:rsid w:val="00016162"/>
    <w:rsid w:val="00016737"/>
    <w:rsid w:val="00016E78"/>
    <w:rsid w:val="00021634"/>
    <w:rsid w:val="00021938"/>
    <w:rsid w:val="00021A5F"/>
    <w:rsid w:val="0002236E"/>
    <w:rsid w:val="00022A28"/>
    <w:rsid w:val="00022B23"/>
    <w:rsid w:val="00023220"/>
    <w:rsid w:val="0002395F"/>
    <w:rsid w:val="00023A5A"/>
    <w:rsid w:val="000240B2"/>
    <w:rsid w:val="00024E3D"/>
    <w:rsid w:val="00024E89"/>
    <w:rsid w:val="00025415"/>
    <w:rsid w:val="0002635D"/>
    <w:rsid w:val="00026653"/>
    <w:rsid w:val="00026BF7"/>
    <w:rsid w:val="00026D77"/>
    <w:rsid w:val="00026FC2"/>
    <w:rsid w:val="00027692"/>
    <w:rsid w:val="0002795A"/>
    <w:rsid w:val="0003007F"/>
    <w:rsid w:val="00030490"/>
    <w:rsid w:val="000308EA"/>
    <w:rsid w:val="0003098C"/>
    <w:rsid w:val="00030D5D"/>
    <w:rsid w:val="00031658"/>
    <w:rsid w:val="000319F9"/>
    <w:rsid w:val="00031B4E"/>
    <w:rsid w:val="00031B9C"/>
    <w:rsid w:val="00031D6E"/>
    <w:rsid w:val="00031DEE"/>
    <w:rsid w:val="00031E3A"/>
    <w:rsid w:val="0003267A"/>
    <w:rsid w:val="000337B7"/>
    <w:rsid w:val="00033CA3"/>
    <w:rsid w:val="00033E32"/>
    <w:rsid w:val="0003451C"/>
    <w:rsid w:val="00034B4E"/>
    <w:rsid w:val="00034D85"/>
    <w:rsid w:val="0003636E"/>
    <w:rsid w:val="00036A7B"/>
    <w:rsid w:val="00037F4C"/>
    <w:rsid w:val="00040045"/>
    <w:rsid w:val="000405AC"/>
    <w:rsid w:val="000408D6"/>
    <w:rsid w:val="00040F25"/>
    <w:rsid w:val="00041AF8"/>
    <w:rsid w:val="00042A77"/>
    <w:rsid w:val="000431E2"/>
    <w:rsid w:val="000432E8"/>
    <w:rsid w:val="0004337C"/>
    <w:rsid w:val="00043495"/>
    <w:rsid w:val="00043998"/>
    <w:rsid w:val="00043FE9"/>
    <w:rsid w:val="000443F2"/>
    <w:rsid w:val="00045047"/>
    <w:rsid w:val="00045C94"/>
    <w:rsid w:val="00045FB1"/>
    <w:rsid w:val="000461EB"/>
    <w:rsid w:val="00046247"/>
    <w:rsid w:val="00046337"/>
    <w:rsid w:val="0004652B"/>
    <w:rsid w:val="00047BF3"/>
    <w:rsid w:val="00050027"/>
    <w:rsid w:val="000502A6"/>
    <w:rsid w:val="00051389"/>
    <w:rsid w:val="0005146F"/>
    <w:rsid w:val="00051533"/>
    <w:rsid w:val="00052746"/>
    <w:rsid w:val="00052E2D"/>
    <w:rsid w:val="00053713"/>
    <w:rsid w:val="00053E2F"/>
    <w:rsid w:val="00053F2A"/>
    <w:rsid w:val="00054640"/>
    <w:rsid w:val="00054AD9"/>
    <w:rsid w:val="00054D29"/>
    <w:rsid w:val="00055231"/>
    <w:rsid w:val="000560CB"/>
    <w:rsid w:val="00056619"/>
    <w:rsid w:val="00056E77"/>
    <w:rsid w:val="00057149"/>
    <w:rsid w:val="00057696"/>
    <w:rsid w:val="000576FA"/>
    <w:rsid w:val="00057ED1"/>
    <w:rsid w:val="00057F65"/>
    <w:rsid w:val="00060459"/>
    <w:rsid w:val="00060C82"/>
    <w:rsid w:val="00061136"/>
    <w:rsid w:val="000618CD"/>
    <w:rsid w:val="000619CA"/>
    <w:rsid w:val="00063034"/>
    <w:rsid w:val="000632D9"/>
    <w:rsid w:val="00064CD3"/>
    <w:rsid w:val="00064CD6"/>
    <w:rsid w:val="00065687"/>
    <w:rsid w:val="00065825"/>
    <w:rsid w:val="00065882"/>
    <w:rsid w:val="00065E64"/>
    <w:rsid w:val="00066B24"/>
    <w:rsid w:val="00066E23"/>
    <w:rsid w:val="000676D1"/>
    <w:rsid w:val="00070618"/>
    <w:rsid w:val="00070848"/>
    <w:rsid w:val="00070905"/>
    <w:rsid w:val="00070A34"/>
    <w:rsid w:val="00071DD6"/>
    <w:rsid w:val="00071DF5"/>
    <w:rsid w:val="00071FEB"/>
    <w:rsid w:val="00071FF2"/>
    <w:rsid w:val="00072DA6"/>
    <w:rsid w:val="000736CC"/>
    <w:rsid w:val="000738B6"/>
    <w:rsid w:val="00073917"/>
    <w:rsid w:val="00073FB5"/>
    <w:rsid w:val="000741DD"/>
    <w:rsid w:val="000751E3"/>
    <w:rsid w:val="00075896"/>
    <w:rsid w:val="0007604D"/>
    <w:rsid w:val="0007642E"/>
    <w:rsid w:val="00076D42"/>
    <w:rsid w:val="00077279"/>
    <w:rsid w:val="00077A93"/>
    <w:rsid w:val="00077EF4"/>
    <w:rsid w:val="00080755"/>
    <w:rsid w:val="00081986"/>
    <w:rsid w:val="00081D18"/>
    <w:rsid w:val="00081DC0"/>
    <w:rsid w:val="00082350"/>
    <w:rsid w:val="00082A22"/>
    <w:rsid w:val="00082C1C"/>
    <w:rsid w:val="00082E99"/>
    <w:rsid w:val="000837C9"/>
    <w:rsid w:val="00084250"/>
    <w:rsid w:val="000842F8"/>
    <w:rsid w:val="00086B50"/>
    <w:rsid w:val="00086D1D"/>
    <w:rsid w:val="000870AC"/>
    <w:rsid w:val="00087420"/>
    <w:rsid w:val="000874DB"/>
    <w:rsid w:val="000875AE"/>
    <w:rsid w:val="00087747"/>
    <w:rsid w:val="0008790D"/>
    <w:rsid w:val="00090281"/>
    <w:rsid w:val="000902E7"/>
    <w:rsid w:val="0009091F"/>
    <w:rsid w:val="00091400"/>
    <w:rsid w:val="000918F8"/>
    <w:rsid w:val="00091D61"/>
    <w:rsid w:val="00091FDD"/>
    <w:rsid w:val="00092349"/>
    <w:rsid w:val="0009234E"/>
    <w:rsid w:val="0009285C"/>
    <w:rsid w:val="00093D5F"/>
    <w:rsid w:val="00093EB3"/>
    <w:rsid w:val="000942C4"/>
    <w:rsid w:val="00094414"/>
    <w:rsid w:val="0009486E"/>
    <w:rsid w:val="00095E70"/>
    <w:rsid w:val="000960C0"/>
    <w:rsid w:val="00096115"/>
    <w:rsid w:val="00096601"/>
    <w:rsid w:val="00096D07"/>
    <w:rsid w:val="00097842"/>
    <w:rsid w:val="00097937"/>
    <w:rsid w:val="0009796B"/>
    <w:rsid w:val="00097B0F"/>
    <w:rsid w:val="00097BDF"/>
    <w:rsid w:val="000A0293"/>
    <w:rsid w:val="000A0621"/>
    <w:rsid w:val="000A1637"/>
    <w:rsid w:val="000A1D88"/>
    <w:rsid w:val="000A1F50"/>
    <w:rsid w:val="000A1F7E"/>
    <w:rsid w:val="000A208C"/>
    <w:rsid w:val="000A459E"/>
    <w:rsid w:val="000A47B8"/>
    <w:rsid w:val="000A521B"/>
    <w:rsid w:val="000A5546"/>
    <w:rsid w:val="000A5607"/>
    <w:rsid w:val="000A686A"/>
    <w:rsid w:val="000A76B8"/>
    <w:rsid w:val="000A7DA7"/>
    <w:rsid w:val="000A7ED2"/>
    <w:rsid w:val="000B01A7"/>
    <w:rsid w:val="000B0485"/>
    <w:rsid w:val="000B06CB"/>
    <w:rsid w:val="000B08FE"/>
    <w:rsid w:val="000B1C22"/>
    <w:rsid w:val="000B28FC"/>
    <w:rsid w:val="000B3341"/>
    <w:rsid w:val="000B3414"/>
    <w:rsid w:val="000B38A7"/>
    <w:rsid w:val="000B3AEC"/>
    <w:rsid w:val="000B4342"/>
    <w:rsid w:val="000B45C7"/>
    <w:rsid w:val="000B45CB"/>
    <w:rsid w:val="000B4686"/>
    <w:rsid w:val="000B4ABE"/>
    <w:rsid w:val="000B4CD6"/>
    <w:rsid w:val="000B5190"/>
    <w:rsid w:val="000B5BC1"/>
    <w:rsid w:val="000B5C43"/>
    <w:rsid w:val="000B5D8A"/>
    <w:rsid w:val="000B6F3B"/>
    <w:rsid w:val="000B7023"/>
    <w:rsid w:val="000C0F1E"/>
    <w:rsid w:val="000C105F"/>
    <w:rsid w:val="000C1C66"/>
    <w:rsid w:val="000C2ACD"/>
    <w:rsid w:val="000C2FAD"/>
    <w:rsid w:val="000C37C6"/>
    <w:rsid w:val="000C38CB"/>
    <w:rsid w:val="000C39E8"/>
    <w:rsid w:val="000C3AE2"/>
    <w:rsid w:val="000C3B26"/>
    <w:rsid w:val="000C4059"/>
    <w:rsid w:val="000C47C6"/>
    <w:rsid w:val="000C4AF2"/>
    <w:rsid w:val="000C5A0F"/>
    <w:rsid w:val="000C5D89"/>
    <w:rsid w:val="000C618E"/>
    <w:rsid w:val="000C68A2"/>
    <w:rsid w:val="000C6B47"/>
    <w:rsid w:val="000C6F34"/>
    <w:rsid w:val="000C770D"/>
    <w:rsid w:val="000C77E5"/>
    <w:rsid w:val="000D011C"/>
    <w:rsid w:val="000D0265"/>
    <w:rsid w:val="000D0372"/>
    <w:rsid w:val="000D03F5"/>
    <w:rsid w:val="000D089C"/>
    <w:rsid w:val="000D0B9D"/>
    <w:rsid w:val="000D1107"/>
    <w:rsid w:val="000D1164"/>
    <w:rsid w:val="000D37BF"/>
    <w:rsid w:val="000D3883"/>
    <w:rsid w:val="000D38D0"/>
    <w:rsid w:val="000D3C97"/>
    <w:rsid w:val="000D44AE"/>
    <w:rsid w:val="000D4CCC"/>
    <w:rsid w:val="000D4E70"/>
    <w:rsid w:val="000D5278"/>
    <w:rsid w:val="000D554F"/>
    <w:rsid w:val="000D58A6"/>
    <w:rsid w:val="000D64AC"/>
    <w:rsid w:val="000D7240"/>
    <w:rsid w:val="000D76BA"/>
    <w:rsid w:val="000D7F4B"/>
    <w:rsid w:val="000E15A7"/>
    <w:rsid w:val="000E203B"/>
    <w:rsid w:val="000E2214"/>
    <w:rsid w:val="000E22DD"/>
    <w:rsid w:val="000E3E1C"/>
    <w:rsid w:val="000E40F2"/>
    <w:rsid w:val="000E4840"/>
    <w:rsid w:val="000E528E"/>
    <w:rsid w:val="000E538F"/>
    <w:rsid w:val="000E66A3"/>
    <w:rsid w:val="000E6956"/>
    <w:rsid w:val="000E74A2"/>
    <w:rsid w:val="000F2256"/>
    <w:rsid w:val="000F2477"/>
    <w:rsid w:val="000F2D9C"/>
    <w:rsid w:val="000F2ECA"/>
    <w:rsid w:val="000F2F3B"/>
    <w:rsid w:val="000F31B8"/>
    <w:rsid w:val="000F3DC1"/>
    <w:rsid w:val="000F4909"/>
    <w:rsid w:val="000F493A"/>
    <w:rsid w:val="000F4CA2"/>
    <w:rsid w:val="000F4CDF"/>
    <w:rsid w:val="000F5547"/>
    <w:rsid w:val="000F66A5"/>
    <w:rsid w:val="000F689B"/>
    <w:rsid w:val="000F6C3B"/>
    <w:rsid w:val="000F71E1"/>
    <w:rsid w:val="000F7F2A"/>
    <w:rsid w:val="0010010C"/>
    <w:rsid w:val="0010021B"/>
    <w:rsid w:val="00100390"/>
    <w:rsid w:val="001004FD"/>
    <w:rsid w:val="00101BA4"/>
    <w:rsid w:val="00101BAF"/>
    <w:rsid w:val="001024F0"/>
    <w:rsid w:val="00102BDA"/>
    <w:rsid w:val="00102C4B"/>
    <w:rsid w:val="00102DC6"/>
    <w:rsid w:val="001031FE"/>
    <w:rsid w:val="001035C7"/>
    <w:rsid w:val="00104076"/>
    <w:rsid w:val="001043CA"/>
    <w:rsid w:val="0010504C"/>
    <w:rsid w:val="0010527B"/>
    <w:rsid w:val="001053FB"/>
    <w:rsid w:val="001077D2"/>
    <w:rsid w:val="00110337"/>
    <w:rsid w:val="0011049C"/>
    <w:rsid w:val="0011092C"/>
    <w:rsid w:val="00110D52"/>
    <w:rsid w:val="00112330"/>
    <w:rsid w:val="00112EB3"/>
    <w:rsid w:val="00112EE6"/>
    <w:rsid w:val="00112FFD"/>
    <w:rsid w:val="00113017"/>
    <w:rsid w:val="0011332C"/>
    <w:rsid w:val="00113342"/>
    <w:rsid w:val="001133D0"/>
    <w:rsid w:val="00113B5A"/>
    <w:rsid w:val="0011401E"/>
    <w:rsid w:val="00115DE1"/>
    <w:rsid w:val="00116B21"/>
    <w:rsid w:val="00116D5D"/>
    <w:rsid w:val="00117421"/>
    <w:rsid w:val="0011780B"/>
    <w:rsid w:val="001200B2"/>
    <w:rsid w:val="00120BC6"/>
    <w:rsid w:val="00120FA2"/>
    <w:rsid w:val="00121B24"/>
    <w:rsid w:val="00121E47"/>
    <w:rsid w:val="00121EBE"/>
    <w:rsid w:val="00122457"/>
    <w:rsid w:val="00122B7E"/>
    <w:rsid w:val="00123436"/>
    <w:rsid w:val="00123853"/>
    <w:rsid w:val="00123AA3"/>
    <w:rsid w:val="001240CB"/>
    <w:rsid w:val="0012452D"/>
    <w:rsid w:val="001245C7"/>
    <w:rsid w:val="0012527E"/>
    <w:rsid w:val="00125A93"/>
    <w:rsid w:val="0012661D"/>
    <w:rsid w:val="001268F1"/>
    <w:rsid w:val="001274AC"/>
    <w:rsid w:val="00127686"/>
    <w:rsid w:val="0012781D"/>
    <w:rsid w:val="00130227"/>
    <w:rsid w:val="001304D4"/>
    <w:rsid w:val="0013093D"/>
    <w:rsid w:val="00132CB5"/>
    <w:rsid w:val="00132CC9"/>
    <w:rsid w:val="00132D94"/>
    <w:rsid w:val="00132E12"/>
    <w:rsid w:val="00133041"/>
    <w:rsid w:val="00133076"/>
    <w:rsid w:val="001335A4"/>
    <w:rsid w:val="0013495B"/>
    <w:rsid w:val="001350E7"/>
    <w:rsid w:val="0013519F"/>
    <w:rsid w:val="0013595E"/>
    <w:rsid w:val="0013629C"/>
    <w:rsid w:val="001363DA"/>
    <w:rsid w:val="001364A0"/>
    <w:rsid w:val="0013689D"/>
    <w:rsid w:val="00137054"/>
    <w:rsid w:val="001372E9"/>
    <w:rsid w:val="001377C5"/>
    <w:rsid w:val="0014000A"/>
    <w:rsid w:val="0014056B"/>
    <w:rsid w:val="00140719"/>
    <w:rsid w:val="00140CA8"/>
    <w:rsid w:val="001411F4"/>
    <w:rsid w:val="00141DF8"/>
    <w:rsid w:val="00142163"/>
    <w:rsid w:val="0014259B"/>
    <w:rsid w:val="001427E5"/>
    <w:rsid w:val="00142954"/>
    <w:rsid w:val="00142A85"/>
    <w:rsid w:val="00142BF5"/>
    <w:rsid w:val="00142F6F"/>
    <w:rsid w:val="00143E73"/>
    <w:rsid w:val="00143FFB"/>
    <w:rsid w:val="001444C5"/>
    <w:rsid w:val="001451A1"/>
    <w:rsid w:val="00145D2F"/>
    <w:rsid w:val="00145DD4"/>
    <w:rsid w:val="00146215"/>
    <w:rsid w:val="00146BDD"/>
    <w:rsid w:val="00146DA3"/>
    <w:rsid w:val="00147343"/>
    <w:rsid w:val="001477BB"/>
    <w:rsid w:val="0015016C"/>
    <w:rsid w:val="001506ED"/>
    <w:rsid w:val="001516A7"/>
    <w:rsid w:val="00151DE2"/>
    <w:rsid w:val="00152BBB"/>
    <w:rsid w:val="00153171"/>
    <w:rsid w:val="0015336D"/>
    <w:rsid w:val="00153FA1"/>
    <w:rsid w:val="00154286"/>
    <w:rsid w:val="00154CDC"/>
    <w:rsid w:val="00155056"/>
    <w:rsid w:val="00155884"/>
    <w:rsid w:val="00155D29"/>
    <w:rsid w:val="0015655B"/>
    <w:rsid w:val="001569FF"/>
    <w:rsid w:val="00156C56"/>
    <w:rsid w:val="0015737D"/>
    <w:rsid w:val="001576B2"/>
    <w:rsid w:val="001579D1"/>
    <w:rsid w:val="00157AD1"/>
    <w:rsid w:val="00157D90"/>
    <w:rsid w:val="0016002E"/>
    <w:rsid w:val="00160364"/>
    <w:rsid w:val="00160384"/>
    <w:rsid w:val="00160BFB"/>
    <w:rsid w:val="001610E3"/>
    <w:rsid w:val="0016112F"/>
    <w:rsid w:val="00161B10"/>
    <w:rsid w:val="00161CA0"/>
    <w:rsid w:val="00161E34"/>
    <w:rsid w:val="00161E41"/>
    <w:rsid w:val="00161E67"/>
    <w:rsid w:val="001620A8"/>
    <w:rsid w:val="00162351"/>
    <w:rsid w:val="0016293D"/>
    <w:rsid w:val="001631F7"/>
    <w:rsid w:val="00163284"/>
    <w:rsid w:val="00163807"/>
    <w:rsid w:val="00163A7A"/>
    <w:rsid w:val="001647E5"/>
    <w:rsid w:val="00165349"/>
    <w:rsid w:val="0016559E"/>
    <w:rsid w:val="00165964"/>
    <w:rsid w:val="00166260"/>
    <w:rsid w:val="0016697B"/>
    <w:rsid w:val="0016730E"/>
    <w:rsid w:val="00167398"/>
    <w:rsid w:val="00167D4C"/>
    <w:rsid w:val="001701C3"/>
    <w:rsid w:val="001707E3"/>
    <w:rsid w:val="001714C8"/>
    <w:rsid w:val="001714F7"/>
    <w:rsid w:val="00171C3F"/>
    <w:rsid w:val="00171DE1"/>
    <w:rsid w:val="00172A87"/>
    <w:rsid w:val="001736B4"/>
    <w:rsid w:val="0017397C"/>
    <w:rsid w:val="00173F61"/>
    <w:rsid w:val="00173F81"/>
    <w:rsid w:val="00173FAA"/>
    <w:rsid w:val="00174F4E"/>
    <w:rsid w:val="00175700"/>
    <w:rsid w:val="00175D54"/>
    <w:rsid w:val="00175E23"/>
    <w:rsid w:val="00176199"/>
    <w:rsid w:val="0017686E"/>
    <w:rsid w:val="00177399"/>
    <w:rsid w:val="00177569"/>
    <w:rsid w:val="00180C5A"/>
    <w:rsid w:val="0018176B"/>
    <w:rsid w:val="00181D64"/>
    <w:rsid w:val="00182C65"/>
    <w:rsid w:val="001834EF"/>
    <w:rsid w:val="0018455F"/>
    <w:rsid w:val="00184F11"/>
    <w:rsid w:val="0018524E"/>
    <w:rsid w:val="00186143"/>
    <w:rsid w:val="0018644B"/>
    <w:rsid w:val="00186F13"/>
    <w:rsid w:val="00187BDA"/>
    <w:rsid w:val="00190E89"/>
    <w:rsid w:val="001911B4"/>
    <w:rsid w:val="00191BD0"/>
    <w:rsid w:val="001920DA"/>
    <w:rsid w:val="00192608"/>
    <w:rsid w:val="001926C0"/>
    <w:rsid w:val="00193645"/>
    <w:rsid w:val="00193816"/>
    <w:rsid w:val="00194C38"/>
    <w:rsid w:val="00196521"/>
    <w:rsid w:val="00196A54"/>
    <w:rsid w:val="00196AF6"/>
    <w:rsid w:val="00196FC8"/>
    <w:rsid w:val="0019749D"/>
    <w:rsid w:val="00197809"/>
    <w:rsid w:val="0019782C"/>
    <w:rsid w:val="0019783E"/>
    <w:rsid w:val="00197C06"/>
    <w:rsid w:val="00197C5B"/>
    <w:rsid w:val="001A022C"/>
    <w:rsid w:val="001A2337"/>
    <w:rsid w:val="001A2879"/>
    <w:rsid w:val="001A2BB9"/>
    <w:rsid w:val="001A2F94"/>
    <w:rsid w:val="001A35A0"/>
    <w:rsid w:val="001A49FE"/>
    <w:rsid w:val="001A524A"/>
    <w:rsid w:val="001A7488"/>
    <w:rsid w:val="001A7B17"/>
    <w:rsid w:val="001A7D1E"/>
    <w:rsid w:val="001B10F0"/>
    <w:rsid w:val="001B1166"/>
    <w:rsid w:val="001B2014"/>
    <w:rsid w:val="001B24F8"/>
    <w:rsid w:val="001B26A8"/>
    <w:rsid w:val="001B2E10"/>
    <w:rsid w:val="001B2FFD"/>
    <w:rsid w:val="001B3457"/>
    <w:rsid w:val="001B3BA6"/>
    <w:rsid w:val="001B4E78"/>
    <w:rsid w:val="001B54F3"/>
    <w:rsid w:val="001B60D1"/>
    <w:rsid w:val="001B62C1"/>
    <w:rsid w:val="001B63E3"/>
    <w:rsid w:val="001B7A6F"/>
    <w:rsid w:val="001C05BF"/>
    <w:rsid w:val="001C085C"/>
    <w:rsid w:val="001C0DCD"/>
    <w:rsid w:val="001C1205"/>
    <w:rsid w:val="001C14A1"/>
    <w:rsid w:val="001C2696"/>
    <w:rsid w:val="001C294C"/>
    <w:rsid w:val="001C29CD"/>
    <w:rsid w:val="001C2A76"/>
    <w:rsid w:val="001C2DA6"/>
    <w:rsid w:val="001C315B"/>
    <w:rsid w:val="001C34E3"/>
    <w:rsid w:val="001C3A2C"/>
    <w:rsid w:val="001C490D"/>
    <w:rsid w:val="001C4979"/>
    <w:rsid w:val="001C4A37"/>
    <w:rsid w:val="001C51F5"/>
    <w:rsid w:val="001C5727"/>
    <w:rsid w:val="001C6757"/>
    <w:rsid w:val="001C68C3"/>
    <w:rsid w:val="001C6D50"/>
    <w:rsid w:val="001C70E1"/>
    <w:rsid w:val="001C747F"/>
    <w:rsid w:val="001C7959"/>
    <w:rsid w:val="001C7B12"/>
    <w:rsid w:val="001D02E5"/>
    <w:rsid w:val="001D032F"/>
    <w:rsid w:val="001D0FD6"/>
    <w:rsid w:val="001D1610"/>
    <w:rsid w:val="001D20F4"/>
    <w:rsid w:val="001D4323"/>
    <w:rsid w:val="001D4C39"/>
    <w:rsid w:val="001D4DDC"/>
    <w:rsid w:val="001D5253"/>
    <w:rsid w:val="001D5B72"/>
    <w:rsid w:val="001D62FE"/>
    <w:rsid w:val="001D65E2"/>
    <w:rsid w:val="001D6898"/>
    <w:rsid w:val="001D68E1"/>
    <w:rsid w:val="001D6B07"/>
    <w:rsid w:val="001D6B7E"/>
    <w:rsid w:val="001D6E2C"/>
    <w:rsid w:val="001D7FBA"/>
    <w:rsid w:val="001E0032"/>
    <w:rsid w:val="001E1DAC"/>
    <w:rsid w:val="001E1E55"/>
    <w:rsid w:val="001E2AEB"/>
    <w:rsid w:val="001E2C19"/>
    <w:rsid w:val="001E39D0"/>
    <w:rsid w:val="001E3F63"/>
    <w:rsid w:val="001E5787"/>
    <w:rsid w:val="001E5FCB"/>
    <w:rsid w:val="001E6BFC"/>
    <w:rsid w:val="001E71BF"/>
    <w:rsid w:val="001E7B6D"/>
    <w:rsid w:val="001E7DC9"/>
    <w:rsid w:val="001E7EB3"/>
    <w:rsid w:val="001F059C"/>
    <w:rsid w:val="001F0D5F"/>
    <w:rsid w:val="001F227F"/>
    <w:rsid w:val="001F27DF"/>
    <w:rsid w:val="001F2DFA"/>
    <w:rsid w:val="001F4CE7"/>
    <w:rsid w:val="001F4E05"/>
    <w:rsid w:val="001F4EB6"/>
    <w:rsid w:val="001F504F"/>
    <w:rsid w:val="001F5710"/>
    <w:rsid w:val="001F5879"/>
    <w:rsid w:val="001F6742"/>
    <w:rsid w:val="001F68D2"/>
    <w:rsid w:val="001F6CE8"/>
    <w:rsid w:val="001F6F28"/>
    <w:rsid w:val="001F7422"/>
    <w:rsid w:val="001F7594"/>
    <w:rsid w:val="001F7EE1"/>
    <w:rsid w:val="00200299"/>
    <w:rsid w:val="00200433"/>
    <w:rsid w:val="00200904"/>
    <w:rsid w:val="00200FD0"/>
    <w:rsid w:val="00201315"/>
    <w:rsid w:val="00201C54"/>
    <w:rsid w:val="002020DC"/>
    <w:rsid w:val="00203B3D"/>
    <w:rsid w:val="00203C44"/>
    <w:rsid w:val="00203E71"/>
    <w:rsid w:val="00204174"/>
    <w:rsid w:val="00204737"/>
    <w:rsid w:val="00205024"/>
    <w:rsid w:val="0020555A"/>
    <w:rsid w:val="002055D1"/>
    <w:rsid w:val="00206201"/>
    <w:rsid w:val="002066F9"/>
    <w:rsid w:val="00210819"/>
    <w:rsid w:val="00210A3A"/>
    <w:rsid w:val="00210E69"/>
    <w:rsid w:val="00211078"/>
    <w:rsid w:val="0021178E"/>
    <w:rsid w:val="002128D9"/>
    <w:rsid w:val="002134B9"/>
    <w:rsid w:val="00214095"/>
    <w:rsid w:val="00214E6D"/>
    <w:rsid w:val="00214EAE"/>
    <w:rsid w:val="00214FE7"/>
    <w:rsid w:val="00215901"/>
    <w:rsid w:val="00216004"/>
    <w:rsid w:val="0021747A"/>
    <w:rsid w:val="0022086E"/>
    <w:rsid w:val="0022117D"/>
    <w:rsid w:val="00221573"/>
    <w:rsid w:val="00222825"/>
    <w:rsid w:val="00222C8D"/>
    <w:rsid w:val="00223029"/>
    <w:rsid w:val="0022304A"/>
    <w:rsid w:val="00223527"/>
    <w:rsid w:val="00224694"/>
    <w:rsid w:val="002248D4"/>
    <w:rsid w:val="00224E0E"/>
    <w:rsid w:val="0022612A"/>
    <w:rsid w:val="0022627D"/>
    <w:rsid w:val="00226548"/>
    <w:rsid w:val="00226742"/>
    <w:rsid w:val="00227193"/>
    <w:rsid w:val="00227213"/>
    <w:rsid w:val="00227355"/>
    <w:rsid w:val="002278A3"/>
    <w:rsid w:val="00230CC7"/>
    <w:rsid w:val="00230E84"/>
    <w:rsid w:val="00231BB7"/>
    <w:rsid w:val="00231E07"/>
    <w:rsid w:val="00232076"/>
    <w:rsid w:val="00232D04"/>
    <w:rsid w:val="002331C0"/>
    <w:rsid w:val="002334E0"/>
    <w:rsid w:val="002338D7"/>
    <w:rsid w:val="00233B1B"/>
    <w:rsid w:val="00233BFB"/>
    <w:rsid w:val="002341D8"/>
    <w:rsid w:val="00235062"/>
    <w:rsid w:val="00235B00"/>
    <w:rsid w:val="00236EB0"/>
    <w:rsid w:val="002370A7"/>
    <w:rsid w:val="00237276"/>
    <w:rsid w:val="002376B2"/>
    <w:rsid w:val="00237E5E"/>
    <w:rsid w:val="00240175"/>
    <w:rsid w:val="0024024C"/>
    <w:rsid w:val="00240AC1"/>
    <w:rsid w:val="00240F7F"/>
    <w:rsid w:val="00240FFB"/>
    <w:rsid w:val="002411A9"/>
    <w:rsid w:val="00241521"/>
    <w:rsid w:val="00241E31"/>
    <w:rsid w:val="0024203F"/>
    <w:rsid w:val="002431A6"/>
    <w:rsid w:val="002439F7"/>
    <w:rsid w:val="002440C4"/>
    <w:rsid w:val="00244232"/>
    <w:rsid w:val="0024439E"/>
    <w:rsid w:val="002449AE"/>
    <w:rsid w:val="00244ADE"/>
    <w:rsid w:val="00245013"/>
    <w:rsid w:val="00245B73"/>
    <w:rsid w:val="00245C31"/>
    <w:rsid w:val="00245D94"/>
    <w:rsid w:val="00246912"/>
    <w:rsid w:val="00247F0E"/>
    <w:rsid w:val="0025085E"/>
    <w:rsid w:val="00250CA3"/>
    <w:rsid w:val="002510A8"/>
    <w:rsid w:val="00251214"/>
    <w:rsid w:val="002515FA"/>
    <w:rsid w:val="0025233D"/>
    <w:rsid w:val="002524C5"/>
    <w:rsid w:val="0025270E"/>
    <w:rsid w:val="00252946"/>
    <w:rsid w:val="00252A38"/>
    <w:rsid w:val="002538EC"/>
    <w:rsid w:val="002543E3"/>
    <w:rsid w:val="002548EC"/>
    <w:rsid w:val="00254CA4"/>
    <w:rsid w:val="00255ADC"/>
    <w:rsid w:val="002560BF"/>
    <w:rsid w:val="00256404"/>
    <w:rsid w:val="00256500"/>
    <w:rsid w:val="00256B7C"/>
    <w:rsid w:val="00256EE7"/>
    <w:rsid w:val="00260EF6"/>
    <w:rsid w:val="002610FE"/>
    <w:rsid w:val="002615D9"/>
    <w:rsid w:val="00261EA0"/>
    <w:rsid w:val="002632B7"/>
    <w:rsid w:val="00263EDC"/>
    <w:rsid w:val="00264D26"/>
    <w:rsid w:val="00266CE6"/>
    <w:rsid w:val="00266D29"/>
    <w:rsid w:val="00267135"/>
    <w:rsid w:val="00267F8A"/>
    <w:rsid w:val="00270814"/>
    <w:rsid w:val="002709C5"/>
    <w:rsid w:val="00270C91"/>
    <w:rsid w:val="002714BE"/>
    <w:rsid w:val="00271561"/>
    <w:rsid w:val="00271B3A"/>
    <w:rsid w:val="00271F10"/>
    <w:rsid w:val="0027264E"/>
    <w:rsid w:val="00272B31"/>
    <w:rsid w:val="00272C8E"/>
    <w:rsid w:val="0027317A"/>
    <w:rsid w:val="002734E4"/>
    <w:rsid w:val="00273549"/>
    <w:rsid w:val="00273B68"/>
    <w:rsid w:val="00273CD3"/>
    <w:rsid w:val="00274897"/>
    <w:rsid w:val="0027502E"/>
    <w:rsid w:val="002751C3"/>
    <w:rsid w:val="002752F6"/>
    <w:rsid w:val="0027543B"/>
    <w:rsid w:val="00275DD2"/>
    <w:rsid w:val="00276A9A"/>
    <w:rsid w:val="00276F94"/>
    <w:rsid w:val="00277E6E"/>
    <w:rsid w:val="00280F15"/>
    <w:rsid w:val="0028125A"/>
    <w:rsid w:val="00281B63"/>
    <w:rsid w:val="00281DB5"/>
    <w:rsid w:val="002829AF"/>
    <w:rsid w:val="00282D64"/>
    <w:rsid w:val="002830A9"/>
    <w:rsid w:val="00284931"/>
    <w:rsid w:val="002851FF"/>
    <w:rsid w:val="0028532B"/>
    <w:rsid w:val="00285519"/>
    <w:rsid w:val="002856D4"/>
    <w:rsid w:val="00285A2B"/>
    <w:rsid w:val="00285DED"/>
    <w:rsid w:val="002860B1"/>
    <w:rsid w:val="002861C9"/>
    <w:rsid w:val="00286DC9"/>
    <w:rsid w:val="0028755F"/>
    <w:rsid w:val="0028763F"/>
    <w:rsid w:val="00290459"/>
    <w:rsid w:val="002909AA"/>
    <w:rsid w:val="0029159D"/>
    <w:rsid w:val="00291886"/>
    <w:rsid w:val="00291E00"/>
    <w:rsid w:val="0029269B"/>
    <w:rsid w:val="00293428"/>
    <w:rsid w:val="002935E7"/>
    <w:rsid w:val="002936F0"/>
    <w:rsid w:val="00293AEA"/>
    <w:rsid w:val="00294460"/>
    <w:rsid w:val="0029480E"/>
    <w:rsid w:val="002949FE"/>
    <w:rsid w:val="00294F23"/>
    <w:rsid w:val="002952A0"/>
    <w:rsid w:val="00295853"/>
    <w:rsid w:val="00296CFD"/>
    <w:rsid w:val="00296F5C"/>
    <w:rsid w:val="00297210"/>
    <w:rsid w:val="00297A86"/>
    <w:rsid w:val="00297ABF"/>
    <w:rsid w:val="002A02A3"/>
    <w:rsid w:val="002A098E"/>
    <w:rsid w:val="002A1099"/>
    <w:rsid w:val="002A1234"/>
    <w:rsid w:val="002A1344"/>
    <w:rsid w:val="002A1CDB"/>
    <w:rsid w:val="002A35F2"/>
    <w:rsid w:val="002A4428"/>
    <w:rsid w:val="002A47D0"/>
    <w:rsid w:val="002A4BE1"/>
    <w:rsid w:val="002A682B"/>
    <w:rsid w:val="002A6BFA"/>
    <w:rsid w:val="002A6EB0"/>
    <w:rsid w:val="002A6FCE"/>
    <w:rsid w:val="002A725A"/>
    <w:rsid w:val="002A7723"/>
    <w:rsid w:val="002A7A2A"/>
    <w:rsid w:val="002B002F"/>
    <w:rsid w:val="002B09BF"/>
    <w:rsid w:val="002B16BE"/>
    <w:rsid w:val="002B1868"/>
    <w:rsid w:val="002B1BB6"/>
    <w:rsid w:val="002B2556"/>
    <w:rsid w:val="002B27B4"/>
    <w:rsid w:val="002B2ABD"/>
    <w:rsid w:val="002B37B7"/>
    <w:rsid w:val="002B3B97"/>
    <w:rsid w:val="002B40BB"/>
    <w:rsid w:val="002B53AA"/>
    <w:rsid w:val="002B5ADE"/>
    <w:rsid w:val="002B5C2B"/>
    <w:rsid w:val="002B60F5"/>
    <w:rsid w:val="002B6507"/>
    <w:rsid w:val="002B6D18"/>
    <w:rsid w:val="002C08F7"/>
    <w:rsid w:val="002C0E19"/>
    <w:rsid w:val="002C0E9B"/>
    <w:rsid w:val="002C0EA6"/>
    <w:rsid w:val="002C0FF9"/>
    <w:rsid w:val="002C1C55"/>
    <w:rsid w:val="002C22FC"/>
    <w:rsid w:val="002C26E5"/>
    <w:rsid w:val="002C2727"/>
    <w:rsid w:val="002C2AE3"/>
    <w:rsid w:val="002C34D9"/>
    <w:rsid w:val="002C3EBC"/>
    <w:rsid w:val="002C3FFE"/>
    <w:rsid w:val="002C5343"/>
    <w:rsid w:val="002C5383"/>
    <w:rsid w:val="002C64EA"/>
    <w:rsid w:val="002C6632"/>
    <w:rsid w:val="002C688B"/>
    <w:rsid w:val="002C7A8A"/>
    <w:rsid w:val="002C7D57"/>
    <w:rsid w:val="002D059B"/>
    <w:rsid w:val="002D1C7F"/>
    <w:rsid w:val="002D1CF1"/>
    <w:rsid w:val="002D1F3F"/>
    <w:rsid w:val="002D22C3"/>
    <w:rsid w:val="002D24A2"/>
    <w:rsid w:val="002D2564"/>
    <w:rsid w:val="002D2DC2"/>
    <w:rsid w:val="002D317C"/>
    <w:rsid w:val="002D32D0"/>
    <w:rsid w:val="002D399F"/>
    <w:rsid w:val="002D3EBD"/>
    <w:rsid w:val="002D3F06"/>
    <w:rsid w:val="002D4D4C"/>
    <w:rsid w:val="002D538B"/>
    <w:rsid w:val="002D57E0"/>
    <w:rsid w:val="002D5BB9"/>
    <w:rsid w:val="002D5E8D"/>
    <w:rsid w:val="002D60A9"/>
    <w:rsid w:val="002D6BA2"/>
    <w:rsid w:val="002D7073"/>
    <w:rsid w:val="002E0556"/>
    <w:rsid w:val="002E0A21"/>
    <w:rsid w:val="002E16BE"/>
    <w:rsid w:val="002E1B99"/>
    <w:rsid w:val="002E3A53"/>
    <w:rsid w:val="002E4131"/>
    <w:rsid w:val="002E4705"/>
    <w:rsid w:val="002E4C31"/>
    <w:rsid w:val="002E4CBF"/>
    <w:rsid w:val="002E5981"/>
    <w:rsid w:val="002E6246"/>
    <w:rsid w:val="002E743A"/>
    <w:rsid w:val="002E7AD5"/>
    <w:rsid w:val="002F0031"/>
    <w:rsid w:val="002F07A2"/>
    <w:rsid w:val="002F12E0"/>
    <w:rsid w:val="002F1480"/>
    <w:rsid w:val="002F1496"/>
    <w:rsid w:val="002F1617"/>
    <w:rsid w:val="002F1B04"/>
    <w:rsid w:val="002F36B8"/>
    <w:rsid w:val="002F37FA"/>
    <w:rsid w:val="002F3FEB"/>
    <w:rsid w:val="002F4142"/>
    <w:rsid w:val="002F4595"/>
    <w:rsid w:val="002F4860"/>
    <w:rsid w:val="002F4D39"/>
    <w:rsid w:val="002F4FA6"/>
    <w:rsid w:val="002F5435"/>
    <w:rsid w:val="002F6789"/>
    <w:rsid w:val="002F72AF"/>
    <w:rsid w:val="002F7760"/>
    <w:rsid w:val="002F79F1"/>
    <w:rsid w:val="002F7EA6"/>
    <w:rsid w:val="003000BE"/>
    <w:rsid w:val="00301408"/>
    <w:rsid w:val="003015DB"/>
    <w:rsid w:val="0030200C"/>
    <w:rsid w:val="00302449"/>
    <w:rsid w:val="0030265F"/>
    <w:rsid w:val="00302669"/>
    <w:rsid w:val="00302A78"/>
    <w:rsid w:val="00302F90"/>
    <w:rsid w:val="0030312E"/>
    <w:rsid w:val="0030327D"/>
    <w:rsid w:val="003032D3"/>
    <w:rsid w:val="00303431"/>
    <w:rsid w:val="00303881"/>
    <w:rsid w:val="00303A0F"/>
    <w:rsid w:val="00303D11"/>
    <w:rsid w:val="003043CD"/>
    <w:rsid w:val="003045C3"/>
    <w:rsid w:val="003048F0"/>
    <w:rsid w:val="0030596C"/>
    <w:rsid w:val="00306977"/>
    <w:rsid w:val="003069FF"/>
    <w:rsid w:val="00307043"/>
    <w:rsid w:val="0030768A"/>
    <w:rsid w:val="00307970"/>
    <w:rsid w:val="00307F02"/>
    <w:rsid w:val="00310624"/>
    <w:rsid w:val="00310746"/>
    <w:rsid w:val="00310916"/>
    <w:rsid w:val="00310D02"/>
    <w:rsid w:val="00311224"/>
    <w:rsid w:val="00311285"/>
    <w:rsid w:val="0031146A"/>
    <w:rsid w:val="00311D15"/>
    <w:rsid w:val="00311D7E"/>
    <w:rsid w:val="003124E7"/>
    <w:rsid w:val="00312870"/>
    <w:rsid w:val="00313BDA"/>
    <w:rsid w:val="00313DB9"/>
    <w:rsid w:val="00314589"/>
    <w:rsid w:val="003145F7"/>
    <w:rsid w:val="0031461D"/>
    <w:rsid w:val="00314E53"/>
    <w:rsid w:val="00315068"/>
    <w:rsid w:val="00315482"/>
    <w:rsid w:val="0031588B"/>
    <w:rsid w:val="00315CAD"/>
    <w:rsid w:val="00315D77"/>
    <w:rsid w:val="003160F6"/>
    <w:rsid w:val="00316B44"/>
    <w:rsid w:val="003175C7"/>
    <w:rsid w:val="00317E43"/>
    <w:rsid w:val="00320119"/>
    <w:rsid w:val="00320F88"/>
    <w:rsid w:val="003214A9"/>
    <w:rsid w:val="00321E5E"/>
    <w:rsid w:val="00322207"/>
    <w:rsid w:val="00322430"/>
    <w:rsid w:val="00322487"/>
    <w:rsid w:val="0032259F"/>
    <w:rsid w:val="003226E9"/>
    <w:rsid w:val="00323A6A"/>
    <w:rsid w:val="0032485D"/>
    <w:rsid w:val="00325298"/>
    <w:rsid w:val="00325D81"/>
    <w:rsid w:val="0033033D"/>
    <w:rsid w:val="00330633"/>
    <w:rsid w:val="003318A0"/>
    <w:rsid w:val="00332297"/>
    <w:rsid w:val="003324B3"/>
    <w:rsid w:val="00333905"/>
    <w:rsid w:val="00333998"/>
    <w:rsid w:val="0033399E"/>
    <w:rsid w:val="00333D5E"/>
    <w:rsid w:val="00334BD5"/>
    <w:rsid w:val="00335FBA"/>
    <w:rsid w:val="0033609B"/>
    <w:rsid w:val="003363A4"/>
    <w:rsid w:val="00336588"/>
    <w:rsid w:val="003367AF"/>
    <w:rsid w:val="00336CA3"/>
    <w:rsid w:val="0034020A"/>
    <w:rsid w:val="00341861"/>
    <w:rsid w:val="00341989"/>
    <w:rsid w:val="0034241F"/>
    <w:rsid w:val="003429F6"/>
    <w:rsid w:val="00342F0A"/>
    <w:rsid w:val="00343172"/>
    <w:rsid w:val="003438CE"/>
    <w:rsid w:val="00343D29"/>
    <w:rsid w:val="00344264"/>
    <w:rsid w:val="003442C0"/>
    <w:rsid w:val="00344D80"/>
    <w:rsid w:val="00345598"/>
    <w:rsid w:val="00345B86"/>
    <w:rsid w:val="00346BEC"/>
    <w:rsid w:val="00346D9C"/>
    <w:rsid w:val="003477D7"/>
    <w:rsid w:val="003500B3"/>
    <w:rsid w:val="00350DE7"/>
    <w:rsid w:val="0035115E"/>
    <w:rsid w:val="00351495"/>
    <w:rsid w:val="00351608"/>
    <w:rsid w:val="00351C38"/>
    <w:rsid w:val="00351C71"/>
    <w:rsid w:val="00352DEE"/>
    <w:rsid w:val="00352EF1"/>
    <w:rsid w:val="003530B8"/>
    <w:rsid w:val="0035390B"/>
    <w:rsid w:val="00354395"/>
    <w:rsid w:val="003546A5"/>
    <w:rsid w:val="003547A3"/>
    <w:rsid w:val="003547F0"/>
    <w:rsid w:val="003548A6"/>
    <w:rsid w:val="00354A31"/>
    <w:rsid w:val="00354A35"/>
    <w:rsid w:val="00354AD8"/>
    <w:rsid w:val="003554A7"/>
    <w:rsid w:val="003554D9"/>
    <w:rsid w:val="0035578B"/>
    <w:rsid w:val="00355DFB"/>
    <w:rsid w:val="00356096"/>
    <w:rsid w:val="00356187"/>
    <w:rsid w:val="00357D04"/>
    <w:rsid w:val="00357E1D"/>
    <w:rsid w:val="003610D9"/>
    <w:rsid w:val="00361189"/>
    <w:rsid w:val="0036184E"/>
    <w:rsid w:val="0036241A"/>
    <w:rsid w:val="00362424"/>
    <w:rsid w:val="00363430"/>
    <w:rsid w:val="003635F3"/>
    <w:rsid w:val="00363931"/>
    <w:rsid w:val="00364038"/>
    <w:rsid w:val="00364065"/>
    <w:rsid w:val="00364B54"/>
    <w:rsid w:val="00364F01"/>
    <w:rsid w:val="003664C9"/>
    <w:rsid w:val="00366841"/>
    <w:rsid w:val="003670EE"/>
    <w:rsid w:val="00367895"/>
    <w:rsid w:val="003701DC"/>
    <w:rsid w:val="00370CA3"/>
    <w:rsid w:val="00371730"/>
    <w:rsid w:val="00371919"/>
    <w:rsid w:val="00373053"/>
    <w:rsid w:val="00373669"/>
    <w:rsid w:val="00373C73"/>
    <w:rsid w:val="00373DED"/>
    <w:rsid w:val="0037419F"/>
    <w:rsid w:val="00374812"/>
    <w:rsid w:val="00374F64"/>
    <w:rsid w:val="003752E6"/>
    <w:rsid w:val="00375609"/>
    <w:rsid w:val="00377321"/>
    <w:rsid w:val="0037734D"/>
    <w:rsid w:val="003779AA"/>
    <w:rsid w:val="00377AAE"/>
    <w:rsid w:val="00377BC4"/>
    <w:rsid w:val="00377E6D"/>
    <w:rsid w:val="00380436"/>
    <w:rsid w:val="003808BF"/>
    <w:rsid w:val="00381957"/>
    <w:rsid w:val="003823C7"/>
    <w:rsid w:val="003836EA"/>
    <w:rsid w:val="00383D12"/>
    <w:rsid w:val="00384460"/>
    <w:rsid w:val="00384838"/>
    <w:rsid w:val="00385308"/>
    <w:rsid w:val="00385CFF"/>
    <w:rsid w:val="00386EFD"/>
    <w:rsid w:val="00387212"/>
    <w:rsid w:val="00387899"/>
    <w:rsid w:val="00387F54"/>
    <w:rsid w:val="003901DA"/>
    <w:rsid w:val="00390466"/>
    <w:rsid w:val="0039086E"/>
    <w:rsid w:val="003911EA"/>
    <w:rsid w:val="00391C4E"/>
    <w:rsid w:val="00391F5B"/>
    <w:rsid w:val="003921A0"/>
    <w:rsid w:val="0039234F"/>
    <w:rsid w:val="00392D15"/>
    <w:rsid w:val="00393CA2"/>
    <w:rsid w:val="00394436"/>
    <w:rsid w:val="00394EB5"/>
    <w:rsid w:val="00394F4E"/>
    <w:rsid w:val="00395152"/>
    <w:rsid w:val="00395366"/>
    <w:rsid w:val="00395449"/>
    <w:rsid w:val="0039546F"/>
    <w:rsid w:val="00396092"/>
    <w:rsid w:val="00396439"/>
    <w:rsid w:val="00396829"/>
    <w:rsid w:val="0039718F"/>
    <w:rsid w:val="003A0579"/>
    <w:rsid w:val="003A078C"/>
    <w:rsid w:val="003A10A5"/>
    <w:rsid w:val="003A1586"/>
    <w:rsid w:val="003A1836"/>
    <w:rsid w:val="003A1ED6"/>
    <w:rsid w:val="003A2C52"/>
    <w:rsid w:val="003A2E5D"/>
    <w:rsid w:val="003A33ED"/>
    <w:rsid w:val="003A446B"/>
    <w:rsid w:val="003A44DE"/>
    <w:rsid w:val="003A4788"/>
    <w:rsid w:val="003A569F"/>
    <w:rsid w:val="003A736C"/>
    <w:rsid w:val="003A73FF"/>
    <w:rsid w:val="003A7950"/>
    <w:rsid w:val="003A7BFA"/>
    <w:rsid w:val="003B0A00"/>
    <w:rsid w:val="003B0DA5"/>
    <w:rsid w:val="003B168A"/>
    <w:rsid w:val="003B1E40"/>
    <w:rsid w:val="003B2E36"/>
    <w:rsid w:val="003B2F27"/>
    <w:rsid w:val="003B3B7D"/>
    <w:rsid w:val="003B3D43"/>
    <w:rsid w:val="003B4B1F"/>
    <w:rsid w:val="003B4C9A"/>
    <w:rsid w:val="003B4D58"/>
    <w:rsid w:val="003B6109"/>
    <w:rsid w:val="003B6526"/>
    <w:rsid w:val="003B65A5"/>
    <w:rsid w:val="003B74DE"/>
    <w:rsid w:val="003B772B"/>
    <w:rsid w:val="003B79AA"/>
    <w:rsid w:val="003C024B"/>
    <w:rsid w:val="003C071A"/>
    <w:rsid w:val="003C0ABA"/>
    <w:rsid w:val="003C11FF"/>
    <w:rsid w:val="003C1583"/>
    <w:rsid w:val="003C15BB"/>
    <w:rsid w:val="003C1AA8"/>
    <w:rsid w:val="003C3009"/>
    <w:rsid w:val="003C3595"/>
    <w:rsid w:val="003C36CC"/>
    <w:rsid w:val="003C3F6E"/>
    <w:rsid w:val="003C45E3"/>
    <w:rsid w:val="003C4886"/>
    <w:rsid w:val="003C48CE"/>
    <w:rsid w:val="003C4998"/>
    <w:rsid w:val="003C63BF"/>
    <w:rsid w:val="003C64C9"/>
    <w:rsid w:val="003C7763"/>
    <w:rsid w:val="003D0E5D"/>
    <w:rsid w:val="003D1514"/>
    <w:rsid w:val="003D1D30"/>
    <w:rsid w:val="003D1F8E"/>
    <w:rsid w:val="003D2B61"/>
    <w:rsid w:val="003D2C35"/>
    <w:rsid w:val="003D3625"/>
    <w:rsid w:val="003D3D39"/>
    <w:rsid w:val="003D4573"/>
    <w:rsid w:val="003D4B3B"/>
    <w:rsid w:val="003D52F7"/>
    <w:rsid w:val="003D55D6"/>
    <w:rsid w:val="003D65B7"/>
    <w:rsid w:val="003D6FD2"/>
    <w:rsid w:val="003D7252"/>
    <w:rsid w:val="003D7493"/>
    <w:rsid w:val="003D7982"/>
    <w:rsid w:val="003D7B8C"/>
    <w:rsid w:val="003E03D1"/>
    <w:rsid w:val="003E0BA6"/>
    <w:rsid w:val="003E0C13"/>
    <w:rsid w:val="003E12B6"/>
    <w:rsid w:val="003E1C65"/>
    <w:rsid w:val="003E237D"/>
    <w:rsid w:val="003E2742"/>
    <w:rsid w:val="003E335C"/>
    <w:rsid w:val="003E3F3E"/>
    <w:rsid w:val="003E4333"/>
    <w:rsid w:val="003E487D"/>
    <w:rsid w:val="003E5634"/>
    <w:rsid w:val="003E56FA"/>
    <w:rsid w:val="003E6011"/>
    <w:rsid w:val="003E62E0"/>
    <w:rsid w:val="003E65B3"/>
    <w:rsid w:val="003E65D5"/>
    <w:rsid w:val="003E6760"/>
    <w:rsid w:val="003E6A46"/>
    <w:rsid w:val="003F0094"/>
    <w:rsid w:val="003F011D"/>
    <w:rsid w:val="003F0F0B"/>
    <w:rsid w:val="003F13BF"/>
    <w:rsid w:val="003F16F2"/>
    <w:rsid w:val="003F196C"/>
    <w:rsid w:val="003F1D41"/>
    <w:rsid w:val="003F25E4"/>
    <w:rsid w:val="003F261F"/>
    <w:rsid w:val="003F30B5"/>
    <w:rsid w:val="003F3829"/>
    <w:rsid w:val="003F54EA"/>
    <w:rsid w:val="003F66C7"/>
    <w:rsid w:val="003F755E"/>
    <w:rsid w:val="003F7806"/>
    <w:rsid w:val="003F78FA"/>
    <w:rsid w:val="003F7A06"/>
    <w:rsid w:val="003F7B90"/>
    <w:rsid w:val="003F7D1E"/>
    <w:rsid w:val="004006F5"/>
    <w:rsid w:val="00400D78"/>
    <w:rsid w:val="0040160A"/>
    <w:rsid w:val="00401BD1"/>
    <w:rsid w:val="00401F1C"/>
    <w:rsid w:val="00402009"/>
    <w:rsid w:val="004021DA"/>
    <w:rsid w:val="00402262"/>
    <w:rsid w:val="00402A38"/>
    <w:rsid w:val="004030A6"/>
    <w:rsid w:val="00403158"/>
    <w:rsid w:val="00403287"/>
    <w:rsid w:val="004037FD"/>
    <w:rsid w:val="00404799"/>
    <w:rsid w:val="00404A73"/>
    <w:rsid w:val="0040501E"/>
    <w:rsid w:val="00405025"/>
    <w:rsid w:val="00405549"/>
    <w:rsid w:val="004072FD"/>
    <w:rsid w:val="00407886"/>
    <w:rsid w:val="0041042A"/>
    <w:rsid w:val="0041183B"/>
    <w:rsid w:val="004121A7"/>
    <w:rsid w:val="00413867"/>
    <w:rsid w:val="004140D0"/>
    <w:rsid w:val="004145E5"/>
    <w:rsid w:val="00415110"/>
    <w:rsid w:val="00415E7B"/>
    <w:rsid w:val="00415EFD"/>
    <w:rsid w:val="00416480"/>
    <w:rsid w:val="004165D8"/>
    <w:rsid w:val="00416AFB"/>
    <w:rsid w:val="0041712F"/>
    <w:rsid w:val="004175D0"/>
    <w:rsid w:val="0041763F"/>
    <w:rsid w:val="004177F1"/>
    <w:rsid w:val="004179DF"/>
    <w:rsid w:val="00417ACF"/>
    <w:rsid w:val="00417D23"/>
    <w:rsid w:val="004202FC"/>
    <w:rsid w:val="00420619"/>
    <w:rsid w:val="0042088E"/>
    <w:rsid w:val="004208CE"/>
    <w:rsid w:val="00420E05"/>
    <w:rsid w:val="0042128E"/>
    <w:rsid w:val="00421518"/>
    <w:rsid w:val="00421744"/>
    <w:rsid w:val="00422A34"/>
    <w:rsid w:val="00422DBC"/>
    <w:rsid w:val="004253F1"/>
    <w:rsid w:val="00425424"/>
    <w:rsid w:val="00425513"/>
    <w:rsid w:val="004258CB"/>
    <w:rsid w:val="00425906"/>
    <w:rsid w:val="00425CCB"/>
    <w:rsid w:val="00425DC4"/>
    <w:rsid w:val="00426891"/>
    <w:rsid w:val="004272C5"/>
    <w:rsid w:val="004311FB"/>
    <w:rsid w:val="00431675"/>
    <w:rsid w:val="00431AA0"/>
    <w:rsid w:val="00432458"/>
    <w:rsid w:val="00432BD2"/>
    <w:rsid w:val="00432F0D"/>
    <w:rsid w:val="0043328D"/>
    <w:rsid w:val="00433757"/>
    <w:rsid w:val="004337D6"/>
    <w:rsid w:val="00434092"/>
    <w:rsid w:val="00435C4A"/>
    <w:rsid w:val="00437DD9"/>
    <w:rsid w:val="00440412"/>
    <w:rsid w:val="00440479"/>
    <w:rsid w:val="004407D3"/>
    <w:rsid w:val="00440FB6"/>
    <w:rsid w:val="00440FCE"/>
    <w:rsid w:val="00441209"/>
    <w:rsid w:val="00441A89"/>
    <w:rsid w:val="00442120"/>
    <w:rsid w:val="0044220B"/>
    <w:rsid w:val="00442536"/>
    <w:rsid w:val="00442826"/>
    <w:rsid w:val="00442AAC"/>
    <w:rsid w:val="00442D26"/>
    <w:rsid w:val="00443641"/>
    <w:rsid w:val="00443CEF"/>
    <w:rsid w:val="004455D0"/>
    <w:rsid w:val="00445A1D"/>
    <w:rsid w:val="00445CE6"/>
    <w:rsid w:val="00445F91"/>
    <w:rsid w:val="00446E86"/>
    <w:rsid w:val="004509B6"/>
    <w:rsid w:val="00451215"/>
    <w:rsid w:val="00451233"/>
    <w:rsid w:val="00452A26"/>
    <w:rsid w:val="00452BDA"/>
    <w:rsid w:val="00453590"/>
    <w:rsid w:val="00453ECC"/>
    <w:rsid w:val="004547FB"/>
    <w:rsid w:val="00454FD4"/>
    <w:rsid w:val="00455EF8"/>
    <w:rsid w:val="0045633A"/>
    <w:rsid w:val="00456B22"/>
    <w:rsid w:val="004570B2"/>
    <w:rsid w:val="004572CD"/>
    <w:rsid w:val="00457482"/>
    <w:rsid w:val="004574F9"/>
    <w:rsid w:val="004575C3"/>
    <w:rsid w:val="00457717"/>
    <w:rsid w:val="00457CA0"/>
    <w:rsid w:val="0046069C"/>
    <w:rsid w:val="00460C57"/>
    <w:rsid w:val="00461261"/>
    <w:rsid w:val="004613A3"/>
    <w:rsid w:val="00461561"/>
    <w:rsid w:val="0046308D"/>
    <w:rsid w:val="004634C2"/>
    <w:rsid w:val="00463A13"/>
    <w:rsid w:val="00463DAD"/>
    <w:rsid w:val="00465B8E"/>
    <w:rsid w:val="0046604C"/>
    <w:rsid w:val="00467CB4"/>
    <w:rsid w:val="00467D4D"/>
    <w:rsid w:val="00467D96"/>
    <w:rsid w:val="004701B2"/>
    <w:rsid w:val="00470768"/>
    <w:rsid w:val="00471B6D"/>
    <w:rsid w:val="004730B4"/>
    <w:rsid w:val="0047316B"/>
    <w:rsid w:val="0047419A"/>
    <w:rsid w:val="0047470C"/>
    <w:rsid w:val="00474D37"/>
    <w:rsid w:val="0047610D"/>
    <w:rsid w:val="00476199"/>
    <w:rsid w:val="00476891"/>
    <w:rsid w:val="0047792D"/>
    <w:rsid w:val="00477EA1"/>
    <w:rsid w:val="00480C53"/>
    <w:rsid w:val="00480F4B"/>
    <w:rsid w:val="004810AC"/>
    <w:rsid w:val="00481792"/>
    <w:rsid w:val="00481857"/>
    <w:rsid w:val="004818C1"/>
    <w:rsid w:val="00482027"/>
    <w:rsid w:val="004824B9"/>
    <w:rsid w:val="004829EF"/>
    <w:rsid w:val="00482FB5"/>
    <w:rsid w:val="004833F8"/>
    <w:rsid w:val="00483E6C"/>
    <w:rsid w:val="00483ECE"/>
    <w:rsid w:val="00484D79"/>
    <w:rsid w:val="00484F6B"/>
    <w:rsid w:val="00485306"/>
    <w:rsid w:val="00485322"/>
    <w:rsid w:val="00485638"/>
    <w:rsid w:val="00485C90"/>
    <w:rsid w:val="00485E9A"/>
    <w:rsid w:val="00486A68"/>
    <w:rsid w:val="00487A26"/>
    <w:rsid w:val="00487DC7"/>
    <w:rsid w:val="00487DDF"/>
    <w:rsid w:val="00490035"/>
    <w:rsid w:val="00490637"/>
    <w:rsid w:val="00491079"/>
    <w:rsid w:val="004913FB"/>
    <w:rsid w:val="00491427"/>
    <w:rsid w:val="00491793"/>
    <w:rsid w:val="00493A91"/>
    <w:rsid w:val="00494AB6"/>
    <w:rsid w:val="00494F32"/>
    <w:rsid w:val="00495B10"/>
    <w:rsid w:val="00495F8A"/>
    <w:rsid w:val="004963AE"/>
    <w:rsid w:val="00496A0D"/>
    <w:rsid w:val="00496F1E"/>
    <w:rsid w:val="0049772A"/>
    <w:rsid w:val="00497C00"/>
    <w:rsid w:val="004A106F"/>
    <w:rsid w:val="004A1379"/>
    <w:rsid w:val="004A14C1"/>
    <w:rsid w:val="004A19DB"/>
    <w:rsid w:val="004A1F11"/>
    <w:rsid w:val="004A2256"/>
    <w:rsid w:val="004A256D"/>
    <w:rsid w:val="004A2B76"/>
    <w:rsid w:val="004A35FE"/>
    <w:rsid w:val="004A3AF6"/>
    <w:rsid w:val="004A3B8B"/>
    <w:rsid w:val="004A3E70"/>
    <w:rsid w:val="004A3E8D"/>
    <w:rsid w:val="004A450E"/>
    <w:rsid w:val="004A46F8"/>
    <w:rsid w:val="004A56A9"/>
    <w:rsid w:val="004A7617"/>
    <w:rsid w:val="004A7B96"/>
    <w:rsid w:val="004B07EC"/>
    <w:rsid w:val="004B0882"/>
    <w:rsid w:val="004B1174"/>
    <w:rsid w:val="004B16DB"/>
    <w:rsid w:val="004B1764"/>
    <w:rsid w:val="004B1B85"/>
    <w:rsid w:val="004B1D43"/>
    <w:rsid w:val="004B2694"/>
    <w:rsid w:val="004B3DFB"/>
    <w:rsid w:val="004B3E72"/>
    <w:rsid w:val="004B45BA"/>
    <w:rsid w:val="004B53F0"/>
    <w:rsid w:val="004B5F58"/>
    <w:rsid w:val="004B606B"/>
    <w:rsid w:val="004B6AB8"/>
    <w:rsid w:val="004B6DF1"/>
    <w:rsid w:val="004B6E24"/>
    <w:rsid w:val="004B6E34"/>
    <w:rsid w:val="004B752C"/>
    <w:rsid w:val="004B79AA"/>
    <w:rsid w:val="004C020A"/>
    <w:rsid w:val="004C0261"/>
    <w:rsid w:val="004C05AD"/>
    <w:rsid w:val="004C08CD"/>
    <w:rsid w:val="004C0C34"/>
    <w:rsid w:val="004C1ED1"/>
    <w:rsid w:val="004C1F58"/>
    <w:rsid w:val="004C2108"/>
    <w:rsid w:val="004C2686"/>
    <w:rsid w:val="004C26A2"/>
    <w:rsid w:val="004C334C"/>
    <w:rsid w:val="004C3385"/>
    <w:rsid w:val="004C4523"/>
    <w:rsid w:val="004C5AF4"/>
    <w:rsid w:val="004C5CE8"/>
    <w:rsid w:val="004C6457"/>
    <w:rsid w:val="004C6AA7"/>
    <w:rsid w:val="004C6BF8"/>
    <w:rsid w:val="004C6C1A"/>
    <w:rsid w:val="004C6D52"/>
    <w:rsid w:val="004C713A"/>
    <w:rsid w:val="004C7172"/>
    <w:rsid w:val="004C7E29"/>
    <w:rsid w:val="004C7F3E"/>
    <w:rsid w:val="004D0258"/>
    <w:rsid w:val="004D03FE"/>
    <w:rsid w:val="004D07B2"/>
    <w:rsid w:val="004D08A0"/>
    <w:rsid w:val="004D0B3E"/>
    <w:rsid w:val="004D11AB"/>
    <w:rsid w:val="004D3945"/>
    <w:rsid w:val="004D4A9D"/>
    <w:rsid w:val="004D510C"/>
    <w:rsid w:val="004D528C"/>
    <w:rsid w:val="004D5783"/>
    <w:rsid w:val="004D58AC"/>
    <w:rsid w:val="004E0A31"/>
    <w:rsid w:val="004E1A09"/>
    <w:rsid w:val="004E242F"/>
    <w:rsid w:val="004E28F4"/>
    <w:rsid w:val="004E2B6C"/>
    <w:rsid w:val="004E2FB5"/>
    <w:rsid w:val="004E3AEB"/>
    <w:rsid w:val="004E3B9D"/>
    <w:rsid w:val="004E3D57"/>
    <w:rsid w:val="004E4F13"/>
    <w:rsid w:val="004E50EF"/>
    <w:rsid w:val="004E5133"/>
    <w:rsid w:val="004E5667"/>
    <w:rsid w:val="004E67C1"/>
    <w:rsid w:val="004E6A93"/>
    <w:rsid w:val="004E7BDA"/>
    <w:rsid w:val="004F0FA8"/>
    <w:rsid w:val="004F18C2"/>
    <w:rsid w:val="004F2568"/>
    <w:rsid w:val="004F266B"/>
    <w:rsid w:val="004F2AD2"/>
    <w:rsid w:val="004F2BF6"/>
    <w:rsid w:val="004F497F"/>
    <w:rsid w:val="004F5034"/>
    <w:rsid w:val="004F5E8A"/>
    <w:rsid w:val="0050079D"/>
    <w:rsid w:val="00500C5F"/>
    <w:rsid w:val="00500DEA"/>
    <w:rsid w:val="00500F3A"/>
    <w:rsid w:val="005025BE"/>
    <w:rsid w:val="00502980"/>
    <w:rsid w:val="00503757"/>
    <w:rsid w:val="0050476B"/>
    <w:rsid w:val="00504ADD"/>
    <w:rsid w:val="00505031"/>
    <w:rsid w:val="0050504E"/>
    <w:rsid w:val="00505152"/>
    <w:rsid w:val="00505BEA"/>
    <w:rsid w:val="00505D55"/>
    <w:rsid w:val="005069A4"/>
    <w:rsid w:val="00507880"/>
    <w:rsid w:val="00507BA7"/>
    <w:rsid w:val="00510A09"/>
    <w:rsid w:val="00510C3C"/>
    <w:rsid w:val="00511080"/>
    <w:rsid w:val="00511436"/>
    <w:rsid w:val="00511745"/>
    <w:rsid w:val="00511B1E"/>
    <w:rsid w:val="00512448"/>
    <w:rsid w:val="00512648"/>
    <w:rsid w:val="00513059"/>
    <w:rsid w:val="005130C2"/>
    <w:rsid w:val="0051315F"/>
    <w:rsid w:val="005133C7"/>
    <w:rsid w:val="00513718"/>
    <w:rsid w:val="00513899"/>
    <w:rsid w:val="00513D59"/>
    <w:rsid w:val="00514308"/>
    <w:rsid w:val="00514C0C"/>
    <w:rsid w:val="00514EF9"/>
    <w:rsid w:val="005158E3"/>
    <w:rsid w:val="00515AAF"/>
    <w:rsid w:val="00517620"/>
    <w:rsid w:val="005176B8"/>
    <w:rsid w:val="005178EA"/>
    <w:rsid w:val="00517B30"/>
    <w:rsid w:val="0052017A"/>
    <w:rsid w:val="0052022D"/>
    <w:rsid w:val="00520EA2"/>
    <w:rsid w:val="005213A0"/>
    <w:rsid w:val="00521B4C"/>
    <w:rsid w:val="00521C62"/>
    <w:rsid w:val="005220D3"/>
    <w:rsid w:val="00522523"/>
    <w:rsid w:val="00523321"/>
    <w:rsid w:val="0052361C"/>
    <w:rsid w:val="00523E60"/>
    <w:rsid w:val="00523F66"/>
    <w:rsid w:val="00524F7D"/>
    <w:rsid w:val="0052570D"/>
    <w:rsid w:val="00525A37"/>
    <w:rsid w:val="00525AC2"/>
    <w:rsid w:val="005260A6"/>
    <w:rsid w:val="005260F5"/>
    <w:rsid w:val="00526FDC"/>
    <w:rsid w:val="0052768C"/>
    <w:rsid w:val="00527F6F"/>
    <w:rsid w:val="005313E8"/>
    <w:rsid w:val="00531618"/>
    <w:rsid w:val="005319A6"/>
    <w:rsid w:val="00531CBF"/>
    <w:rsid w:val="00531F41"/>
    <w:rsid w:val="00531F84"/>
    <w:rsid w:val="0053223A"/>
    <w:rsid w:val="0053231F"/>
    <w:rsid w:val="00532EF8"/>
    <w:rsid w:val="00532F6A"/>
    <w:rsid w:val="00533316"/>
    <w:rsid w:val="00533D15"/>
    <w:rsid w:val="00533DEF"/>
    <w:rsid w:val="00534B52"/>
    <w:rsid w:val="00534DA1"/>
    <w:rsid w:val="0053546E"/>
    <w:rsid w:val="00535B2A"/>
    <w:rsid w:val="00535DDF"/>
    <w:rsid w:val="00535E7F"/>
    <w:rsid w:val="00535FFB"/>
    <w:rsid w:val="005364A0"/>
    <w:rsid w:val="00536648"/>
    <w:rsid w:val="005368A0"/>
    <w:rsid w:val="00536DC6"/>
    <w:rsid w:val="00537B00"/>
    <w:rsid w:val="00540BC3"/>
    <w:rsid w:val="005417BC"/>
    <w:rsid w:val="00541EC4"/>
    <w:rsid w:val="00542163"/>
    <w:rsid w:val="0054263B"/>
    <w:rsid w:val="00542E45"/>
    <w:rsid w:val="005433DD"/>
    <w:rsid w:val="0054386D"/>
    <w:rsid w:val="005439AE"/>
    <w:rsid w:val="005439B8"/>
    <w:rsid w:val="00543C9A"/>
    <w:rsid w:val="00543D76"/>
    <w:rsid w:val="00544704"/>
    <w:rsid w:val="0054523E"/>
    <w:rsid w:val="005452DD"/>
    <w:rsid w:val="00545605"/>
    <w:rsid w:val="00545DB6"/>
    <w:rsid w:val="00545DD4"/>
    <w:rsid w:val="00545F94"/>
    <w:rsid w:val="00545F9B"/>
    <w:rsid w:val="00546F45"/>
    <w:rsid w:val="0054749B"/>
    <w:rsid w:val="005476FC"/>
    <w:rsid w:val="00547F28"/>
    <w:rsid w:val="00550530"/>
    <w:rsid w:val="005507C6"/>
    <w:rsid w:val="00550D57"/>
    <w:rsid w:val="00551287"/>
    <w:rsid w:val="0055138E"/>
    <w:rsid w:val="00551CBD"/>
    <w:rsid w:val="00552021"/>
    <w:rsid w:val="00552AB3"/>
    <w:rsid w:val="0055300D"/>
    <w:rsid w:val="005541A9"/>
    <w:rsid w:val="005547A2"/>
    <w:rsid w:val="005549A7"/>
    <w:rsid w:val="00554A99"/>
    <w:rsid w:val="00554DB1"/>
    <w:rsid w:val="00554F7F"/>
    <w:rsid w:val="0055548D"/>
    <w:rsid w:val="00556683"/>
    <w:rsid w:val="00557006"/>
    <w:rsid w:val="005573D8"/>
    <w:rsid w:val="00557ADE"/>
    <w:rsid w:val="00557B5B"/>
    <w:rsid w:val="00557BBF"/>
    <w:rsid w:val="00560278"/>
    <w:rsid w:val="005604EB"/>
    <w:rsid w:val="005605B9"/>
    <w:rsid w:val="0056087D"/>
    <w:rsid w:val="00561D7C"/>
    <w:rsid w:val="00561E50"/>
    <w:rsid w:val="005625C3"/>
    <w:rsid w:val="005627D9"/>
    <w:rsid w:val="00563FA6"/>
    <w:rsid w:val="005643CA"/>
    <w:rsid w:val="0056460E"/>
    <w:rsid w:val="0056489D"/>
    <w:rsid w:val="0056499B"/>
    <w:rsid w:val="005658C9"/>
    <w:rsid w:val="00566C61"/>
    <w:rsid w:val="0056736E"/>
    <w:rsid w:val="00567488"/>
    <w:rsid w:val="0056798B"/>
    <w:rsid w:val="00570663"/>
    <w:rsid w:val="00570743"/>
    <w:rsid w:val="005708FD"/>
    <w:rsid w:val="00571375"/>
    <w:rsid w:val="00571394"/>
    <w:rsid w:val="00572034"/>
    <w:rsid w:val="005721B5"/>
    <w:rsid w:val="00572BB5"/>
    <w:rsid w:val="00572E10"/>
    <w:rsid w:val="00572EE5"/>
    <w:rsid w:val="00572F91"/>
    <w:rsid w:val="005738B4"/>
    <w:rsid w:val="00573C30"/>
    <w:rsid w:val="00574112"/>
    <w:rsid w:val="005741AE"/>
    <w:rsid w:val="00574B64"/>
    <w:rsid w:val="0057539C"/>
    <w:rsid w:val="005775CF"/>
    <w:rsid w:val="005777D7"/>
    <w:rsid w:val="0057795B"/>
    <w:rsid w:val="00577B7F"/>
    <w:rsid w:val="00577C9C"/>
    <w:rsid w:val="00577E44"/>
    <w:rsid w:val="00577F33"/>
    <w:rsid w:val="00580335"/>
    <w:rsid w:val="00580919"/>
    <w:rsid w:val="0058131E"/>
    <w:rsid w:val="005817AD"/>
    <w:rsid w:val="005819D2"/>
    <w:rsid w:val="00581E09"/>
    <w:rsid w:val="0058277A"/>
    <w:rsid w:val="00582B47"/>
    <w:rsid w:val="00582E49"/>
    <w:rsid w:val="00582F38"/>
    <w:rsid w:val="00582F48"/>
    <w:rsid w:val="00583B31"/>
    <w:rsid w:val="005844DA"/>
    <w:rsid w:val="00584833"/>
    <w:rsid w:val="00585684"/>
    <w:rsid w:val="00585D21"/>
    <w:rsid w:val="00586280"/>
    <w:rsid w:val="00586890"/>
    <w:rsid w:val="0058762B"/>
    <w:rsid w:val="005876CD"/>
    <w:rsid w:val="00590079"/>
    <w:rsid w:val="0059013C"/>
    <w:rsid w:val="005907D4"/>
    <w:rsid w:val="0059094E"/>
    <w:rsid w:val="00591048"/>
    <w:rsid w:val="00591696"/>
    <w:rsid w:val="00591DF8"/>
    <w:rsid w:val="00593225"/>
    <w:rsid w:val="005937C6"/>
    <w:rsid w:val="00595441"/>
    <w:rsid w:val="00596681"/>
    <w:rsid w:val="00596B51"/>
    <w:rsid w:val="00596B80"/>
    <w:rsid w:val="005979B1"/>
    <w:rsid w:val="00597D31"/>
    <w:rsid w:val="005A0B99"/>
    <w:rsid w:val="005A0F02"/>
    <w:rsid w:val="005A1E46"/>
    <w:rsid w:val="005A215F"/>
    <w:rsid w:val="005A2D33"/>
    <w:rsid w:val="005A2ECB"/>
    <w:rsid w:val="005A329D"/>
    <w:rsid w:val="005A35EF"/>
    <w:rsid w:val="005A3915"/>
    <w:rsid w:val="005A4912"/>
    <w:rsid w:val="005A4C4B"/>
    <w:rsid w:val="005A4EE6"/>
    <w:rsid w:val="005A528D"/>
    <w:rsid w:val="005A5AD7"/>
    <w:rsid w:val="005A5C50"/>
    <w:rsid w:val="005A5CD3"/>
    <w:rsid w:val="005A5D5C"/>
    <w:rsid w:val="005A6002"/>
    <w:rsid w:val="005A65B0"/>
    <w:rsid w:val="005A6896"/>
    <w:rsid w:val="005A6B54"/>
    <w:rsid w:val="005A6F49"/>
    <w:rsid w:val="005A7740"/>
    <w:rsid w:val="005B0252"/>
    <w:rsid w:val="005B076E"/>
    <w:rsid w:val="005B102B"/>
    <w:rsid w:val="005B1381"/>
    <w:rsid w:val="005B1573"/>
    <w:rsid w:val="005B1653"/>
    <w:rsid w:val="005B1866"/>
    <w:rsid w:val="005B1ABE"/>
    <w:rsid w:val="005B1BED"/>
    <w:rsid w:val="005B2095"/>
    <w:rsid w:val="005B21C8"/>
    <w:rsid w:val="005B2629"/>
    <w:rsid w:val="005B265B"/>
    <w:rsid w:val="005B2BEB"/>
    <w:rsid w:val="005B2CB7"/>
    <w:rsid w:val="005B3754"/>
    <w:rsid w:val="005B3AAC"/>
    <w:rsid w:val="005B4036"/>
    <w:rsid w:val="005B4405"/>
    <w:rsid w:val="005B5A70"/>
    <w:rsid w:val="005B6114"/>
    <w:rsid w:val="005B6FC0"/>
    <w:rsid w:val="005B7547"/>
    <w:rsid w:val="005B7920"/>
    <w:rsid w:val="005B7BA7"/>
    <w:rsid w:val="005C05AA"/>
    <w:rsid w:val="005C122F"/>
    <w:rsid w:val="005C139B"/>
    <w:rsid w:val="005C1610"/>
    <w:rsid w:val="005C1615"/>
    <w:rsid w:val="005C1894"/>
    <w:rsid w:val="005C1EA0"/>
    <w:rsid w:val="005C1F3B"/>
    <w:rsid w:val="005C23E6"/>
    <w:rsid w:val="005C28ED"/>
    <w:rsid w:val="005C29EA"/>
    <w:rsid w:val="005C31CE"/>
    <w:rsid w:val="005C3637"/>
    <w:rsid w:val="005C374F"/>
    <w:rsid w:val="005C3BEE"/>
    <w:rsid w:val="005C3D8F"/>
    <w:rsid w:val="005C4974"/>
    <w:rsid w:val="005C49B6"/>
    <w:rsid w:val="005C49EA"/>
    <w:rsid w:val="005C5E00"/>
    <w:rsid w:val="005C5E82"/>
    <w:rsid w:val="005C6531"/>
    <w:rsid w:val="005C65E8"/>
    <w:rsid w:val="005C678F"/>
    <w:rsid w:val="005C6A42"/>
    <w:rsid w:val="005D03B8"/>
    <w:rsid w:val="005D093E"/>
    <w:rsid w:val="005D0C6F"/>
    <w:rsid w:val="005D1563"/>
    <w:rsid w:val="005D216F"/>
    <w:rsid w:val="005D30E3"/>
    <w:rsid w:val="005D353B"/>
    <w:rsid w:val="005D3660"/>
    <w:rsid w:val="005D42B1"/>
    <w:rsid w:val="005D4D9F"/>
    <w:rsid w:val="005D5DFC"/>
    <w:rsid w:val="005D6449"/>
    <w:rsid w:val="005D6638"/>
    <w:rsid w:val="005D6677"/>
    <w:rsid w:val="005E00A3"/>
    <w:rsid w:val="005E0573"/>
    <w:rsid w:val="005E0591"/>
    <w:rsid w:val="005E083E"/>
    <w:rsid w:val="005E11D4"/>
    <w:rsid w:val="005E14BF"/>
    <w:rsid w:val="005E15D1"/>
    <w:rsid w:val="005E1D17"/>
    <w:rsid w:val="005E2F02"/>
    <w:rsid w:val="005E3F3B"/>
    <w:rsid w:val="005E3FCB"/>
    <w:rsid w:val="005E426B"/>
    <w:rsid w:val="005E4441"/>
    <w:rsid w:val="005E462D"/>
    <w:rsid w:val="005E4F94"/>
    <w:rsid w:val="005E4FC5"/>
    <w:rsid w:val="005E639A"/>
    <w:rsid w:val="005E6484"/>
    <w:rsid w:val="005E672D"/>
    <w:rsid w:val="005E6EAD"/>
    <w:rsid w:val="005E7223"/>
    <w:rsid w:val="005E7500"/>
    <w:rsid w:val="005F013F"/>
    <w:rsid w:val="005F040F"/>
    <w:rsid w:val="005F0D5F"/>
    <w:rsid w:val="005F1CF4"/>
    <w:rsid w:val="005F2E0F"/>
    <w:rsid w:val="005F3FA4"/>
    <w:rsid w:val="005F4161"/>
    <w:rsid w:val="005F48AD"/>
    <w:rsid w:val="005F4948"/>
    <w:rsid w:val="005F6795"/>
    <w:rsid w:val="005F6A67"/>
    <w:rsid w:val="005F715E"/>
    <w:rsid w:val="00600333"/>
    <w:rsid w:val="0060054A"/>
    <w:rsid w:val="0060076D"/>
    <w:rsid w:val="006008A5"/>
    <w:rsid w:val="00600937"/>
    <w:rsid w:val="006016DB"/>
    <w:rsid w:val="00601AD7"/>
    <w:rsid w:val="00602108"/>
    <w:rsid w:val="006031C5"/>
    <w:rsid w:val="006032D1"/>
    <w:rsid w:val="00603B12"/>
    <w:rsid w:val="006040F1"/>
    <w:rsid w:val="00604A4D"/>
    <w:rsid w:val="006050AE"/>
    <w:rsid w:val="006050C6"/>
    <w:rsid w:val="00605974"/>
    <w:rsid w:val="00606035"/>
    <w:rsid w:val="00606967"/>
    <w:rsid w:val="0060698C"/>
    <w:rsid w:val="00606A56"/>
    <w:rsid w:val="00606CAD"/>
    <w:rsid w:val="0060737E"/>
    <w:rsid w:val="00607E74"/>
    <w:rsid w:val="00610B7A"/>
    <w:rsid w:val="006122BE"/>
    <w:rsid w:val="00616FF9"/>
    <w:rsid w:val="00621330"/>
    <w:rsid w:val="00622F38"/>
    <w:rsid w:val="00623670"/>
    <w:rsid w:val="00623867"/>
    <w:rsid w:val="00623D22"/>
    <w:rsid w:val="00623D5B"/>
    <w:rsid w:val="0062499C"/>
    <w:rsid w:val="00625767"/>
    <w:rsid w:val="006258E0"/>
    <w:rsid w:val="00626369"/>
    <w:rsid w:val="0062689E"/>
    <w:rsid w:val="00626AD3"/>
    <w:rsid w:val="006279EB"/>
    <w:rsid w:val="00627BD8"/>
    <w:rsid w:val="00627D95"/>
    <w:rsid w:val="0063031D"/>
    <w:rsid w:val="00631218"/>
    <w:rsid w:val="006316A5"/>
    <w:rsid w:val="00632278"/>
    <w:rsid w:val="006331C8"/>
    <w:rsid w:val="0063411D"/>
    <w:rsid w:val="0063556F"/>
    <w:rsid w:val="006367AA"/>
    <w:rsid w:val="006369A4"/>
    <w:rsid w:val="00636FD8"/>
    <w:rsid w:val="0063761F"/>
    <w:rsid w:val="00637963"/>
    <w:rsid w:val="00637F3A"/>
    <w:rsid w:val="006406E8"/>
    <w:rsid w:val="0064205B"/>
    <w:rsid w:val="006420E4"/>
    <w:rsid w:val="00642190"/>
    <w:rsid w:val="00643405"/>
    <w:rsid w:val="0064361B"/>
    <w:rsid w:val="00644245"/>
    <w:rsid w:val="0064472D"/>
    <w:rsid w:val="00645CB2"/>
    <w:rsid w:val="00645D8F"/>
    <w:rsid w:val="00645F8A"/>
    <w:rsid w:val="00646047"/>
    <w:rsid w:val="0064604C"/>
    <w:rsid w:val="006465F8"/>
    <w:rsid w:val="006468E1"/>
    <w:rsid w:val="00646F37"/>
    <w:rsid w:val="00647A93"/>
    <w:rsid w:val="00647B87"/>
    <w:rsid w:val="00647FF9"/>
    <w:rsid w:val="006508B2"/>
    <w:rsid w:val="0065099D"/>
    <w:rsid w:val="006514D0"/>
    <w:rsid w:val="00652361"/>
    <w:rsid w:val="006526BE"/>
    <w:rsid w:val="006535B1"/>
    <w:rsid w:val="006539A9"/>
    <w:rsid w:val="00655284"/>
    <w:rsid w:val="0065630B"/>
    <w:rsid w:val="00656E5A"/>
    <w:rsid w:val="00656EC5"/>
    <w:rsid w:val="0065726E"/>
    <w:rsid w:val="006578A3"/>
    <w:rsid w:val="00657900"/>
    <w:rsid w:val="00657C2C"/>
    <w:rsid w:val="00660F85"/>
    <w:rsid w:val="00661363"/>
    <w:rsid w:val="00661535"/>
    <w:rsid w:val="00661D4F"/>
    <w:rsid w:val="0066301A"/>
    <w:rsid w:val="0066399B"/>
    <w:rsid w:val="00663A68"/>
    <w:rsid w:val="00663B5F"/>
    <w:rsid w:val="00664037"/>
    <w:rsid w:val="006646EA"/>
    <w:rsid w:val="00664BF0"/>
    <w:rsid w:val="00664F05"/>
    <w:rsid w:val="00665090"/>
    <w:rsid w:val="00666174"/>
    <w:rsid w:val="00667AA0"/>
    <w:rsid w:val="00670089"/>
    <w:rsid w:val="00670365"/>
    <w:rsid w:val="006716D5"/>
    <w:rsid w:val="00671D8A"/>
    <w:rsid w:val="00671EEF"/>
    <w:rsid w:val="00672889"/>
    <w:rsid w:val="00672B14"/>
    <w:rsid w:val="006730B9"/>
    <w:rsid w:val="00673739"/>
    <w:rsid w:val="00674065"/>
    <w:rsid w:val="006752C8"/>
    <w:rsid w:val="00675679"/>
    <w:rsid w:val="0067592C"/>
    <w:rsid w:val="00675F04"/>
    <w:rsid w:val="00676F76"/>
    <w:rsid w:val="006773FF"/>
    <w:rsid w:val="00677DDF"/>
    <w:rsid w:val="00680D7C"/>
    <w:rsid w:val="00680E0F"/>
    <w:rsid w:val="00680E7B"/>
    <w:rsid w:val="00680FBD"/>
    <w:rsid w:val="0068184B"/>
    <w:rsid w:val="00681A30"/>
    <w:rsid w:val="00681E4F"/>
    <w:rsid w:val="00681F82"/>
    <w:rsid w:val="0068318D"/>
    <w:rsid w:val="00683236"/>
    <w:rsid w:val="0068437C"/>
    <w:rsid w:val="00686027"/>
    <w:rsid w:val="00686089"/>
    <w:rsid w:val="00686FF5"/>
    <w:rsid w:val="006873D7"/>
    <w:rsid w:val="006875A0"/>
    <w:rsid w:val="00687B9D"/>
    <w:rsid w:val="00687BD7"/>
    <w:rsid w:val="00690148"/>
    <w:rsid w:val="00690CA4"/>
    <w:rsid w:val="00690F60"/>
    <w:rsid w:val="00691CB2"/>
    <w:rsid w:val="00691E67"/>
    <w:rsid w:val="006921E4"/>
    <w:rsid w:val="0069269A"/>
    <w:rsid w:val="0069442A"/>
    <w:rsid w:val="00694B25"/>
    <w:rsid w:val="00695575"/>
    <w:rsid w:val="0069577A"/>
    <w:rsid w:val="00696B3E"/>
    <w:rsid w:val="00696C8C"/>
    <w:rsid w:val="00697193"/>
    <w:rsid w:val="0069728A"/>
    <w:rsid w:val="0069765C"/>
    <w:rsid w:val="006A09DF"/>
    <w:rsid w:val="006A0A02"/>
    <w:rsid w:val="006A142E"/>
    <w:rsid w:val="006A16A6"/>
    <w:rsid w:val="006A1833"/>
    <w:rsid w:val="006A1E15"/>
    <w:rsid w:val="006A1F16"/>
    <w:rsid w:val="006A22D6"/>
    <w:rsid w:val="006A4174"/>
    <w:rsid w:val="006A48D7"/>
    <w:rsid w:val="006A48DA"/>
    <w:rsid w:val="006A4BBA"/>
    <w:rsid w:val="006A528D"/>
    <w:rsid w:val="006A5358"/>
    <w:rsid w:val="006A53BC"/>
    <w:rsid w:val="006A651E"/>
    <w:rsid w:val="006A6970"/>
    <w:rsid w:val="006A6EF7"/>
    <w:rsid w:val="006A7293"/>
    <w:rsid w:val="006B0A5B"/>
    <w:rsid w:val="006B0B34"/>
    <w:rsid w:val="006B110E"/>
    <w:rsid w:val="006B2C1B"/>
    <w:rsid w:val="006B2C50"/>
    <w:rsid w:val="006B44F3"/>
    <w:rsid w:val="006B481B"/>
    <w:rsid w:val="006B4ACC"/>
    <w:rsid w:val="006B4FFB"/>
    <w:rsid w:val="006B535E"/>
    <w:rsid w:val="006B5600"/>
    <w:rsid w:val="006B5871"/>
    <w:rsid w:val="006B5FAE"/>
    <w:rsid w:val="006B66A3"/>
    <w:rsid w:val="006B67E0"/>
    <w:rsid w:val="006B6A36"/>
    <w:rsid w:val="006B7119"/>
    <w:rsid w:val="006B7CFD"/>
    <w:rsid w:val="006C0AC3"/>
    <w:rsid w:val="006C1064"/>
    <w:rsid w:val="006C1E42"/>
    <w:rsid w:val="006C2022"/>
    <w:rsid w:val="006C2A4B"/>
    <w:rsid w:val="006C2B3B"/>
    <w:rsid w:val="006C33D4"/>
    <w:rsid w:val="006C343D"/>
    <w:rsid w:val="006C3525"/>
    <w:rsid w:val="006C38BB"/>
    <w:rsid w:val="006C38C0"/>
    <w:rsid w:val="006C3AF3"/>
    <w:rsid w:val="006C44A9"/>
    <w:rsid w:val="006C5557"/>
    <w:rsid w:val="006C5B1C"/>
    <w:rsid w:val="006C64E2"/>
    <w:rsid w:val="006C67C7"/>
    <w:rsid w:val="006C73B1"/>
    <w:rsid w:val="006C7570"/>
    <w:rsid w:val="006C7968"/>
    <w:rsid w:val="006D00B7"/>
    <w:rsid w:val="006D0E39"/>
    <w:rsid w:val="006D138A"/>
    <w:rsid w:val="006D1B73"/>
    <w:rsid w:val="006D2236"/>
    <w:rsid w:val="006D22F4"/>
    <w:rsid w:val="006D23F9"/>
    <w:rsid w:val="006D2961"/>
    <w:rsid w:val="006D2BEC"/>
    <w:rsid w:val="006D388B"/>
    <w:rsid w:val="006D455A"/>
    <w:rsid w:val="006D48F5"/>
    <w:rsid w:val="006D4FA4"/>
    <w:rsid w:val="006D5093"/>
    <w:rsid w:val="006D51EB"/>
    <w:rsid w:val="006D5E6F"/>
    <w:rsid w:val="006D6090"/>
    <w:rsid w:val="006D67A9"/>
    <w:rsid w:val="006D7AAA"/>
    <w:rsid w:val="006E13E7"/>
    <w:rsid w:val="006E153C"/>
    <w:rsid w:val="006E1CC7"/>
    <w:rsid w:val="006E2455"/>
    <w:rsid w:val="006E2DC0"/>
    <w:rsid w:val="006E3119"/>
    <w:rsid w:val="006E3697"/>
    <w:rsid w:val="006E3A20"/>
    <w:rsid w:val="006E726F"/>
    <w:rsid w:val="006E7F8A"/>
    <w:rsid w:val="006E7FB4"/>
    <w:rsid w:val="006F0B6A"/>
    <w:rsid w:val="006F0D80"/>
    <w:rsid w:val="006F0F92"/>
    <w:rsid w:val="006F1757"/>
    <w:rsid w:val="006F1AAA"/>
    <w:rsid w:val="006F1B4E"/>
    <w:rsid w:val="006F2550"/>
    <w:rsid w:val="006F2915"/>
    <w:rsid w:val="006F4425"/>
    <w:rsid w:val="006F4DFB"/>
    <w:rsid w:val="006F4F69"/>
    <w:rsid w:val="006F5726"/>
    <w:rsid w:val="006F60B2"/>
    <w:rsid w:val="006F6645"/>
    <w:rsid w:val="006F6758"/>
    <w:rsid w:val="006F6C94"/>
    <w:rsid w:val="006F6CF3"/>
    <w:rsid w:val="006F7184"/>
    <w:rsid w:val="006F7555"/>
    <w:rsid w:val="00700251"/>
    <w:rsid w:val="0070153F"/>
    <w:rsid w:val="00701827"/>
    <w:rsid w:val="007022C3"/>
    <w:rsid w:val="00702813"/>
    <w:rsid w:val="00702C6B"/>
    <w:rsid w:val="00703356"/>
    <w:rsid w:val="00703BCC"/>
    <w:rsid w:val="00704625"/>
    <w:rsid w:val="00706450"/>
    <w:rsid w:val="00706787"/>
    <w:rsid w:val="00706F20"/>
    <w:rsid w:val="0071010A"/>
    <w:rsid w:val="007108F5"/>
    <w:rsid w:val="00710B32"/>
    <w:rsid w:val="00711E4C"/>
    <w:rsid w:val="00711EE9"/>
    <w:rsid w:val="00712275"/>
    <w:rsid w:val="00714B51"/>
    <w:rsid w:val="00714B7E"/>
    <w:rsid w:val="00715786"/>
    <w:rsid w:val="00715804"/>
    <w:rsid w:val="00716442"/>
    <w:rsid w:val="00716981"/>
    <w:rsid w:val="00716A4C"/>
    <w:rsid w:val="007172B9"/>
    <w:rsid w:val="00717842"/>
    <w:rsid w:val="00717869"/>
    <w:rsid w:val="007204A3"/>
    <w:rsid w:val="00721B71"/>
    <w:rsid w:val="00721CB8"/>
    <w:rsid w:val="00721D25"/>
    <w:rsid w:val="00722D9B"/>
    <w:rsid w:val="0072310D"/>
    <w:rsid w:val="00723B61"/>
    <w:rsid w:val="0072416B"/>
    <w:rsid w:val="00724337"/>
    <w:rsid w:val="00724408"/>
    <w:rsid w:val="00724ADB"/>
    <w:rsid w:val="0072554D"/>
    <w:rsid w:val="00725703"/>
    <w:rsid w:val="00726154"/>
    <w:rsid w:val="0072712D"/>
    <w:rsid w:val="00727543"/>
    <w:rsid w:val="00727B79"/>
    <w:rsid w:val="00727C08"/>
    <w:rsid w:val="00727E0A"/>
    <w:rsid w:val="00730AE4"/>
    <w:rsid w:val="00731713"/>
    <w:rsid w:val="0073198F"/>
    <w:rsid w:val="00731FB4"/>
    <w:rsid w:val="0073204D"/>
    <w:rsid w:val="007326D6"/>
    <w:rsid w:val="00732BE5"/>
    <w:rsid w:val="00734249"/>
    <w:rsid w:val="00734514"/>
    <w:rsid w:val="00734800"/>
    <w:rsid w:val="007349F2"/>
    <w:rsid w:val="00734C16"/>
    <w:rsid w:val="00735042"/>
    <w:rsid w:val="00735581"/>
    <w:rsid w:val="007359AF"/>
    <w:rsid w:val="00735A9F"/>
    <w:rsid w:val="00735F55"/>
    <w:rsid w:val="0073646A"/>
    <w:rsid w:val="007365C3"/>
    <w:rsid w:val="00736F51"/>
    <w:rsid w:val="00737A4A"/>
    <w:rsid w:val="00737AFC"/>
    <w:rsid w:val="007401D1"/>
    <w:rsid w:val="00741C61"/>
    <w:rsid w:val="00741C92"/>
    <w:rsid w:val="007425AE"/>
    <w:rsid w:val="007426E0"/>
    <w:rsid w:val="00742A9C"/>
    <w:rsid w:val="007430A6"/>
    <w:rsid w:val="00743DBF"/>
    <w:rsid w:val="00743EE7"/>
    <w:rsid w:val="007451F2"/>
    <w:rsid w:val="00745EC9"/>
    <w:rsid w:val="00746049"/>
    <w:rsid w:val="007468DF"/>
    <w:rsid w:val="00746ABF"/>
    <w:rsid w:val="007470F5"/>
    <w:rsid w:val="0074732A"/>
    <w:rsid w:val="007479CD"/>
    <w:rsid w:val="00747C23"/>
    <w:rsid w:val="0075048B"/>
    <w:rsid w:val="007506CB"/>
    <w:rsid w:val="007513B5"/>
    <w:rsid w:val="007516CE"/>
    <w:rsid w:val="007517F1"/>
    <w:rsid w:val="0075244A"/>
    <w:rsid w:val="00753211"/>
    <w:rsid w:val="00753A13"/>
    <w:rsid w:val="00753B67"/>
    <w:rsid w:val="007540C1"/>
    <w:rsid w:val="007546D5"/>
    <w:rsid w:val="00754C8B"/>
    <w:rsid w:val="0075556B"/>
    <w:rsid w:val="00755954"/>
    <w:rsid w:val="00756378"/>
    <w:rsid w:val="00756575"/>
    <w:rsid w:val="00756E78"/>
    <w:rsid w:val="00757320"/>
    <w:rsid w:val="00757D06"/>
    <w:rsid w:val="007604FE"/>
    <w:rsid w:val="007609D3"/>
    <w:rsid w:val="00760DDE"/>
    <w:rsid w:val="0076167E"/>
    <w:rsid w:val="0076174B"/>
    <w:rsid w:val="00761EAC"/>
    <w:rsid w:val="00762484"/>
    <w:rsid w:val="0076254B"/>
    <w:rsid w:val="00762C24"/>
    <w:rsid w:val="00762C68"/>
    <w:rsid w:val="00762E76"/>
    <w:rsid w:val="00764B95"/>
    <w:rsid w:val="00765CE1"/>
    <w:rsid w:val="00765EB3"/>
    <w:rsid w:val="00766700"/>
    <w:rsid w:val="00766AA4"/>
    <w:rsid w:val="00766E4D"/>
    <w:rsid w:val="00767220"/>
    <w:rsid w:val="00767A8E"/>
    <w:rsid w:val="00767C88"/>
    <w:rsid w:val="00770783"/>
    <w:rsid w:val="007709E6"/>
    <w:rsid w:val="00770B35"/>
    <w:rsid w:val="00770DD2"/>
    <w:rsid w:val="0077169F"/>
    <w:rsid w:val="00771C86"/>
    <w:rsid w:val="00771D51"/>
    <w:rsid w:val="00772AD0"/>
    <w:rsid w:val="00772E42"/>
    <w:rsid w:val="007730B8"/>
    <w:rsid w:val="0077381D"/>
    <w:rsid w:val="0077389D"/>
    <w:rsid w:val="00774200"/>
    <w:rsid w:val="0077492D"/>
    <w:rsid w:val="0077495F"/>
    <w:rsid w:val="00774B20"/>
    <w:rsid w:val="007757F9"/>
    <w:rsid w:val="00775C2C"/>
    <w:rsid w:val="00775E43"/>
    <w:rsid w:val="0077613A"/>
    <w:rsid w:val="007763E2"/>
    <w:rsid w:val="00776F80"/>
    <w:rsid w:val="00777C03"/>
    <w:rsid w:val="00780305"/>
    <w:rsid w:val="00780993"/>
    <w:rsid w:val="00780AB0"/>
    <w:rsid w:val="00780B0D"/>
    <w:rsid w:val="0078186C"/>
    <w:rsid w:val="007819F6"/>
    <w:rsid w:val="00781CB8"/>
    <w:rsid w:val="00781F45"/>
    <w:rsid w:val="00782744"/>
    <w:rsid w:val="00782A7E"/>
    <w:rsid w:val="00782B5E"/>
    <w:rsid w:val="00783C25"/>
    <w:rsid w:val="007846D6"/>
    <w:rsid w:val="00784F3D"/>
    <w:rsid w:val="007857D7"/>
    <w:rsid w:val="00785A01"/>
    <w:rsid w:val="00785A17"/>
    <w:rsid w:val="00785B45"/>
    <w:rsid w:val="00786336"/>
    <w:rsid w:val="0078742D"/>
    <w:rsid w:val="00790BBC"/>
    <w:rsid w:val="0079185E"/>
    <w:rsid w:val="0079205B"/>
    <w:rsid w:val="00793422"/>
    <w:rsid w:val="00794263"/>
    <w:rsid w:val="00795220"/>
    <w:rsid w:val="0079529F"/>
    <w:rsid w:val="00795537"/>
    <w:rsid w:val="00795A72"/>
    <w:rsid w:val="00795AA3"/>
    <w:rsid w:val="007960DF"/>
    <w:rsid w:val="007962A1"/>
    <w:rsid w:val="00797814"/>
    <w:rsid w:val="007A0392"/>
    <w:rsid w:val="007A0E07"/>
    <w:rsid w:val="007A0EB2"/>
    <w:rsid w:val="007A0F50"/>
    <w:rsid w:val="007A1B52"/>
    <w:rsid w:val="007A1FA8"/>
    <w:rsid w:val="007A30BB"/>
    <w:rsid w:val="007A30DA"/>
    <w:rsid w:val="007A33C7"/>
    <w:rsid w:val="007A372E"/>
    <w:rsid w:val="007A4300"/>
    <w:rsid w:val="007A4604"/>
    <w:rsid w:val="007A4DF3"/>
    <w:rsid w:val="007A4F4C"/>
    <w:rsid w:val="007A54A1"/>
    <w:rsid w:val="007A7035"/>
    <w:rsid w:val="007A7A39"/>
    <w:rsid w:val="007A7C6E"/>
    <w:rsid w:val="007A7FB2"/>
    <w:rsid w:val="007B05D0"/>
    <w:rsid w:val="007B1283"/>
    <w:rsid w:val="007B15D2"/>
    <w:rsid w:val="007B17C9"/>
    <w:rsid w:val="007B2148"/>
    <w:rsid w:val="007B215B"/>
    <w:rsid w:val="007B274F"/>
    <w:rsid w:val="007B2AE5"/>
    <w:rsid w:val="007B2E4F"/>
    <w:rsid w:val="007B3393"/>
    <w:rsid w:val="007B35C7"/>
    <w:rsid w:val="007B4C63"/>
    <w:rsid w:val="007B4F73"/>
    <w:rsid w:val="007B5AAA"/>
    <w:rsid w:val="007B6232"/>
    <w:rsid w:val="007B653B"/>
    <w:rsid w:val="007B6606"/>
    <w:rsid w:val="007B6B10"/>
    <w:rsid w:val="007B7CA9"/>
    <w:rsid w:val="007B7DC6"/>
    <w:rsid w:val="007C053C"/>
    <w:rsid w:val="007C15D9"/>
    <w:rsid w:val="007C17A7"/>
    <w:rsid w:val="007C1C7B"/>
    <w:rsid w:val="007C1D6B"/>
    <w:rsid w:val="007C1DDF"/>
    <w:rsid w:val="007C21E6"/>
    <w:rsid w:val="007C25B5"/>
    <w:rsid w:val="007C29AF"/>
    <w:rsid w:val="007C29D1"/>
    <w:rsid w:val="007C2EAA"/>
    <w:rsid w:val="007C331D"/>
    <w:rsid w:val="007C377B"/>
    <w:rsid w:val="007C56C2"/>
    <w:rsid w:val="007C64A1"/>
    <w:rsid w:val="007C67BD"/>
    <w:rsid w:val="007C7696"/>
    <w:rsid w:val="007D0915"/>
    <w:rsid w:val="007D0FA1"/>
    <w:rsid w:val="007D10C7"/>
    <w:rsid w:val="007D1535"/>
    <w:rsid w:val="007D18AE"/>
    <w:rsid w:val="007D1BE1"/>
    <w:rsid w:val="007D1F87"/>
    <w:rsid w:val="007D3E5D"/>
    <w:rsid w:val="007D4185"/>
    <w:rsid w:val="007D584D"/>
    <w:rsid w:val="007D5919"/>
    <w:rsid w:val="007D5B55"/>
    <w:rsid w:val="007D616E"/>
    <w:rsid w:val="007D61B3"/>
    <w:rsid w:val="007D66A0"/>
    <w:rsid w:val="007D6827"/>
    <w:rsid w:val="007D6D78"/>
    <w:rsid w:val="007D6F63"/>
    <w:rsid w:val="007D7476"/>
    <w:rsid w:val="007D7F73"/>
    <w:rsid w:val="007E087F"/>
    <w:rsid w:val="007E17A0"/>
    <w:rsid w:val="007E1914"/>
    <w:rsid w:val="007E1AA6"/>
    <w:rsid w:val="007E1FE3"/>
    <w:rsid w:val="007E2381"/>
    <w:rsid w:val="007E2884"/>
    <w:rsid w:val="007E2BEF"/>
    <w:rsid w:val="007E381C"/>
    <w:rsid w:val="007E3956"/>
    <w:rsid w:val="007E432B"/>
    <w:rsid w:val="007E705C"/>
    <w:rsid w:val="007E7ED4"/>
    <w:rsid w:val="007F0D31"/>
    <w:rsid w:val="007F0E1B"/>
    <w:rsid w:val="007F1165"/>
    <w:rsid w:val="007F1452"/>
    <w:rsid w:val="007F1740"/>
    <w:rsid w:val="007F1D69"/>
    <w:rsid w:val="007F240B"/>
    <w:rsid w:val="007F2472"/>
    <w:rsid w:val="007F289C"/>
    <w:rsid w:val="007F2D21"/>
    <w:rsid w:val="007F316C"/>
    <w:rsid w:val="007F3365"/>
    <w:rsid w:val="007F50B7"/>
    <w:rsid w:val="007F51EF"/>
    <w:rsid w:val="007F55F1"/>
    <w:rsid w:val="007F6950"/>
    <w:rsid w:val="007F71D2"/>
    <w:rsid w:val="007F7F8B"/>
    <w:rsid w:val="0080134F"/>
    <w:rsid w:val="00801400"/>
    <w:rsid w:val="00801431"/>
    <w:rsid w:val="00801CDF"/>
    <w:rsid w:val="00803145"/>
    <w:rsid w:val="008031A8"/>
    <w:rsid w:val="008046EB"/>
    <w:rsid w:val="00804AD8"/>
    <w:rsid w:val="00804D48"/>
    <w:rsid w:val="008056F6"/>
    <w:rsid w:val="00805A96"/>
    <w:rsid w:val="00805D3D"/>
    <w:rsid w:val="00805D62"/>
    <w:rsid w:val="00805E47"/>
    <w:rsid w:val="0080633C"/>
    <w:rsid w:val="00806D14"/>
    <w:rsid w:val="00806E1E"/>
    <w:rsid w:val="0080708C"/>
    <w:rsid w:val="00810E28"/>
    <w:rsid w:val="00811E63"/>
    <w:rsid w:val="00811E6D"/>
    <w:rsid w:val="0081250F"/>
    <w:rsid w:val="00813546"/>
    <w:rsid w:val="00813E69"/>
    <w:rsid w:val="00814176"/>
    <w:rsid w:val="00814A25"/>
    <w:rsid w:val="00814A89"/>
    <w:rsid w:val="00814E58"/>
    <w:rsid w:val="0081544A"/>
    <w:rsid w:val="00815C74"/>
    <w:rsid w:val="00816DB7"/>
    <w:rsid w:val="008175CB"/>
    <w:rsid w:val="008200F3"/>
    <w:rsid w:val="008206CC"/>
    <w:rsid w:val="00820DB5"/>
    <w:rsid w:val="008217E6"/>
    <w:rsid w:val="0082203C"/>
    <w:rsid w:val="008220E5"/>
    <w:rsid w:val="00822912"/>
    <w:rsid w:val="008229B3"/>
    <w:rsid w:val="00824718"/>
    <w:rsid w:val="00824913"/>
    <w:rsid w:val="00825032"/>
    <w:rsid w:val="00825572"/>
    <w:rsid w:val="00825A7F"/>
    <w:rsid w:val="0082665F"/>
    <w:rsid w:val="008270D8"/>
    <w:rsid w:val="00830016"/>
    <w:rsid w:val="0083013F"/>
    <w:rsid w:val="00830535"/>
    <w:rsid w:val="00830AEA"/>
    <w:rsid w:val="0083128B"/>
    <w:rsid w:val="008325C4"/>
    <w:rsid w:val="00832A3A"/>
    <w:rsid w:val="00832D52"/>
    <w:rsid w:val="008330CD"/>
    <w:rsid w:val="00833334"/>
    <w:rsid w:val="00833378"/>
    <w:rsid w:val="00833C95"/>
    <w:rsid w:val="00833CFB"/>
    <w:rsid w:val="00834310"/>
    <w:rsid w:val="00834DB8"/>
    <w:rsid w:val="008351EE"/>
    <w:rsid w:val="00835D87"/>
    <w:rsid w:val="00836A91"/>
    <w:rsid w:val="008376C5"/>
    <w:rsid w:val="00837BE1"/>
    <w:rsid w:val="00840AD5"/>
    <w:rsid w:val="00840AE3"/>
    <w:rsid w:val="00840FEB"/>
    <w:rsid w:val="008418DE"/>
    <w:rsid w:val="00842D33"/>
    <w:rsid w:val="008432D2"/>
    <w:rsid w:val="00843E1F"/>
    <w:rsid w:val="00844BF1"/>
    <w:rsid w:val="00845840"/>
    <w:rsid w:val="008463D8"/>
    <w:rsid w:val="00846993"/>
    <w:rsid w:val="00846D89"/>
    <w:rsid w:val="00847CD8"/>
    <w:rsid w:val="0085187F"/>
    <w:rsid w:val="00851CAE"/>
    <w:rsid w:val="00851CC1"/>
    <w:rsid w:val="00852206"/>
    <w:rsid w:val="0085244E"/>
    <w:rsid w:val="00852B5E"/>
    <w:rsid w:val="00852F7E"/>
    <w:rsid w:val="00853A1A"/>
    <w:rsid w:val="00853F68"/>
    <w:rsid w:val="00854127"/>
    <w:rsid w:val="00854B04"/>
    <w:rsid w:val="00855A1E"/>
    <w:rsid w:val="00855DA7"/>
    <w:rsid w:val="00856011"/>
    <w:rsid w:val="00856263"/>
    <w:rsid w:val="008563DE"/>
    <w:rsid w:val="008567D6"/>
    <w:rsid w:val="0085682B"/>
    <w:rsid w:val="008571C3"/>
    <w:rsid w:val="008608E1"/>
    <w:rsid w:val="008619F8"/>
    <w:rsid w:val="00861FA3"/>
    <w:rsid w:val="00862B3A"/>
    <w:rsid w:val="00862D7F"/>
    <w:rsid w:val="00863458"/>
    <w:rsid w:val="008634BD"/>
    <w:rsid w:val="00863692"/>
    <w:rsid w:val="0086401C"/>
    <w:rsid w:val="0086498B"/>
    <w:rsid w:val="00865196"/>
    <w:rsid w:val="008653D1"/>
    <w:rsid w:val="008656A3"/>
    <w:rsid w:val="00865904"/>
    <w:rsid w:val="008663D0"/>
    <w:rsid w:val="008666C2"/>
    <w:rsid w:val="00866D75"/>
    <w:rsid w:val="00867576"/>
    <w:rsid w:val="008704BC"/>
    <w:rsid w:val="00870804"/>
    <w:rsid w:val="00870A7B"/>
    <w:rsid w:val="00870FBF"/>
    <w:rsid w:val="0087104D"/>
    <w:rsid w:val="008712E9"/>
    <w:rsid w:val="008713EE"/>
    <w:rsid w:val="00871807"/>
    <w:rsid w:val="00871BBF"/>
    <w:rsid w:val="00872273"/>
    <w:rsid w:val="008722A5"/>
    <w:rsid w:val="00872FB0"/>
    <w:rsid w:val="00873478"/>
    <w:rsid w:val="00873FE8"/>
    <w:rsid w:val="00874406"/>
    <w:rsid w:val="00874597"/>
    <w:rsid w:val="0087466C"/>
    <w:rsid w:val="00874AA6"/>
    <w:rsid w:val="008757CF"/>
    <w:rsid w:val="008757FF"/>
    <w:rsid w:val="00875940"/>
    <w:rsid w:val="00875AED"/>
    <w:rsid w:val="00875F14"/>
    <w:rsid w:val="00876A5A"/>
    <w:rsid w:val="00876AF9"/>
    <w:rsid w:val="0088042C"/>
    <w:rsid w:val="0088142C"/>
    <w:rsid w:val="0088169B"/>
    <w:rsid w:val="00881E85"/>
    <w:rsid w:val="00882401"/>
    <w:rsid w:val="00882463"/>
    <w:rsid w:val="008826CD"/>
    <w:rsid w:val="00883586"/>
    <w:rsid w:val="008837C6"/>
    <w:rsid w:val="0088394D"/>
    <w:rsid w:val="008846E2"/>
    <w:rsid w:val="00884C0B"/>
    <w:rsid w:val="00884C31"/>
    <w:rsid w:val="00884C97"/>
    <w:rsid w:val="00884DE7"/>
    <w:rsid w:val="00885255"/>
    <w:rsid w:val="0088528F"/>
    <w:rsid w:val="0088714A"/>
    <w:rsid w:val="0088760D"/>
    <w:rsid w:val="00887807"/>
    <w:rsid w:val="00887842"/>
    <w:rsid w:val="00887EC7"/>
    <w:rsid w:val="00887EFB"/>
    <w:rsid w:val="008902FE"/>
    <w:rsid w:val="008907AE"/>
    <w:rsid w:val="00890D30"/>
    <w:rsid w:val="00891035"/>
    <w:rsid w:val="00891133"/>
    <w:rsid w:val="00891946"/>
    <w:rsid w:val="00891F35"/>
    <w:rsid w:val="00892062"/>
    <w:rsid w:val="008921AC"/>
    <w:rsid w:val="008922F4"/>
    <w:rsid w:val="0089286F"/>
    <w:rsid w:val="00892896"/>
    <w:rsid w:val="00893E63"/>
    <w:rsid w:val="00894701"/>
    <w:rsid w:val="00894A49"/>
    <w:rsid w:val="00895350"/>
    <w:rsid w:val="008954D5"/>
    <w:rsid w:val="008967F9"/>
    <w:rsid w:val="00897266"/>
    <w:rsid w:val="008974EF"/>
    <w:rsid w:val="0089750E"/>
    <w:rsid w:val="008976CC"/>
    <w:rsid w:val="00897E52"/>
    <w:rsid w:val="008A05DC"/>
    <w:rsid w:val="008A05EF"/>
    <w:rsid w:val="008A063C"/>
    <w:rsid w:val="008A07A2"/>
    <w:rsid w:val="008A16C5"/>
    <w:rsid w:val="008A1F37"/>
    <w:rsid w:val="008A1FBC"/>
    <w:rsid w:val="008A2F19"/>
    <w:rsid w:val="008A30E6"/>
    <w:rsid w:val="008A30FA"/>
    <w:rsid w:val="008A3FFB"/>
    <w:rsid w:val="008A4009"/>
    <w:rsid w:val="008A47CE"/>
    <w:rsid w:val="008A4C2A"/>
    <w:rsid w:val="008A4FC5"/>
    <w:rsid w:val="008A5464"/>
    <w:rsid w:val="008A55D5"/>
    <w:rsid w:val="008A55D8"/>
    <w:rsid w:val="008A62A4"/>
    <w:rsid w:val="008A65E3"/>
    <w:rsid w:val="008A70DC"/>
    <w:rsid w:val="008A75C9"/>
    <w:rsid w:val="008A78E2"/>
    <w:rsid w:val="008A78F4"/>
    <w:rsid w:val="008A79E9"/>
    <w:rsid w:val="008B09BD"/>
    <w:rsid w:val="008B1617"/>
    <w:rsid w:val="008B1981"/>
    <w:rsid w:val="008B1D23"/>
    <w:rsid w:val="008B1D47"/>
    <w:rsid w:val="008B1E7C"/>
    <w:rsid w:val="008B243A"/>
    <w:rsid w:val="008B29E8"/>
    <w:rsid w:val="008B31A5"/>
    <w:rsid w:val="008B405C"/>
    <w:rsid w:val="008B5201"/>
    <w:rsid w:val="008B56BE"/>
    <w:rsid w:val="008B5B92"/>
    <w:rsid w:val="008B5C86"/>
    <w:rsid w:val="008B607F"/>
    <w:rsid w:val="008B6472"/>
    <w:rsid w:val="008B66A0"/>
    <w:rsid w:val="008B74E8"/>
    <w:rsid w:val="008B77A7"/>
    <w:rsid w:val="008B7871"/>
    <w:rsid w:val="008B7CC2"/>
    <w:rsid w:val="008C04DA"/>
    <w:rsid w:val="008C1338"/>
    <w:rsid w:val="008C14A0"/>
    <w:rsid w:val="008C1711"/>
    <w:rsid w:val="008C1B99"/>
    <w:rsid w:val="008C27DC"/>
    <w:rsid w:val="008C2924"/>
    <w:rsid w:val="008C2D91"/>
    <w:rsid w:val="008C3089"/>
    <w:rsid w:val="008C415A"/>
    <w:rsid w:val="008C4FD8"/>
    <w:rsid w:val="008C5319"/>
    <w:rsid w:val="008C531B"/>
    <w:rsid w:val="008C5332"/>
    <w:rsid w:val="008C5A8F"/>
    <w:rsid w:val="008D05F9"/>
    <w:rsid w:val="008D083C"/>
    <w:rsid w:val="008D191B"/>
    <w:rsid w:val="008D2B08"/>
    <w:rsid w:val="008D2E7C"/>
    <w:rsid w:val="008D3529"/>
    <w:rsid w:val="008D4EA4"/>
    <w:rsid w:val="008D53F3"/>
    <w:rsid w:val="008D54B5"/>
    <w:rsid w:val="008D54F9"/>
    <w:rsid w:val="008D58A8"/>
    <w:rsid w:val="008D6D94"/>
    <w:rsid w:val="008D6E02"/>
    <w:rsid w:val="008D7010"/>
    <w:rsid w:val="008D79AD"/>
    <w:rsid w:val="008E0BAF"/>
    <w:rsid w:val="008E1D51"/>
    <w:rsid w:val="008E26B7"/>
    <w:rsid w:val="008E3294"/>
    <w:rsid w:val="008E3788"/>
    <w:rsid w:val="008E3ED4"/>
    <w:rsid w:val="008E4031"/>
    <w:rsid w:val="008E5549"/>
    <w:rsid w:val="008E5A84"/>
    <w:rsid w:val="008E603B"/>
    <w:rsid w:val="008E6F27"/>
    <w:rsid w:val="008E7999"/>
    <w:rsid w:val="008E7D8F"/>
    <w:rsid w:val="008F057E"/>
    <w:rsid w:val="008F11BF"/>
    <w:rsid w:val="008F191A"/>
    <w:rsid w:val="008F1E43"/>
    <w:rsid w:val="008F2B7F"/>
    <w:rsid w:val="008F319B"/>
    <w:rsid w:val="008F37D1"/>
    <w:rsid w:val="008F3B42"/>
    <w:rsid w:val="008F3E66"/>
    <w:rsid w:val="008F415D"/>
    <w:rsid w:val="008F43E5"/>
    <w:rsid w:val="008F4B10"/>
    <w:rsid w:val="008F4B3B"/>
    <w:rsid w:val="008F4C64"/>
    <w:rsid w:val="008F4D33"/>
    <w:rsid w:val="008F4FF8"/>
    <w:rsid w:val="008F5002"/>
    <w:rsid w:val="008F5371"/>
    <w:rsid w:val="008F54D6"/>
    <w:rsid w:val="008F5FE6"/>
    <w:rsid w:val="008F5FED"/>
    <w:rsid w:val="008F6C84"/>
    <w:rsid w:val="008F748E"/>
    <w:rsid w:val="008F7D5D"/>
    <w:rsid w:val="009001EB"/>
    <w:rsid w:val="00900A63"/>
    <w:rsid w:val="00900C05"/>
    <w:rsid w:val="00901B35"/>
    <w:rsid w:val="00902119"/>
    <w:rsid w:val="00903540"/>
    <w:rsid w:val="00904EBA"/>
    <w:rsid w:val="00910A3E"/>
    <w:rsid w:val="00910CA0"/>
    <w:rsid w:val="00911609"/>
    <w:rsid w:val="00912772"/>
    <w:rsid w:val="00912881"/>
    <w:rsid w:val="00913009"/>
    <w:rsid w:val="009135CD"/>
    <w:rsid w:val="00913AD2"/>
    <w:rsid w:val="00914659"/>
    <w:rsid w:val="009149D0"/>
    <w:rsid w:val="00914D26"/>
    <w:rsid w:val="009151F2"/>
    <w:rsid w:val="0091535D"/>
    <w:rsid w:val="00915371"/>
    <w:rsid w:val="00915D46"/>
    <w:rsid w:val="009169DD"/>
    <w:rsid w:val="00916A79"/>
    <w:rsid w:val="00916D14"/>
    <w:rsid w:val="00917D5E"/>
    <w:rsid w:val="00917D7F"/>
    <w:rsid w:val="00917F7B"/>
    <w:rsid w:val="00920640"/>
    <w:rsid w:val="00920D1C"/>
    <w:rsid w:val="009216F3"/>
    <w:rsid w:val="00922347"/>
    <w:rsid w:val="0092274F"/>
    <w:rsid w:val="00923007"/>
    <w:rsid w:val="00923ACF"/>
    <w:rsid w:val="0092413F"/>
    <w:rsid w:val="0092421D"/>
    <w:rsid w:val="00924ABD"/>
    <w:rsid w:val="00924D05"/>
    <w:rsid w:val="00924DBE"/>
    <w:rsid w:val="0092538E"/>
    <w:rsid w:val="0092616D"/>
    <w:rsid w:val="0092655C"/>
    <w:rsid w:val="00926B96"/>
    <w:rsid w:val="00926D58"/>
    <w:rsid w:val="00927099"/>
    <w:rsid w:val="00931309"/>
    <w:rsid w:val="009319C4"/>
    <w:rsid w:val="0093237B"/>
    <w:rsid w:val="00932541"/>
    <w:rsid w:val="00932B8B"/>
    <w:rsid w:val="0093304B"/>
    <w:rsid w:val="00933085"/>
    <w:rsid w:val="009330CC"/>
    <w:rsid w:val="009335FC"/>
    <w:rsid w:val="00934497"/>
    <w:rsid w:val="009348CD"/>
    <w:rsid w:val="00934CC9"/>
    <w:rsid w:val="0093550B"/>
    <w:rsid w:val="00935D46"/>
    <w:rsid w:val="00935D4C"/>
    <w:rsid w:val="00935D50"/>
    <w:rsid w:val="00935F7D"/>
    <w:rsid w:val="009368B6"/>
    <w:rsid w:val="00936D90"/>
    <w:rsid w:val="00937116"/>
    <w:rsid w:val="00937AEB"/>
    <w:rsid w:val="009414E5"/>
    <w:rsid w:val="00941831"/>
    <w:rsid w:val="00941A71"/>
    <w:rsid w:val="00942076"/>
    <w:rsid w:val="0094270A"/>
    <w:rsid w:val="00942797"/>
    <w:rsid w:val="00942EB3"/>
    <w:rsid w:val="00942FF7"/>
    <w:rsid w:val="009459E6"/>
    <w:rsid w:val="00945B4B"/>
    <w:rsid w:val="00946288"/>
    <w:rsid w:val="00946B2A"/>
    <w:rsid w:val="00947EA5"/>
    <w:rsid w:val="00950476"/>
    <w:rsid w:val="009510CF"/>
    <w:rsid w:val="009513F1"/>
    <w:rsid w:val="00951658"/>
    <w:rsid w:val="009517C8"/>
    <w:rsid w:val="0095196A"/>
    <w:rsid w:val="00951AE9"/>
    <w:rsid w:val="009520D6"/>
    <w:rsid w:val="009528CF"/>
    <w:rsid w:val="00952A50"/>
    <w:rsid w:val="00952FA5"/>
    <w:rsid w:val="0095341D"/>
    <w:rsid w:val="00953501"/>
    <w:rsid w:val="009535BF"/>
    <w:rsid w:val="00953DFE"/>
    <w:rsid w:val="00954121"/>
    <w:rsid w:val="009547ED"/>
    <w:rsid w:val="00954881"/>
    <w:rsid w:val="0095498B"/>
    <w:rsid w:val="00954EF1"/>
    <w:rsid w:val="009552AB"/>
    <w:rsid w:val="0095572D"/>
    <w:rsid w:val="00960973"/>
    <w:rsid w:val="00961081"/>
    <w:rsid w:val="009611DE"/>
    <w:rsid w:val="00963033"/>
    <w:rsid w:val="00964248"/>
    <w:rsid w:val="00964A4F"/>
    <w:rsid w:val="00964EF7"/>
    <w:rsid w:val="00965286"/>
    <w:rsid w:val="009652F8"/>
    <w:rsid w:val="00965970"/>
    <w:rsid w:val="009663B7"/>
    <w:rsid w:val="009664D0"/>
    <w:rsid w:val="00966743"/>
    <w:rsid w:val="0096674C"/>
    <w:rsid w:val="00967B5D"/>
    <w:rsid w:val="009703C7"/>
    <w:rsid w:val="009705B8"/>
    <w:rsid w:val="00971073"/>
    <w:rsid w:val="00971104"/>
    <w:rsid w:val="0097134E"/>
    <w:rsid w:val="00971EF0"/>
    <w:rsid w:val="00972803"/>
    <w:rsid w:val="00972B8B"/>
    <w:rsid w:val="0097333D"/>
    <w:rsid w:val="0097441A"/>
    <w:rsid w:val="0097458A"/>
    <w:rsid w:val="00974AF9"/>
    <w:rsid w:val="00974D16"/>
    <w:rsid w:val="00974E40"/>
    <w:rsid w:val="00975E90"/>
    <w:rsid w:val="009766BA"/>
    <w:rsid w:val="00976964"/>
    <w:rsid w:val="00976AE3"/>
    <w:rsid w:val="0097714D"/>
    <w:rsid w:val="00977FA9"/>
    <w:rsid w:val="0098041C"/>
    <w:rsid w:val="00981604"/>
    <w:rsid w:val="00982070"/>
    <w:rsid w:val="00982576"/>
    <w:rsid w:val="00982B33"/>
    <w:rsid w:val="00985B55"/>
    <w:rsid w:val="00985B6D"/>
    <w:rsid w:val="00985F77"/>
    <w:rsid w:val="00986AB4"/>
    <w:rsid w:val="00987B1E"/>
    <w:rsid w:val="00987D1C"/>
    <w:rsid w:val="009904B6"/>
    <w:rsid w:val="009904C8"/>
    <w:rsid w:val="00990CDC"/>
    <w:rsid w:val="00991545"/>
    <w:rsid w:val="00991C42"/>
    <w:rsid w:val="00991F2F"/>
    <w:rsid w:val="009928E0"/>
    <w:rsid w:val="00992A28"/>
    <w:rsid w:val="00993E64"/>
    <w:rsid w:val="00993F60"/>
    <w:rsid w:val="009949DF"/>
    <w:rsid w:val="00994AFD"/>
    <w:rsid w:val="00994D7B"/>
    <w:rsid w:val="009957CA"/>
    <w:rsid w:val="009959A7"/>
    <w:rsid w:val="00995DED"/>
    <w:rsid w:val="00995E40"/>
    <w:rsid w:val="00996F0A"/>
    <w:rsid w:val="00997710"/>
    <w:rsid w:val="00997BA1"/>
    <w:rsid w:val="00997D32"/>
    <w:rsid w:val="009A035F"/>
    <w:rsid w:val="009A04D8"/>
    <w:rsid w:val="009A0717"/>
    <w:rsid w:val="009A089B"/>
    <w:rsid w:val="009A10F5"/>
    <w:rsid w:val="009A14B4"/>
    <w:rsid w:val="009A17F0"/>
    <w:rsid w:val="009A281D"/>
    <w:rsid w:val="009A2AFF"/>
    <w:rsid w:val="009A374A"/>
    <w:rsid w:val="009A3B57"/>
    <w:rsid w:val="009A4244"/>
    <w:rsid w:val="009A43F1"/>
    <w:rsid w:val="009A440B"/>
    <w:rsid w:val="009A4727"/>
    <w:rsid w:val="009A48C2"/>
    <w:rsid w:val="009A5C19"/>
    <w:rsid w:val="009A6CCD"/>
    <w:rsid w:val="009A6D93"/>
    <w:rsid w:val="009A7455"/>
    <w:rsid w:val="009A7B55"/>
    <w:rsid w:val="009A7EB9"/>
    <w:rsid w:val="009B0F85"/>
    <w:rsid w:val="009B1AD5"/>
    <w:rsid w:val="009B2074"/>
    <w:rsid w:val="009B2397"/>
    <w:rsid w:val="009B27A2"/>
    <w:rsid w:val="009B27FE"/>
    <w:rsid w:val="009B2C1F"/>
    <w:rsid w:val="009B2E23"/>
    <w:rsid w:val="009B2FE3"/>
    <w:rsid w:val="009B37C0"/>
    <w:rsid w:val="009B3886"/>
    <w:rsid w:val="009B3C6A"/>
    <w:rsid w:val="009B47ED"/>
    <w:rsid w:val="009B490D"/>
    <w:rsid w:val="009B62C7"/>
    <w:rsid w:val="009B6F04"/>
    <w:rsid w:val="009B7519"/>
    <w:rsid w:val="009B7B83"/>
    <w:rsid w:val="009C091B"/>
    <w:rsid w:val="009C1213"/>
    <w:rsid w:val="009C179C"/>
    <w:rsid w:val="009C1A25"/>
    <w:rsid w:val="009C1E0A"/>
    <w:rsid w:val="009C21CA"/>
    <w:rsid w:val="009C2217"/>
    <w:rsid w:val="009C2841"/>
    <w:rsid w:val="009C3637"/>
    <w:rsid w:val="009C3640"/>
    <w:rsid w:val="009C3D34"/>
    <w:rsid w:val="009C418B"/>
    <w:rsid w:val="009C45D9"/>
    <w:rsid w:val="009C47C7"/>
    <w:rsid w:val="009C4D73"/>
    <w:rsid w:val="009C5064"/>
    <w:rsid w:val="009C5556"/>
    <w:rsid w:val="009C5A09"/>
    <w:rsid w:val="009C5A1A"/>
    <w:rsid w:val="009C5A1F"/>
    <w:rsid w:val="009C72E2"/>
    <w:rsid w:val="009C7344"/>
    <w:rsid w:val="009C76E4"/>
    <w:rsid w:val="009C7EE9"/>
    <w:rsid w:val="009C7FCB"/>
    <w:rsid w:val="009D09FC"/>
    <w:rsid w:val="009D0DE9"/>
    <w:rsid w:val="009D110A"/>
    <w:rsid w:val="009D1142"/>
    <w:rsid w:val="009D1D99"/>
    <w:rsid w:val="009D1E61"/>
    <w:rsid w:val="009D2427"/>
    <w:rsid w:val="009D250A"/>
    <w:rsid w:val="009D26DE"/>
    <w:rsid w:val="009D2B39"/>
    <w:rsid w:val="009D3374"/>
    <w:rsid w:val="009D418F"/>
    <w:rsid w:val="009D4AEC"/>
    <w:rsid w:val="009D4EFE"/>
    <w:rsid w:val="009D5074"/>
    <w:rsid w:val="009D52DE"/>
    <w:rsid w:val="009D5531"/>
    <w:rsid w:val="009D5AA9"/>
    <w:rsid w:val="009D64C3"/>
    <w:rsid w:val="009D74FF"/>
    <w:rsid w:val="009D76CD"/>
    <w:rsid w:val="009D77F3"/>
    <w:rsid w:val="009E04D2"/>
    <w:rsid w:val="009E18EA"/>
    <w:rsid w:val="009E1D06"/>
    <w:rsid w:val="009E2275"/>
    <w:rsid w:val="009E2E70"/>
    <w:rsid w:val="009E3248"/>
    <w:rsid w:val="009E3573"/>
    <w:rsid w:val="009E3F00"/>
    <w:rsid w:val="009E4492"/>
    <w:rsid w:val="009E527D"/>
    <w:rsid w:val="009E58F8"/>
    <w:rsid w:val="009E6725"/>
    <w:rsid w:val="009E69F9"/>
    <w:rsid w:val="009E72E4"/>
    <w:rsid w:val="009E73E3"/>
    <w:rsid w:val="009F025A"/>
    <w:rsid w:val="009F0833"/>
    <w:rsid w:val="009F0A5C"/>
    <w:rsid w:val="009F12FF"/>
    <w:rsid w:val="009F2456"/>
    <w:rsid w:val="009F26F2"/>
    <w:rsid w:val="009F2CC9"/>
    <w:rsid w:val="009F2E96"/>
    <w:rsid w:val="009F3E7E"/>
    <w:rsid w:val="009F459B"/>
    <w:rsid w:val="009F4A0A"/>
    <w:rsid w:val="009F4F44"/>
    <w:rsid w:val="009F567A"/>
    <w:rsid w:val="009F5AF3"/>
    <w:rsid w:val="009F6474"/>
    <w:rsid w:val="009F6943"/>
    <w:rsid w:val="009F6F32"/>
    <w:rsid w:val="009F7493"/>
    <w:rsid w:val="009F7602"/>
    <w:rsid w:val="009F77E9"/>
    <w:rsid w:val="009F798B"/>
    <w:rsid w:val="009F7DD6"/>
    <w:rsid w:val="00A000BD"/>
    <w:rsid w:val="00A0047F"/>
    <w:rsid w:val="00A00F59"/>
    <w:rsid w:val="00A017C8"/>
    <w:rsid w:val="00A01A3C"/>
    <w:rsid w:val="00A02844"/>
    <w:rsid w:val="00A029B3"/>
    <w:rsid w:val="00A02FD2"/>
    <w:rsid w:val="00A033EF"/>
    <w:rsid w:val="00A03A81"/>
    <w:rsid w:val="00A03D04"/>
    <w:rsid w:val="00A04076"/>
    <w:rsid w:val="00A04CD1"/>
    <w:rsid w:val="00A04E93"/>
    <w:rsid w:val="00A0511E"/>
    <w:rsid w:val="00A05234"/>
    <w:rsid w:val="00A05ACC"/>
    <w:rsid w:val="00A07252"/>
    <w:rsid w:val="00A10A67"/>
    <w:rsid w:val="00A10B0A"/>
    <w:rsid w:val="00A10B2E"/>
    <w:rsid w:val="00A10C7B"/>
    <w:rsid w:val="00A112B7"/>
    <w:rsid w:val="00A1148E"/>
    <w:rsid w:val="00A121CD"/>
    <w:rsid w:val="00A1222F"/>
    <w:rsid w:val="00A12453"/>
    <w:rsid w:val="00A12CF9"/>
    <w:rsid w:val="00A135A9"/>
    <w:rsid w:val="00A135F3"/>
    <w:rsid w:val="00A13852"/>
    <w:rsid w:val="00A13ACC"/>
    <w:rsid w:val="00A147C7"/>
    <w:rsid w:val="00A16018"/>
    <w:rsid w:val="00A16AE1"/>
    <w:rsid w:val="00A1749C"/>
    <w:rsid w:val="00A178F6"/>
    <w:rsid w:val="00A17C87"/>
    <w:rsid w:val="00A2097F"/>
    <w:rsid w:val="00A20D73"/>
    <w:rsid w:val="00A21456"/>
    <w:rsid w:val="00A2189C"/>
    <w:rsid w:val="00A22A33"/>
    <w:rsid w:val="00A22B38"/>
    <w:rsid w:val="00A238D3"/>
    <w:rsid w:val="00A241D3"/>
    <w:rsid w:val="00A24FD2"/>
    <w:rsid w:val="00A25638"/>
    <w:rsid w:val="00A27547"/>
    <w:rsid w:val="00A2788D"/>
    <w:rsid w:val="00A307C8"/>
    <w:rsid w:val="00A3099E"/>
    <w:rsid w:val="00A30CB7"/>
    <w:rsid w:val="00A30DA4"/>
    <w:rsid w:val="00A314E3"/>
    <w:rsid w:val="00A316FA"/>
    <w:rsid w:val="00A31782"/>
    <w:rsid w:val="00A31CA6"/>
    <w:rsid w:val="00A325D3"/>
    <w:rsid w:val="00A32E43"/>
    <w:rsid w:val="00A33A69"/>
    <w:rsid w:val="00A3563F"/>
    <w:rsid w:val="00A35E5C"/>
    <w:rsid w:val="00A35E82"/>
    <w:rsid w:val="00A35F52"/>
    <w:rsid w:val="00A35F77"/>
    <w:rsid w:val="00A36535"/>
    <w:rsid w:val="00A36708"/>
    <w:rsid w:val="00A37136"/>
    <w:rsid w:val="00A37212"/>
    <w:rsid w:val="00A374D3"/>
    <w:rsid w:val="00A374DE"/>
    <w:rsid w:val="00A37717"/>
    <w:rsid w:val="00A37BF4"/>
    <w:rsid w:val="00A37E86"/>
    <w:rsid w:val="00A4113B"/>
    <w:rsid w:val="00A4164D"/>
    <w:rsid w:val="00A41784"/>
    <w:rsid w:val="00A41A2D"/>
    <w:rsid w:val="00A41BF7"/>
    <w:rsid w:val="00A421D0"/>
    <w:rsid w:val="00A42493"/>
    <w:rsid w:val="00A42C85"/>
    <w:rsid w:val="00A437E2"/>
    <w:rsid w:val="00A43C84"/>
    <w:rsid w:val="00A43D38"/>
    <w:rsid w:val="00A442CD"/>
    <w:rsid w:val="00A44E5F"/>
    <w:rsid w:val="00A4505C"/>
    <w:rsid w:val="00A455E2"/>
    <w:rsid w:val="00A45A54"/>
    <w:rsid w:val="00A461B4"/>
    <w:rsid w:val="00A4632C"/>
    <w:rsid w:val="00A46485"/>
    <w:rsid w:val="00A46620"/>
    <w:rsid w:val="00A46823"/>
    <w:rsid w:val="00A46BCD"/>
    <w:rsid w:val="00A473B4"/>
    <w:rsid w:val="00A47B67"/>
    <w:rsid w:val="00A47DDE"/>
    <w:rsid w:val="00A506A7"/>
    <w:rsid w:val="00A513F6"/>
    <w:rsid w:val="00A519B4"/>
    <w:rsid w:val="00A51CDC"/>
    <w:rsid w:val="00A52102"/>
    <w:rsid w:val="00A52B12"/>
    <w:rsid w:val="00A537FB"/>
    <w:rsid w:val="00A54708"/>
    <w:rsid w:val="00A54AC9"/>
    <w:rsid w:val="00A54CEB"/>
    <w:rsid w:val="00A55BC1"/>
    <w:rsid w:val="00A563E0"/>
    <w:rsid w:val="00A5664B"/>
    <w:rsid w:val="00A57321"/>
    <w:rsid w:val="00A574BA"/>
    <w:rsid w:val="00A5759E"/>
    <w:rsid w:val="00A60734"/>
    <w:rsid w:val="00A61B26"/>
    <w:rsid w:val="00A622AB"/>
    <w:rsid w:val="00A62795"/>
    <w:rsid w:val="00A6347F"/>
    <w:rsid w:val="00A63AC8"/>
    <w:rsid w:val="00A63BA8"/>
    <w:rsid w:val="00A64692"/>
    <w:rsid w:val="00A6469D"/>
    <w:rsid w:val="00A64B48"/>
    <w:rsid w:val="00A64BEB"/>
    <w:rsid w:val="00A6578D"/>
    <w:rsid w:val="00A65E5A"/>
    <w:rsid w:val="00A66733"/>
    <w:rsid w:val="00A676A3"/>
    <w:rsid w:val="00A67E92"/>
    <w:rsid w:val="00A71236"/>
    <w:rsid w:val="00A71711"/>
    <w:rsid w:val="00A71A06"/>
    <w:rsid w:val="00A72C46"/>
    <w:rsid w:val="00A734D2"/>
    <w:rsid w:val="00A73F4F"/>
    <w:rsid w:val="00A741C1"/>
    <w:rsid w:val="00A7497B"/>
    <w:rsid w:val="00A74E4C"/>
    <w:rsid w:val="00A7594F"/>
    <w:rsid w:val="00A75A72"/>
    <w:rsid w:val="00A769B6"/>
    <w:rsid w:val="00A7732A"/>
    <w:rsid w:val="00A81321"/>
    <w:rsid w:val="00A81622"/>
    <w:rsid w:val="00A818AC"/>
    <w:rsid w:val="00A81BA3"/>
    <w:rsid w:val="00A82131"/>
    <w:rsid w:val="00A82F3F"/>
    <w:rsid w:val="00A82FEE"/>
    <w:rsid w:val="00A83518"/>
    <w:rsid w:val="00A8367D"/>
    <w:rsid w:val="00A83912"/>
    <w:rsid w:val="00A84A9A"/>
    <w:rsid w:val="00A84E24"/>
    <w:rsid w:val="00A863A0"/>
    <w:rsid w:val="00A866D3"/>
    <w:rsid w:val="00A86BA1"/>
    <w:rsid w:val="00A877EA"/>
    <w:rsid w:val="00A915AE"/>
    <w:rsid w:val="00A91766"/>
    <w:rsid w:val="00A917DE"/>
    <w:rsid w:val="00A91805"/>
    <w:rsid w:val="00A91FD5"/>
    <w:rsid w:val="00A92429"/>
    <w:rsid w:val="00A92862"/>
    <w:rsid w:val="00A9301E"/>
    <w:rsid w:val="00A946DB"/>
    <w:rsid w:val="00A95053"/>
    <w:rsid w:val="00A95504"/>
    <w:rsid w:val="00A95CA6"/>
    <w:rsid w:val="00A95F00"/>
    <w:rsid w:val="00A9641D"/>
    <w:rsid w:val="00A96CDB"/>
    <w:rsid w:val="00A97735"/>
    <w:rsid w:val="00A9799A"/>
    <w:rsid w:val="00A97E06"/>
    <w:rsid w:val="00A97F01"/>
    <w:rsid w:val="00AA085C"/>
    <w:rsid w:val="00AA093F"/>
    <w:rsid w:val="00AA1803"/>
    <w:rsid w:val="00AA1A0C"/>
    <w:rsid w:val="00AA1B59"/>
    <w:rsid w:val="00AA1D83"/>
    <w:rsid w:val="00AA1F23"/>
    <w:rsid w:val="00AA2E0E"/>
    <w:rsid w:val="00AA3048"/>
    <w:rsid w:val="00AA32CE"/>
    <w:rsid w:val="00AA48CC"/>
    <w:rsid w:val="00AA4D6F"/>
    <w:rsid w:val="00AA5AC9"/>
    <w:rsid w:val="00AA6339"/>
    <w:rsid w:val="00AA6E2B"/>
    <w:rsid w:val="00AA73D4"/>
    <w:rsid w:val="00AA7E22"/>
    <w:rsid w:val="00AA7E4F"/>
    <w:rsid w:val="00AB07FD"/>
    <w:rsid w:val="00AB0FA8"/>
    <w:rsid w:val="00AB11AB"/>
    <w:rsid w:val="00AB17DB"/>
    <w:rsid w:val="00AB2347"/>
    <w:rsid w:val="00AB3E39"/>
    <w:rsid w:val="00AB42E7"/>
    <w:rsid w:val="00AB4662"/>
    <w:rsid w:val="00AB48F7"/>
    <w:rsid w:val="00AB4E22"/>
    <w:rsid w:val="00AB5713"/>
    <w:rsid w:val="00AB5CD3"/>
    <w:rsid w:val="00AB61EB"/>
    <w:rsid w:val="00AB6255"/>
    <w:rsid w:val="00AB660E"/>
    <w:rsid w:val="00AB6BBE"/>
    <w:rsid w:val="00AB7188"/>
    <w:rsid w:val="00AB775A"/>
    <w:rsid w:val="00AB7CB0"/>
    <w:rsid w:val="00AB7D72"/>
    <w:rsid w:val="00AC0063"/>
    <w:rsid w:val="00AC0585"/>
    <w:rsid w:val="00AC07F3"/>
    <w:rsid w:val="00AC0E36"/>
    <w:rsid w:val="00AC19DC"/>
    <w:rsid w:val="00AC1F5F"/>
    <w:rsid w:val="00AC2653"/>
    <w:rsid w:val="00AC2EFC"/>
    <w:rsid w:val="00AC35C0"/>
    <w:rsid w:val="00AC36C6"/>
    <w:rsid w:val="00AC3B0B"/>
    <w:rsid w:val="00AC3E87"/>
    <w:rsid w:val="00AC4306"/>
    <w:rsid w:val="00AC4830"/>
    <w:rsid w:val="00AC487D"/>
    <w:rsid w:val="00AC4A0C"/>
    <w:rsid w:val="00AC4B93"/>
    <w:rsid w:val="00AC4FC1"/>
    <w:rsid w:val="00AC510C"/>
    <w:rsid w:val="00AC5CEF"/>
    <w:rsid w:val="00AC62EC"/>
    <w:rsid w:val="00AC7372"/>
    <w:rsid w:val="00AC73EE"/>
    <w:rsid w:val="00AC7F81"/>
    <w:rsid w:val="00AD0E62"/>
    <w:rsid w:val="00AD0F20"/>
    <w:rsid w:val="00AD1316"/>
    <w:rsid w:val="00AD1810"/>
    <w:rsid w:val="00AD1894"/>
    <w:rsid w:val="00AD1AFA"/>
    <w:rsid w:val="00AD24F6"/>
    <w:rsid w:val="00AD257D"/>
    <w:rsid w:val="00AD259D"/>
    <w:rsid w:val="00AD26A9"/>
    <w:rsid w:val="00AD2DDF"/>
    <w:rsid w:val="00AD2F93"/>
    <w:rsid w:val="00AD3227"/>
    <w:rsid w:val="00AD33BB"/>
    <w:rsid w:val="00AD3BAF"/>
    <w:rsid w:val="00AD3FF7"/>
    <w:rsid w:val="00AD4068"/>
    <w:rsid w:val="00AD5766"/>
    <w:rsid w:val="00AD58E2"/>
    <w:rsid w:val="00AD6315"/>
    <w:rsid w:val="00AD649E"/>
    <w:rsid w:val="00AD66D4"/>
    <w:rsid w:val="00AD6744"/>
    <w:rsid w:val="00AD6A4B"/>
    <w:rsid w:val="00AD6F32"/>
    <w:rsid w:val="00AD719E"/>
    <w:rsid w:val="00AD7643"/>
    <w:rsid w:val="00AD77A9"/>
    <w:rsid w:val="00AD7A71"/>
    <w:rsid w:val="00AE02B9"/>
    <w:rsid w:val="00AE0B32"/>
    <w:rsid w:val="00AE14CB"/>
    <w:rsid w:val="00AE1597"/>
    <w:rsid w:val="00AE1B13"/>
    <w:rsid w:val="00AE263F"/>
    <w:rsid w:val="00AE2AF7"/>
    <w:rsid w:val="00AE3CF9"/>
    <w:rsid w:val="00AE4E50"/>
    <w:rsid w:val="00AE6AE9"/>
    <w:rsid w:val="00AE6B96"/>
    <w:rsid w:val="00AE6D38"/>
    <w:rsid w:val="00AE7204"/>
    <w:rsid w:val="00AE79A8"/>
    <w:rsid w:val="00AF03C1"/>
    <w:rsid w:val="00AF08C8"/>
    <w:rsid w:val="00AF091B"/>
    <w:rsid w:val="00AF1AE1"/>
    <w:rsid w:val="00AF1D9F"/>
    <w:rsid w:val="00AF2033"/>
    <w:rsid w:val="00AF2A14"/>
    <w:rsid w:val="00AF3099"/>
    <w:rsid w:val="00AF3E25"/>
    <w:rsid w:val="00AF4548"/>
    <w:rsid w:val="00AF4EBF"/>
    <w:rsid w:val="00AF4ECF"/>
    <w:rsid w:val="00AF540A"/>
    <w:rsid w:val="00AF5D61"/>
    <w:rsid w:val="00AF63C3"/>
    <w:rsid w:val="00AF6FE1"/>
    <w:rsid w:val="00AF7834"/>
    <w:rsid w:val="00AF7F97"/>
    <w:rsid w:val="00B007A8"/>
    <w:rsid w:val="00B00993"/>
    <w:rsid w:val="00B00A7D"/>
    <w:rsid w:val="00B00ABF"/>
    <w:rsid w:val="00B01ADC"/>
    <w:rsid w:val="00B01F18"/>
    <w:rsid w:val="00B02841"/>
    <w:rsid w:val="00B02ACD"/>
    <w:rsid w:val="00B03A08"/>
    <w:rsid w:val="00B03E36"/>
    <w:rsid w:val="00B03FBC"/>
    <w:rsid w:val="00B04C2B"/>
    <w:rsid w:val="00B05372"/>
    <w:rsid w:val="00B05A04"/>
    <w:rsid w:val="00B05FA7"/>
    <w:rsid w:val="00B0614D"/>
    <w:rsid w:val="00B06E99"/>
    <w:rsid w:val="00B079F6"/>
    <w:rsid w:val="00B103C9"/>
    <w:rsid w:val="00B10444"/>
    <w:rsid w:val="00B1061D"/>
    <w:rsid w:val="00B1098A"/>
    <w:rsid w:val="00B10B36"/>
    <w:rsid w:val="00B10D5D"/>
    <w:rsid w:val="00B1125B"/>
    <w:rsid w:val="00B11AC1"/>
    <w:rsid w:val="00B122E9"/>
    <w:rsid w:val="00B12C1B"/>
    <w:rsid w:val="00B13081"/>
    <w:rsid w:val="00B13230"/>
    <w:rsid w:val="00B14A71"/>
    <w:rsid w:val="00B14F3A"/>
    <w:rsid w:val="00B15E63"/>
    <w:rsid w:val="00B1759F"/>
    <w:rsid w:val="00B20AC4"/>
    <w:rsid w:val="00B223A1"/>
    <w:rsid w:val="00B224C6"/>
    <w:rsid w:val="00B22776"/>
    <w:rsid w:val="00B228DF"/>
    <w:rsid w:val="00B22C09"/>
    <w:rsid w:val="00B2367A"/>
    <w:rsid w:val="00B241D7"/>
    <w:rsid w:val="00B2496A"/>
    <w:rsid w:val="00B24A59"/>
    <w:rsid w:val="00B25311"/>
    <w:rsid w:val="00B257E4"/>
    <w:rsid w:val="00B2631D"/>
    <w:rsid w:val="00B27C99"/>
    <w:rsid w:val="00B27D64"/>
    <w:rsid w:val="00B30914"/>
    <w:rsid w:val="00B32C1D"/>
    <w:rsid w:val="00B32D92"/>
    <w:rsid w:val="00B34E3C"/>
    <w:rsid w:val="00B357AC"/>
    <w:rsid w:val="00B35C57"/>
    <w:rsid w:val="00B36F05"/>
    <w:rsid w:val="00B400D1"/>
    <w:rsid w:val="00B4079C"/>
    <w:rsid w:val="00B414B1"/>
    <w:rsid w:val="00B414C5"/>
    <w:rsid w:val="00B41DBF"/>
    <w:rsid w:val="00B42235"/>
    <w:rsid w:val="00B4295C"/>
    <w:rsid w:val="00B4347C"/>
    <w:rsid w:val="00B43A3B"/>
    <w:rsid w:val="00B43B63"/>
    <w:rsid w:val="00B44394"/>
    <w:rsid w:val="00B44B40"/>
    <w:rsid w:val="00B452E3"/>
    <w:rsid w:val="00B455CA"/>
    <w:rsid w:val="00B45608"/>
    <w:rsid w:val="00B4658F"/>
    <w:rsid w:val="00B4770F"/>
    <w:rsid w:val="00B478F7"/>
    <w:rsid w:val="00B5029C"/>
    <w:rsid w:val="00B50631"/>
    <w:rsid w:val="00B50E32"/>
    <w:rsid w:val="00B512EF"/>
    <w:rsid w:val="00B51681"/>
    <w:rsid w:val="00B51C8C"/>
    <w:rsid w:val="00B53C3A"/>
    <w:rsid w:val="00B548A2"/>
    <w:rsid w:val="00B54E03"/>
    <w:rsid w:val="00B55653"/>
    <w:rsid w:val="00B557B5"/>
    <w:rsid w:val="00B55934"/>
    <w:rsid w:val="00B55F13"/>
    <w:rsid w:val="00B57C72"/>
    <w:rsid w:val="00B57C9E"/>
    <w:rsid w:val="00B612CD"/>
    <w:rsid w:val="00B61B7B"/>
    <w:rsid w:val="00B61CDE"/>
    <w:rsid w:val="00B62747"/>
    <w:rsid w:val="00B62875"/>
    <w:rsid w:val="00B629C8"/>
    <w:rsid w:val="00B62D58"/>
    <w:rsid w:val="00B6386D"/>
    <w:rsid w:val="00B63B57"/>
    <w:rsid w:val="00B63B9B"/>
    <w:rsid w:val="00B63CBE"/>
    <w:rsid w:val="00B6456E"/>
    <w:rsid w:val="00B64A96"/>
    <w:rsid w:val="00B66067"/>
    <w:rsid w:val="00B66358"/>
    <w:rsid w:val="00B66860"/>
    <w:rsid w:val="00B66B37"/>
    <w:rsid w:val="00B66F59"/>
    <w:rsid w:val="00B67060"/>
    <w:rsid w:val="00B67CD7"/>
    <w:rsid w:val="00B702AC"/>
    <w:rsid w:val="00B70870"/>
    <w:rsid w:val="00B70E96"/>
    <w:rsid w:val="00B7195F"/>
    <w:rsid w:val="00B71B61"/>
    <w:rsid w:val="00B7255D"/>
    <w:rsid w:val="00B7271D"/>
    <w:rsid w:val="00B733DB"/>
    <w:rsid w:val="00B73F0A"/>
    <w:rsid w:val="00B740C9"/>
    <w:rsid w:val="00B743DE"/>
    <w:rsid w:val="00B7442A"/>
    <w:rsid w:val="00B74D96"/>
    <w:rsid w:val="00B755AE"/>
    <w:rsid w:val="00B76473"/>
    <w:rsid w:val="00B767A1"/>
    <w:rsid w:val="00B769C1"/>
    <w:rsid w:val="00B774EE"/>
    <w:rsid w:val="00B8009A"/>
    <w:rsid w:val="00B800C6"/>
    <w:rsid w:val="00B805AA"/>
    <w:rsid w:val="00B80788"/>
    <w:rsid w:val="00B81413"/>
    <w:rsid w:val="00B8152F"/>
    <w:rsid w:val="00B820FA"/>
    <w:rsid w:val="00B82328"/>
    <w:rsid w:val="00B82D4C"/>
    <w:rsid w:val="00B831BB"/>
    <w:rsid w:val="00B834F1"/>
    <w:rsid w:val="00B83787"/>
    <w:rsid w:val="00B847BB"/>
    <w:rsid w:val="00B858E2"/>
    <w:rsid w:val="00B85D73"/>
    <w:rsid w:val="00B8606F"/>
    <w:rsid w:val="00B8622E"/>
    <w:rsid w:val="00B8671A"/>
    <w:rsid w:val="00B86868"/>
    <w:rsid w:val="00B87514"/>
    <w:rsid w:val="00B9073F"/>
    <w:rsid w:val="00B92566"/>
    <w:rsid w:val="00B92BAB"/>
    <w:rsid w:val="00B93785"/>
    <w:rsid w:val="00B93CA6"/>
    <w:rsid w:val="00B93DD3"/>
    <w:rsid w:val="00B93F98"/>
    <w:rsid w:val="00B951B9"/>
    <w:rsid w:val="00B955C7"/>
    <w:rsid w:val="00B96146"/>
    <w:rsid w:val="00B9646A"/>
    <w:rsid w:val="00B965F9"/>
    <w:rsid w:val="00B968BB"/>
    <w:rsid w:val="00B96B90"/>
    <w:rsid w:val="00B96CDE"/>
    <w:rsid w:val="00B97449"/>
    <w:rsid w:val="00B97BB1"/>
    <w:rsid w:val="00BA00AC"/>
    <w:rsid w:val="00BA062F"/>
    <w:rsid w:val="00BA067F"/>
    <w:rsid w:val="00BA07D0"/>
    <w:rsid w:val="00BA0E64"/>
    <w:rsid w:val="00BA0F9F"/>
    <w:rsid w:val="00BA109D"/>
    <w:rsid w:val="00BA1587"/>
    <w:rsid w:val="00BA1716"/>
    <w:rsid w:val="00BA1E6F"/>
    <w:rsid w:val="00BA377C"/>
    <w:rsid w:val="00BA3F2D"/>
    <w:rsid w:val="00BA46F6"/>
    <w:rsid w:val="00BA4919"/>
    <w:rsid w:val="00BA4F89"/>
    <w:rsid w:val="00BA5422"/>
    <w:rsid w:val="00BA56B2"/>
    <w:rsid w:val="00BA6011"/>
    <w:rsid w:val="00BA6AB5"/>
    <w:rsid w:val="00BA6D18"/>
    <w:rsid w:val="00BA73B1"/>
    <w:rsid w:val="00BA7829"/>
    <w:rsid w:val="00BA7AF7"/>
    <w:rsid w:val="00BB02AE"/>
    <w:rsid w:val="00BB02C6"/>
    <w:rsid w:val="00BB0434"/>
    <w:rsid w:val="00BB043B"/>
    <w:rsid w:val="00BB0C3C"/>
    <w:rsid w:val="00BB0C63"/>
    <w:rsid w:val="00BB10DB"/>
    <w:rsid w:val="00BB19E0"/>
    <w:rsid w:val="00BB1A72"/>
    <w:rsid w:val="00BB1DA6"/>
    <w:rsid w:val="00BB2817"/>
    <w:rsid w:val="00BB2E0A"/>
    <w:rsid w:val="00BB39F7"/>
    <w:rsid w:val="00BB41F3"/>
    <w:rsid w:val="00BB482B"/>
    <w:rsid w:val="00BB486C"/>
    <w:rsid w:val="00BB497D"/>
    <w:rsid w:val="00BB4C1E"/>
    <w:rsid w:val="00BB4F49"/>
    <w:rsid w:val="00BB50C3"/>
    <w:rsid w:val="00BB54B6"/>
    <w:rsid w:val="00BB5A38"/>
    <w:rsid w:val="00BB750A"/>
    <w:rsid w:val="00BB7ADE"/>
    <w:rsid w:val="00BC0AD0"/>
    <w:rsid w:val="00BC0F65"/>
    <w:rsid w:val="00BC21DC"/>
    <w:rsid w:val="00BC2B2F"/>
    <w:rsid w:val="00BC2EC9"/>
    <w:rsid w:val="00BC3583"/>
    <w:rsid w:val="00BC3BC3"/>
    <w:rsid w:val="00BC401E"/>
    <w:rsid w:val="00BC4120"/>
    <w:rsid w:val="00BC43CE"/>
    <w:rsid w:val="00BC46A8"/>
    <w:rsid w:val="00BC4B49"/>
    <w:rsid w:val="00BC4FD3"/>
    <w:rsid w:val="00BC5B42"/>
    <w:rsid w:val="00BC5E26"/>
    <w:rsid w:val="00BC6B0C"/>
    <w:rsid w:val="00BC6B8A"/>
    <w:rsid w:val="00BC7C48"/>
    <w:rsid w:val="00BD020F"/>
    <w:rsid w:val="00BD0646"/>
    <w:rsid w:val="00BD09B8"/>
    <w:rsid w:val="00BD13AE"/>
    <w:rsid w:val="00BD1858"/>
    <w:rsid w:val="00BD2601"/>
    <w:rsid w:val="00BD2A36"/>
    <w:rsid w:val="00BD2E86"/>
    <w:rsid w:val="00BD3064"/>
    <w:rsid w:val="00BD3DCC"/>
    <w:rsid w:val="00BD451D"/>
    <w:rsid w:val="00BD4E56"/>
    <w:rsid w:val="00BD55CD"/>
    <w:rsid w:val="00BD55EB"/>
    <w:rsid w:val="00BD57D8"/>
    <w:rsid w:val="00BD5E53"/>
    <w:rsid w:val="00BD6DC9"/>
    <w:rsid w:val="00BD744E"/>
    <w:rsid w:val="00BD7857"/>
    <w:rsid w:val="00BD7BFC"/>
    <w:rsid w:val="00BE0C79"/>
    <w:rsid w:val="00BE0EFE"/>
    <w:rsid w:val="00BE1308"/>
    <w:rsid w:val="00BE23AF"/>
    <w:rsid w:val="00BE2924"/>
    <w:rsid w:val="00BE3577"/>
    <w:rsid w:val="00BE3707"/>
    <w:rsid w:val="00BE3790"/>
    <w:rsid w:val="00BE3B5B"/>
    <w:rsid w:val="00BE3DB3"/>
    <w:rsid w:val="00BE4189"/>
    <w:rsid w:val="00BE51B2"/>
    <w:rsid w:val="00BE53C0"/>
    <w:rsid w:val="00BE53D0"/>
    <w:rsid w:val="00BE5455"/>
    <w:rsid w:val="00BE549E"/>
    <w:rsid w:val="00BE5868"/>
    <w:rsid w:val="00BE6090"/>
    <w:rsid w:val="00BE6356"/>
    <w:rsid w:val="00BE782D"/>
    <w:rsid w:val="00BE783E"/>
    <w:rsid w:val="00BE7E2E"/>
    <w:rsid w:val="00BF0688"/>
    <w:rsid w:val="00BF0873"/>
    <w:rsid w:val="00BF09BD"/>
    <w:rsid w:val="00BF1691"/>
    <w:rsid w:val="00BF1C94"/>
    <w:rsid w:val="00BF1D93"/>
    <w:rsid w:val="00BF216E"/>
    <w:rsid w:val="00BF32DA"/>
    <w:rsid w:val="00BF3357"/>
    <w:rsid w:val="00BF37DB"/>
    <w:rsid w:val="00BF38CB"/>
    <w:rsid w:val="00BF3CF2"/>
    <w:rsid w:val="00BF3FA3"/>
    <w:rsid w:val="00BF438D"/>
    <w:rsid w:val="00BF5989"/>
    <w:rsid w:val="00BF6190"/>
    <w:rsid w:val="00BF6500"/>
    <w:rsid w:val="00BF685D"/>
    <w:rsid w:val="00BF6B4B"/>
    <w:rsid w:val="00BF6C6E"/>
    <w:rsid w:val="00BF7345"/>
    <w:rsid w:val="00BF7D47"/>
    <w:rsid w:val="00C00229"/>
    <w:rsid w:val="00C0054C"/>
    <w:rsid w:val="00C008F2"/>
    <w:rsid w:val="00C00A21"/>
    <w:rsid w:val="00C00EE7"/>
    <w:rsid w:val="00C01103"/>
    <w:rsid w:val="00C01E3A"/>
    <w:rsid w:val="00C01EA3"/>
    <w:rsid w:val="00C02C1C"/>
    <w:rsid w:val="00C02CC0"/>
    <w:rsid w:val="00C03772"/>
    <w:rsid w:val="00C0384C"/>
    <w:rsid w:val="00C03AF1"/>
    <w:rsid w:val="00C04164"/>
    <w:rsid w:val="00C0430C"/>
    <w:rsid w:val="00C04791"/>
    <w:rsid w:val="00C05C29"/>
    <w:rsid w:val="00C0679D"/>
    <w:rsid w:val="00C07598"/>
    <w:rsid w:val="00C07CB7"/>
    <w:rsid w:val="00C07DC8"/>
    <w:rsid w:val="00C10793"/>
    <w:rsid w:val="00C10C74"/>
    <w:rsid w:val="00C11170"/>
    <w:rsid w:val="00C11685"/>
    <w:rsid w:val="00C11C25"/>
    <w:rsid w:val="00C11EA9"/>
    <w:rsid w:val="00C1234B"/>
    <w:rsid w:val="00C123E8"/>
    <w:rsid w:val="00C124E0"/>
    <w:rsid w:val="00C126A2"/>
    <w:rsid w:val="00C13203"/>
    <w:rsid w:val="00C1380D"/>
    <w:rsid w:val="00C14D03"/>
    <w:rsid w:val="00C15007"/>
    <w:rsid w:val="00C160CD"/>
    <w:rsid w:val="00C16463"/>
    <w:rsid w:val="00C167A5"/>
    <w:rsid w:val="00C167FD"/>
    <w:rsid w:val="00C17FA8"/>
    <w:rsid w:val="00C201DC"/>
    <w:rsid w:val="00C2057B"/>
    <w:rsid w:val="00C2064C"/>
    <w:rsid w:val="00C223F0"/>
    <w:rsid w:val="00C24302"/>
    <w:rsid w:val="00C243ED"/>
    <w:rsid w:val="00C24BD2"/>
    <w:rsid w:val="00C24E79"/>
    <w:rsid w:val="00C252A1"/>
    <w:rsid w:val="00C252A6"/>
    <w:rsid w:val="00C269B9"/>
    <w:rsid w:val="00C2740F"/>
    <w:rsid w:val="00C278EB"/>
    <w:rsid w:val="00C30385"/>
    <w:rsid w:val="00C3103E"/>
    <w:rsid w:val="00C31BF3"/>
    <w:rsid w:val="00C322A8"/>
    <w:rsid w:val="00C32352"/>
    <w:rsid w:val="00C32AD5"/>
    <w:rsid w:val="00C32E1C"/>
    <w:rsid w:val="00C34091"/>
    <w:rsid w:val="00C3463A"/>
    <w:rsid w:val="00C35134"/>
    <w:rsid w:val="00C35398"/>
    <w:rsid w:val="00C35523"/>
    <w:rsid w:val="00C37113"/>
    <w:rsid w:val="00C372D4"/>
    <w:rsid w:val="00C37A27"/>
    <w:rsid w:val="00C37B84"/>
    <w:rsid w:val="00C37DEC"/>
    <w:rsid w:val="00C40440"/>
    <w:rsid w:val="00C41D5A"/>
    <w:rsid w:val="00C42DE1"/>
    <w:rsid w:val="00C4300E"/>
    <w:rsid w:val="00C43689"/>
    <w:rsid w:val="00C43E1A"/>
    <w:rsid w:val="00C44C13"/>
    <w:rsid w:val="00C44E8A"/>
    <w:rsid w:val="00C4538B"/>
    <w:rsid w:val="00C462A4"/>
    <w:rsid w:val="00C469B9"/>
    <w:rsid w:val="00C46C5A"/>
    <w:rsid w:val="00C47631"/>
    <w:rsid w:val="00C47921"/>
    <w:rsid w:val="00C47A49"/>
    <w:rsid w:val="00C50F21"/>
    <w:rsid w:val="00C5117F"/>
    <w:rsid w:val="00C51377"/>
    <w:rsid w:val="00C51B78"/>
    <w:rsid w:val="00C51F7A"/>
    <w:rsid w:val="00C520E4"/>
    <w:rsid w:val="00C5346B"/>
    <w:rsid w:val="00C539BE"/>
    <w:rsid w:val="00C55160"/>
    <w:rsid w:val="00C56ADC"/>
    <w:rsid w:val="00C57200"/>
    <w:rsid w:val="00C57606"/>
    <w:rsid w:val="00C57AB0"/>
    <w:rsid w:val="00C57F08"/>
    <w:rsid w:val="00C60B19"/>
    <w:rsid w:val="00C60FB6"/>
    <w:rsid w:val="00C61C0F"/>
    <w:rsid w:val="00C621F2"/>
    <w:rsid w:val="00C62B34"/>
    <w:rsid w:val="00C63375"/>
    <w:rsid w:val="00C63472"/>
    <w:rsid w:val="00C63848"/>
    <w:rsid w:val="00C650E1"/>
    <w:rsid w:val="00C6543F"/>
    <w:rsid w:val="00C65628"/>
    <w:rsid w:val="00C65765"/>
    <w:rsid w:val="00C65D0F"/>
    <w:rsid w:val="00C66212"/>
    <w:rsid w:val="00C6629D"/>
    <w:rsid w:val="00C66381"/>
    <w:rsid w:val="00C67118"/>
    <w:rsid w:val="00C67464"/>
    <w:rsid w:val="00C67E08"/>
    <w:rsid w:val="00C701E3"/>
    <w:rsid w:val="00C706BA"/>
    <w:rsid w:val="00C709AF"/>
    <w:rsid w:val="00C70DCE"/>
    <w:rsid w:val="00C71144"/>
    <w:rsid w:val="00C713A2"/>
    <w:rsid w:val="00C71528"/>
    <w:rsid w:val="00C71940"/>
    <w:rsid w:val="00C7194A"/>
    <w:rsid w:val="00C71A30"/>
    <w:rsid w:val="00C71D0C"/>
    <w:rsid w:val="00C71EF9"/>
    <w:rsid w:val="00C72021"/>
    <w:rsid w:val="00C724F2"/>
    <w:rsid w:val="00C72AC0"/>
    <w:rsid w:val="00C7313E"/>
    <w:rsid w:val="00C7373B"/>
    <w:rsid w:val="00C742DE"/>
    <w:rsid w:val="00C7472A"/>
    <w:rsid w:val="00C75C01"/>
    <w:rsid w:val="00C75C3A"/>
    <w:rsid w:val="00C75E59"/>
    <w:rsid w:val="00C76007"/>
    <w:rsid w:val="00C76A03"/>
    <w:rsid w:val="00C7711F"/>
    <w:rsid w:val="00C77C70"/>
    <w:rsid w:val="00C801EF"/>
    <w:rsid w:val="00C80AD0"/>
    <w:rsid w:val="00C81308"/>
    <w:rsid w:val="00C813E0"/>
    <w:rsid w:val="00C81FBE"/>
    <w:rsid w:val="00C8343E"/>
    <w:rsid w:val="00C83BAB"/>
    <w:rsid w:val="00C83C74"/>
    <w:rsid w:val="00C84F6C"/>
    <w:rsid w:val="00C850A6"/>
    <w:rsid w:val="00C85CC5"/>
    <w:rsid w:val="00C8744D"/>
    <w:rsid w:val="00C8755B"/>
    <w:rsid w:val="00C907B8"/>
    <w:rsid w:val="00C918E1"/>
    <w:rsid w:val="00C9199A"/>
    <w:rsid w:val="00C919CE"/>
    <w:rsid w:val="00C91D45"/>
    <w:rsid w:val="00C9271D"/>
    <w:rsid w:val="00C92A65"/>
    <w:rsid w:val="00C92CD6"/>
    <w:rsid w:val="00C93720"/>
    <w:rsid w:val="00C93750"/>
    <w:rsid w:val="00C95218"/>
    <w:rsid w:val="00C95E70"/>
    <w:rsid w:val="00C95F6D"/>
    <w:rsid w:val="00C96D18"/>
    <w:rsid w:val="00C97E70"/>
    <w:rsid w:val="00CA05E4"/>
    <w:rsid w:val="00CA0635"/>
    <w:rsid w:val="00CA08DC"/>
    <w:rsid w:val="00CA11CD"/>
    <w:rsid w:val="00CA1EB0"/>
    <w:rsid w:val="00CA289F"/>
    <w:rsid w:val="00CA28FA"/>
    <w:rsid w:val="00CA2E0B"/>
    <w:rsid w:val="00CA3FA2"/>
    <w:rsid w:val="00CA4538"/>
    <w:rsid w:val="00CA579A"/>
    <w:rsid w:val="00CA5964"/>
    <w:rsid w:val="00CA5C90"/>
    <w:rsid w:val="00CA6689"/>
    <w:rsid w:val="00CA68A7"/>
    <w:rsid w:val="00CA68C5"/>
    <w:rsid w:val="00CA7012"/>
    <w:rsid w:val="00CA73CF"/>
    <w:rsid w:val="00CA7FBD"/>
    <w:rsid w:val="00CB0260"/>
    <w:rsid w:val="00CB10B3"/>
    <w:rsid w:val="00CB15AB"/>
    <w:rsid w:val="00CB16FB"/>
    <w:rsid w:val="00CB21C1"/>
    <w:rsid w:val="00CB28EC"/>
    <w:rsid w:val="00CB3000"/>
    <w:rsid w:val="00CB32CA"/>
    <w:rsid w:val="00CB35D9"/>
    <w:rsid w:val="00CB438F"/>
    <w:rsid w:val="00CB5207"/>
    <w:rsid w:val="00CB556F"/>
    <w:rsid w:val="00CB5C1C"/>
    <w:rsid w:val="00CB5C78"/>
    <w:rsid w:val="00CB5DBB"/>
    <w:rsid w:val="00CB6007"/>
    <w:rsid w:val="00CB6D41"/>
    <w:rsid w:val="00CB713B"/>
    <w:rsid w:val="00CB7363"/>
    <w:rsid w:val="00CB7B6D"/>
    <w:rsid w:val="00CB7FBE"/>
    <w:rsid w:val="00CC0C61"/>
    <w:rsid w:val="00CC1204"/>
    <w:rsid w:val="00CC1BDC"/>
    <w:rsid w:val="00CC268A"/>
    <w:rsid w:val="00CC3329"/>
    <w:rsid w:val="00CC39A3"/>
    <w:rsid w:val="00CC3A14"/>
    <w:rsid w:val="00CC427F"/>
    <w:rsid w:val="00CC435D"/>
    <w:rsid w:val="00CC46FA"/>
    <w:rsid w:val="00CC50EA"/>
    <w:rsid w:val="00CC56DD"/>
    <w:rsid w:val="00CC5881"/>
    <w:rsid w:val="00CC5930"/>
    <w:rsid w:val="00CC5AC6"/>
    <w:rsid w:val="00CC64FF"/>
    <w:rsid w:val="00CC7B5C"/>
    <w:rsid w:val="00CD15DB"/>
    <w:rsid w:val="00CD1862"/>
    <w:rsid w:val="00CD18F6"/>
    <w:rsid w:val="00CD339C"/>
    <w:rsid w:val="00CD34A2"/>
    <w:rsid w:val="00CD38F2"/>
    <w:rsid w:val="00CD3BC7"/>
    <w:rsid w:val="00CD4173"/>
    <w:rsid w:val="00CD4907"/>
    <w:rsid w:val="00CD4C69"/>
    <w:rsid w:val="00CD4F1D"/>
    <w:rsid w:val="00CD5307"/>
    <w:rsid w:val="00CD569C"/>
    <w:rsid w:val="00CD5C3A"/>
    <w:rsid w:val="00CD67CC"/>
    <w:rsid w:val="00CD6A46"/>
    <w:rsid w:val="00CD6C80"/>
    <w:rsid w:val="00CD73CB"/>
    <w:rsid w:val="00CD7941"/>
    <w:rsid w:val="00CD7D70"/>
    <w:rsid w:val="00CE00C8"/>
    <w:rsid w:val="00CE01F2"/>
    <w:rsid w:val="00CE0512"/>
    <w:rsid w:val="00CE13EC"/>
    <w:rsid w:val="00CE276D"/>
    <w:rsid w:val="00CE29CA"/>
    <w:rsid w:val="00CE312E"/>
    <w:rsid w:val="00CE40A0"/>
    <w:rsid w:val="00CE44D7"/>
    <w:rsid w:val="00CE47AB"/>
    <w:rsid w:val="00CE57B8"/>
    <w:rsid w:val="00CE57D8"/>
    <w:rsid w:val="00CE59D3"/>
    <w:rsid w:val="00CE5CDE"/>
    <w:rsid w:val="00CE69FB"/>
    <w:rsid w:val="00CE6D3B"/>
    <w:rsid w:val="00CE76EB"/>
    <w:rsid w:val="00CF036F"/>
    <w:rsid w:val="00CF0BBC"/>
    <w:rsid w:val="00CF1137"/>
    <w:rsid w:val="00CF1BD8"/>
    <w:rsid w:val="00CF1BDB"/>
    <w:rsid w:val="00CF251A"/>
    <w:rsid w:val="00CF28C7"/>
    <w:rsid w:val="00CF28DC"/>
    <w:rsid w:val="00CF2F0E"/>
    <w:rsid w:val="00CF38C7"/>
    <w:rsid w:val="00CF4488"/>
    <w:rsid w:val="00CF4BDF"/>
    <w:rsid w:val="00CF4FC7"/>
    <w:rsid w:val="00CF5C56"/>
    <w:rsid w:val="00CF5D27"/>
    <w:rsid w:val="00CF620B"/>
    <w:rsid w:val="00CF62E1"/>
    <w:rsid w:val="00CF691D"/>
    <w:rsid w:val="00CF7CFA"/>
    <w:rsid w:val="00CF7D37"/>
    <w:rsid w:val="00D00348"/>
    <w:rsid w:val="00D007BD"/>
    <w:rsid w:val="00D00E71"/>
    <w:rsid w:val="00D0133B"/>
    <w:rsid w:val="00D01FED"/>
    <w:rsid w:val="00D021A8"/>
    <w:rsid w:val="00D026BC"/>
    <w:rsid w:val="00D027AD"/>
    <w:rsid w:val="00D031D8"/>
    <w:rsid w:val="00D046CA"/>
    <w:rsid w:val="00D04A76"/>
    <w:rsid w:val="00D05079"/>
    <w:rsid w:val="00D05782"/>
    <w:rsid w:val="00D05E10"/>
    <w:rsid w:val="00D06024"/>
    <w:rsid w:val="00D063BA"/>
    <w:rsid w:val="00D064F7"/>
    <w:rsid w:val="00D06B9D"/>
    <w:rsid w:val="00D06EFF"/>
    <w:rsid w:val="00D07AC8"/>
    <w:rsid w:val="00D10178"/>
    <w:rsid w:val="00D10600"/>
    <w:rsid w:val="00D1109D"/>
    <w:rsid w:val="00D11263"/>
    <w:rsid w:val="00D11645"/>
    <w:rsid w:val="00D13848"/>
    <w:rsid w:val="00D138B4"/>
    <w:rsid w:val="00D144F1"/>
    <w:rsid w:val="00D148AD"/>
    <w:rsid w:val="00D14BF4"/>
    <w:rsid w:val="00D1546C"/>
    <w:rsid w:val="00D155C4"/>
    <w:rsid w:val="00D159E2"/>
    <w:rsid w:val="00D15C77"/>
    <w:rsid w:val="00D15E68"/>
    <w:rsid w:val="00D162F3"/>
    <w:rsid w:val="00D20098"/>
    <w:rsid w:val="00D20237"/>
    <w:rsid w:val="00D20417"/>
    <w:rsid w:val="00D20535"/>
    <w:rsid w:val="00D212A6"/>
    <w:rsid w:val="00D21A2E"/>
    <w:rsid w:val="00D225BF"/>
    <w:rsid w:val="00D248E4"/>
    <w:rsid w:val="00D24B23"/>
    <w:rsid w:val="00D25851"/>
    <w:rsid w:val="00D258BD"/>
    <w:rsid w:val="00D276D4"/>
    <w:rsid w:val="00D300C1"/>
    <w:rsid w:val="00D3145D"/>
    <w:rsid w:val="00D31A14"/>
    <w:rsid w:val="00D31DF1"/>
    <w:rsid w:val="00D31E3C"/>
    <w:rsid w:val="00D32707"/>
    <w:rsid w:val="00D32858"/>
    <w:rsid w:val="00D32A0B"/>
    <w:rsid w:val="00D33399"/>
    <w:rsid w:val="00D333CC"/>
    <w:rsid w:val="00D33557"/>
    <w:rsid w:val="00D335E6"/>
    <w:rsid w:val="00D338C6"/>
    <w:rsid w:val="00D3395A"/>
    <w:rsid w:val="00D34201"/>
    <w:rsid w:val="00D34435"/>
    <w:rsid w:val="00D34570"/>
    <w:rsid w:val="00D34BFA"/>
    <w:rsid w:val="00D34F57"/>
    <w:rsid w:val="00D36155"/>
    <w:rsid w:val="00D36628"/>
    <w:rsid w:val="00D3671D"/>
    <w:rsid w:val="00D3672C"/>
    <w:rsid w:val="00D36B21"/>
    <w:rsid w:val="00D36DE4"/>
    <w:rsid w:val="00D3775B"/>
    <w:rsid w:val="00D37D78"/>
    <w:rsid w:val="00D40BF7"/>
    <w:rsid w:val="00D40CCE"/>
    <w:rsid w:val="00D41016"/>
    <w:rsid w:val="00D41D59"/>
    <w:rsid w:val="00D42107"/>
    <w:rsid w:val="00D4236E"/>
    <w:rsid w:val="00D42E0E"/>
    <w:rsid w:val="00D45173"/>
    <w:rsid w:val="00D452C4"/>
    <w:rsid w:val="00D46356"/>
    <w:rsid w:val="00D46849"/>
    <w:rsid w:val="00D47107"/>
    <w:rsid w:val="00D50FB2"/>
    <w:rsid w:val="00D51067"/>
    <w:rsid w:val="00D51BFC"/>
    <w:rsid w:val="00D521A7"/>
    <w:rsid w:val="00D52257"/>
    <w:rsid w:val="00D52966"/>
    <w:rsid w:val="00D530B9"/>
    <w:rsid w:val="00D53348"/>
    <w:rsid w:val="00D535AB"/>
    <w:rsid w:val="00D5364F"/>
    <w:rsid w:val="00D542C2"/>
    <w:rsid w:val="00D5496B"/>
    <w:rsid w:val="00D56577"/>
    <w:rsid w:val="00D56AB7"/>
    <w:rsid w:val="00D57EA4"/>
    <w:rsid w:val="00D60083"/>
    <w:rsid w:val="00D6027A"/>
    <w:rsid w:val="00D60736"/>
    <w:rsid w:val="00D60C07"/>
    <w:rsid w:val="00D60C49"/>
    <w:rsid w:val="00D61564"/>
    <w:rsid w:val="00D61853"/>
    <w:rsid w:val="00D61E8E"/>
    <w:rsid w:val="00D61F8B"/>
    <w:rsid w:val="00D62697"/>
    <w:rsid w:val="00D62E7E"/>
    <w:rsid w:val="00D62FA2"/>
    <w:rsid w:val="00D64475"/>
    <w:rsid w:val="00D6471A"/>
    <w:rsid w:val="00D647EF"/>
    <w:rsid w:val="00D6490C"/>
    <w:rsid w:val="00D64EEA"/>
    <w:rsid w:val="00D654ED"/>
    <w:rsid w:val="00D66082"/>
    <w:rsid w:val="00D668C1"/>
    <w:rsid w:val="00D674ED"/>
    <w:rsid w:val="00D700B6"/>
    <w:rsid w:val="00D704BD"/>
    <w:rsid w:val="00D704C6"/>
    <w:rsid w:val="00D70514"/>
    <w:rsid w:val="00D70656"/>
    <w:rsid w:val="00D708C4"/>
    <w:rsid w:val="00D70C67"/>
    <w:rsid w:val="00D70E6B"/>
    <w:rsid w:val="00D71AB9"/>
    <w:rsid w:val="00D71B18"/>
    <w:rsid w:val="00D721AD"/>
    <w:rsid w:val="00D72880"/>
    <w:rsid w:val="00D72AF7"/>
    <w:rsid w:val="00D73131"/>
    <w:rsid w:val="00D73994"/>
    <w:rsid w:val="00D73B4C"/>
    <w:rsid w:val="00D745A1"/>
    <w:rsid w:val="00D746DB"/>
    <w:rsid w:val="00D74B8C"/>
    <w:rsid w:val="00D74D72"/>
    <w:rsid w:val="00D74F3B"/>
    <w:rsid w:val="00D756ED"/>
    <w:rsid w:val="00D7642E"/>
    <w:rsid w:val="00D77D72"/>
    <w:rsid w:val="00D801F2"/>
    <w:rsid w:val="00D807C7"/>
    <w:rsid w:val="00D8218A"/>
    <w:rsid w:val="00D82B36"/>
    <w:rsid w:val="00D83545"/>
    <w:rsid w:val="00D85A70"/>
    <w:rsid w:val="00D85AAC"/>
    <w:rsid w:val="00D860EA"/>
    <w:rsid w:val="00D8634A"/>
    <w:rsid w:val="00D86620"/>
    <w:rsid w:val="00D86688"/>
    <w:rsid w:val="00D8681E"/>
    <w:rsid w:val="00D868F7"/>
    <w:rsid w:val="00D86B80"/>
    <w:rsid w:val="00D870F1"/>
    <w:rsid w:val="00D8720E"/>
    <w:rsid w:val="00D876BF"/>
    <w:rsid w:val="00D87C62"/>
    <w:rsid w:val="00D87EB2"/>
    <w:rsid w:val="00D9090A"/>
    <w:rsid w:val="00D90FC1"/>
    <w:rsid w:val="00D91317"/>
    <w:rsid w:val="00D917C8"/>
    <w:rsid w:val="00D917DF"/>
    <w:rsid w:val="00D919B7"/>
    <w:rsid w:val="00D92D3B"/>
    <w:rsid w:val="00D931D2"/>
    <w:rsid w:val="00D934D9"/>
    <w:rsid w:val="00D94764"/>
    <w:rsid w:val="00D94BBB"/>
    <w:rsid w:val="00D94D0A"/>
    <w:rsid w:val="00D94EE4"/>
    <w:rsid w:val="00D951FC"/>
    <w:rsid w:val="00D9556C"/>
    <w:rsid w:val="00D95C82"/>
    <w:rsid w:val="00D9617D"/>
    <w:rsid w:val="00D964ED"/>
    <w:rsid w:val="00D96998"/>
    <w:rsid w:val="00D977ED"/>
    <w:rsid w:val="00D97EBE"/>
    <w:rsid w:val="00DA03EC"/>
    <w:rsid w:val="00DA0C4D"/>
    <w:rsid w:val="00DA116D"/>
    <w:rsid w:val="00DA1266"/>
    <w:rsid w:val="00DA1EDC"/>
    <w:rsid w:val="00DA1F7E"/>
    <w:rsid w:val="00DA2241"/>
    <w:rsid w:val="00DA2670"/>
    <w:rsid w:val="00DA2986"/>
    <w:rsid w:val="00DA49D2"/>
    <w:rsid w:val="00DA4B30"/>
    <w:rsid w:val="00DA516D"/>
    <w:rsid w:val="00DA639D"/>
    <w:rsid w:val="00DA67AD"/>
    <w:rsid w:val="00DA682B"/>
    <w:rsid w:val="00DA690A"/>
    <w:rsid w:val="00DA6E42"/>
    <w:rsid w:val="00DA7F52"/>
    <w:rsid w:val="00DB0459"/>
    <w:rsid w:val="00DB0534"/>
    <w:rsid w:val="00DB0672"/>
    <w:rsid w:val="00DB0A3B"/>
    <w:rsid w:val="00DB0EA6"/>
    <w:rsid w:val="00DB0F14"/>
    <w:rsid w:val="00DB1F38"/>
    <w:rsid w:val="00DB2967"/>
    <w:rsid w:val="00DB2CCD"/>
    <w:rsid w:val="00DB3529"/>
    <w:rsid w:val="00DB3BCD"/>
    <w:rsid w:val="00DB654A"/>
    <w:rsid w:val="00DC01A6"/>
    <w:rsid w:val="00DC1083"/>
    <w:rsid w:val="00DC1AD6"/>
    <w:rsid w:val="00DC1FC7"/>
    <w:rsid w:val="00DC1FDC"/>
    <w:rsid w:val="00DC204D"/>
    <w:rsid w:val="00DC23CE"/>
    <w:rsid w:val="00DC2D0C"/>
    <w:rsid w:val="00DC3244"/>
    <w:rsid w:val="00DC3561"/>
    <w:rsid w:val="00DC38BA"/>
    <w:rsid w:val="00DC392B"/>
    <w:rsid w:val="00DC3D2F"/>
    <w:rsid w:val="00DC440D"/>
    <w:rsid w:val="00DC4481"/>
    <w:rsid w:val="00DC4743"/>
    <w:rsid w:val="00DC4BCB"/>
    <w:rsid w:val="00DC4E3D"/>
    <w:rsid w:val="00DC5356"/>
    <w:rsid w:val="00DC59AE"/>
    <w:rsid w:val="00DC6C8D"/>
    <w:rsid w:val="00DC7F4D"/>
    <w:rsid w:val="00DD04EB"/>
    <w:rsid w:val="00DD0C0D"/>
    <w:rsid w:val="00DD1A3F"/>
    <w:rsid w:val="00DD2464"/>
    <w:rsid w:val="00DD2B1E"/>
    <w:rsid w:val="00DD2C0A"/>
    <w:rsid w:val="00DD339A"/>
    <w:rsid w:val="00DD497C"/>
    <w:rsid w:val="00DD4D78"/>
    <w:rsid w:val="00DD5246"/>
    <w:rsid w:val="00DD5B31"/>
    <w:rsid w:val="00DD663B"/>
    <w:rsid w:val="00DD66D3"/>
    <w:rsid w:val="00DD68E0"/>
    <w:rsid w:val="00DD786E"/>
    <w:rsid w:val="00DE0367"/>
    <w:rsid w:val="00DE0B87"/>
    <w:rsid w:val="00DE1EF3"/>
    <w:rsid w:val="00DE2F34"/>
    <w:rsid w:val="00DE4497"/>
    <w:rsid w:val="00DE45C8"/>
    <w:rsid w:val="00DE45E3"/>
    <w:rsid w:val="00DE46B4"/>
    <w:rsid w:val="00DE46E2"/>
    <w:rsid w:val="00DE47FF"/>
    <w:rsid w:val="00DE4959"/>
    <w:rsid w:val="00DE55A5"/>
    <w:rsid w:val="00DE573D"/>
    <w:rsid w:val="00DE5E44"/>
    <w:rsid w:val="00DE5F6B"/>
    <w:rsid w:val="00DE6E96"/>
    <w:rsid w:val="00DF090E"/>
    <w:rsid w:val="00DF1722"/>
    <w:rsid w:val="00DF18E1"/>
    <w:rsid w:val="00DF1BFB"/>
    <w:rsid w:val="00DF1F25"/>
    <w:rsid w:val="00DF2E4C"/>
    <w:rsid w:val="00DF30A3"/>
    <w:rsid w:val="00DF3482"/>
    <w:rsid w:val="00DF3BE3"/>
    <w:rsid w:val="00DF3BF5"/>
    <w:rsid w:val="00DF4C0D"/>
    <w:rsid w:val="00DF51EC"/>
    <w:rsid w:val="00DF587C"/>
    <w:rsid w:val="00DF6857"/>
    <w:rsid w:val="00DF7445"/>
    <w:rsid w:val="00DF7929"/>
    <w:rsid w:val="00DF7AF2"/>
    <w:rsid w:val="00E00A3A"/>
    <w:rsid w:val="00E00A56"/>
    <w:rsid w:val="00E00AFC"/>
    <w:rsid w:val="00E00C4B"/>
    <w:rsid w:val="00E01FBB"/>
    <w:rsid w:val="00E0299C"/>
    <w:rsid w:val="00E02A25"/>
    <w:rsid w:val="00E02F8A"/>
    <w:rsid w:val="00E03080"/>
    <w:rsid w:val="00E038A0"/>
    <w:rsid w:val="00E03AB2"/>
    <w:rsid w:val="00E04383"/>
    <w:rsid w:val="00E04803"/>
    <w:rsid w:val="00E04ABD"/>
    <w:rsid w:val="00E04D8E"/>
    <w:rsid w:val="00E05123"/>
    <w:rsid w:val="00E05492"/>
    <w:rsid w:val="00E059C3"/>
    <w:rsid w:val="00E06223"/>
    <w:rsid w:val="00E06E9F"/>
    <w:rsid w:val="00E07AA8"/>
    <w:rsid w:val="00E103E9"/>
    <w:rsid w:val="00E10D6C"/>
    <w:rsid w:val="00E112F2"/>
    <w:rsid w:val="00E1135C"/>
    <w:rsid w:val="00E11A8F"/>
    <w:rsid w:val="00E11DDE"/>
    <w:rsid w:val="00E1288F"/>
    <w:rsid w:val="00E13142"/>
    <w:rsid w:val="00E139E3"/>
    <w:rsid w:val="00E13B21"/>
    <w:rsid w:val="00E13D84"/>
    <w:rsid w:val="00E14899"/>
    <w:rsid w:val="00E14E04"/>
    <w:rsid w:val="00E15523"/>
    <w:rsid w:val="00E16543"/>
    <w:rsid w:val="00E20112"/>
    <w:rsid w:val="00E20441"/>
    <w:rsid w:val="00E2077F"/>
    <w:rsid w:val="00E208AF"/>
    <w:rsid w:val="00E20A4A"/>
    <w:rsid w:val="00E2139B"/>
    <w:rsid w:val="00E21D4F"/>
    <w:rsid w:val="00E21E8D"/>
    <w:rsid w:val="00E22BE4"/>
    <w:rsid w:val="00E23137"/>
    <w:rsid w:val="00E23C19"/>
    <w:rsid w:val="00E23ED6"/>
    <w:rsid w:val="00E241AB"/>
    <w:rsid w:val="00E249D1"/>
    <w:rsid w:val="00E24A7D"/>
    <w:rsid w:val="00E24B1C"/>
    <w:rsid w:val="00E24B52"/>
    <w:rsid w:val="00E24DF4"/>
    <w:rsid w:val="00E256E3"/>
    <w:rsid w:val="00E256F7"/>
    <w:rsid w:val="00E260D9"/>
    <w:rsid w:val="00E26104"/>
    <w:rsid w:val="00E26331"/>
    <w:rsid w:val="00E26986"/>
    <w:rsid w:val="00E27544"/>
    <w:rsid w:val="00E27D7C"/>
    <w:rsid w:val="00E27F3B"/>
    <w:rsid w:val="00E27F70"/>
    <w:rsid w:val="00E3054C"/>
    <w:rsid w:val="00E3094D"/>
    <w:rsid w:val="00E30DEB"/>
    <w:rsid w:val="00E31002"/>
    <w:rsid w:val="00E31454"/>
    <w:rsid w:val="00E31903"/>
    <w:rsid w:val="00E31D63"/>
    <w:rsid w:val="00E326C6"/>
    <w:rsid w:val="00E3376D"/>
    <w:rsid w:val="00E34080"/>
    <w:rsid w:val="00E35158"/>
    <w:rsid w:val="00E3584C"/>
    <w:rsid w:val="00E3664C"/>
    <w:rsid w:val="00E36D4F"/>
    <w:rsid w:val="00E37612"/>
    <w:rsid w:val="00E37B66"/>
    <w:rsid w:val="00E37E21"/>
    <w:rsid w:val="00E40EA2"/>
    <w:rsid w:val="00E427E0"/>
    <w:rsid w:val="00E42886"/>
    <w:rsid w:val="00E430A3"/>
    <w:rsid w:val="00E4381E"/>
    <w:rsid w:val="00E4487F"/>
    <w:rsid w:val="00E44A8A"/>
    <w:rsid w:val="00E44E31"/>
    <w:rsid w:val="00E4507C"/>
    <w:rsid w:val="00E4522D"/>
    <w:rsid w:val="00E45827"/>
    <w:rsid w:val="00E461D5"/>
    <w:rsid w:val="00E46272"/>
    <w:rsid w:val="00E468BD"/>
    <w:rsid w:val="00E5123E"/>
    <w:rsid w:val="00E518D7"/>
    <w:rsid w:val="00E51F20"/>
    <w:rsid w:val="00E52739"/>
    <w:rsid w:val="00E5290A"/>
    <w:rsid w:val="00E52D11"/>
    <w:rsid w:val="00E52DAC"/>
    <w:rsid w:val="00E52E59"/>
    <w:rsid w:val="00E549C5"/>
    <w:rsid w:val="00E552C1"/>
    <w:rsid w:val="00E57DFC"/>
    <w:rsid w:val="00E60118"/>
    <w:rsid w:val="00E60215"/>
    <w:rsid w:val="00E6038D"/>
    <w:rsid w:val="00E60CDF"/>
    <w:rsid w:val="00E60E70"/>
    <w:rsid w:val="00E61094"/>
    <w:rsid w:val="00E6130F"/>
    <w:rsid w:val="00E6137C"/>
    <w:rsid w:val="00E6247D"/>
    <w:rsid w:val="00E62602"/>
    <w:rsid w:val="00E6356E"/>
    <w:rsid w:val="00E63AFF"/>
    <w:rsid w:val="00E63CA2"/>
    <w:rsid w:val="00E641E6"/>
    <w:rsid w:val="00E64235"/>
    <w:rsid w:val="00E65311"/>
    <w:rsid w:val="00E65D40"/>
    <w:rsid w:val="00E66442"/>
    <w:rsid w:val="00E66AFA"/>
    <w:rsid w:val="00E675DF"/>
    <w:rsid w:val="00E67CFB"/>
    <w:rsid w:val="00E67EA2"/>
    <w:rsid w:val="00E7039E"/>
    <w:rsid w:val="00E70661"/>
    <w:rsid w:val="00E71128"/>
    <w:rsid w:val="00E711A0"/>
    <w:rsid w:val="00E72422"/>
    <w:rsid w:val="00E72958"/>
    <w:rsid w:val="00E7296A"/>
    <w:rsid w:val="00E72AEC"/>
    <w:rsid w:val="00E72F5F"/>
    <w:rsid w:val="00E73063"/>
    <w:rsid w:val="00E73AF8"/>
    <w:rsid w:val="00E747CA"/>
    <w:rsid w:val="00E74A73"/>
    <w:rsid w:val="00E74FB9"/>
    <w:rsid w:val="00E75334"/>
    <w:rsid w:val="00E76072"/>
    <w:rsid w:val="00E761EF"/>
    <w:rsid w:val="00E81356"/>
    <w:rsid w:val="00E8141A"/>
    <w:rsid w:val="00E82ED1"/>
    <w:rsid w:val="00E830A1"/>
    <w:rsid w:val="00E832AC"/>
    <w:rsid w:val="00E83451"/>
    <w:rsid w:val="00E83595"/>
    <w:rsid w:val="00E84408"/>
    <w:rsid w:val="00E8460B"/>
    <w:rsid w:val="00E8495A"/>
    <w:rsid w:val="00E84AD8"/>
    <w:rsid w:val="00E851B2"/>
    <w:rsid w:val="00E853DE"/>
    <w:rsid w:val="00E86D51"/>
    <w:rsid w:val="00E870CF"/>
    <w:rsid w:val="00E8742C"/>
    <w:rsid w:val="00E87F6B"/>
    <w:rsid w:val="00E906DE"/>
    <w:rsid w:val="00E90BEC"/>
    <w:rsid w:val="00E9129E"/>
    <w:rsid w:val="00E915D7"/>
    <w:rsid w:val="00E916BC"/>
    <w:rsid w:val="00E91C50"/>
    <w:rsid w:val="00E922BC"/>
    <w:rsid w:val="00E9231C"/>
    <w:rsid w:val="00E92670"/>
    <w:rsid w:val="00E92791"/>
    <w:rsid w:val="00E92B2A"/>
    <w:rsid w:val="00E9307C"/>
    <w:rsid w:val="00E93890"/>
    <w:rsid w:val="00E93A47"/>
    <w:rsid w:val="00E93DBC"/>
    <w:rsid w:val="00E93FC6"/>
    <w:rsid w:val="00E94359"/>
    <w:rsid w:val="00E948CA"/>
    <w:rsid w:val="00E94AAB"/>
    <w:rsid w:val="00E952F1"/>
    <w:rsid w:val="00E955E9"/>
    <w:rsid w:val="00E959D1"/>
    <w:rsid w:val="00E9724C"/>
    <w:rsid w:val="00EA026C"/>
    <w:rsid w:val="00EA0742"/>
    <w:rsid w:val="00EA0A0F"/>
    <w:rsid w:val="00EA0AB0"/>
    <w:rsid w:val="00EA1908"/>
    <w:rsid w:val="00EA1978"/>
    <w:rsid w:val="00EA199E"/>
    <w:rsid w:val="00EA1C22"/>
    <w:rsid w:val="00EA2136"/>
    <w:rsid w:val="00EA2FBA"/>
    <w:rsid w:val="00EA3859"/>
    <w:rsid w:val="00EA3E4B"/>
    <w:rsid w:val="00EA3FB9"/>
    <w:rsid w:val="00EA4554"/>
    <w:rsid w:val="00EA4935"/>
    <w:rsid w:val="00EA4AD4"/>
    <w:rsid w:val="00EA579A"/>
    <w:rsid w:val="00EA676C"/>
    <w:rsid w:val="00EA714B"/>
    <w:rsid w:val="00EA7629"/>
    <w:rsid w:val="00EB02C7"/>
    <w:rsid w:val="00EB0661"/>
    <w:rsid w:val="00EB0CD6"/>
    <w:rsid w:val="00EB1648"/>
    <w:rsid w:val="00EB2103"/>
    <w:rsid w:val="00EB2201"/>
    <w:rsid w:val="00EB27EA"/>
    <w:rsid w:val="00EB28AE"/>
    <w:rsid w:val="00EB2BC9"/>
    <w:rsid w:val="00EB2D98"/>
    <w:rsid w:val="00EB37E8"/>
    <w:rsid w:val="00EB4B91"/>
    <w:rsid w:val="00EB4E17"/>
    <w:rsid w:val="00EB509B"/>
    <w:rsid w:val="00EB6174"/>
    <w:rsid w:val="00EB6822"/>
    <w:rsid w:val="00EB6E70"/>
    <w:rsid w:val="00EB6FDB"/>
    <w:rsid w:val="00EB7C98"/>
    <w:rsid w:val="00EB7CEA"/>
    <w:rsid w:val="00EB7F09"/>
    <w:rsid w:val="00EC0AD6"/>
    <w:rsid w:val="00EC1FA5"/>
    <w:rsid w:val="00EC2CE6"/>
    <w:rsid w:val="00EC5015"/>
    <w:rsid w:val="00EC609D"/>
    <w:rsid w:val="00EC626D"/>
    <w:rsid w:val="00EC6429"/>
    <w:rsid w:val="00EC6431"/>
    <w:rsid w:val="00EC689B"/>
    <w:rsid w:val="00EC7712"/>
    <w:rsid w:val="00EC7801"/>
    <w:rsid w:val="00EC7ACB"/>
    <w:rsid w:val="00ED0A77"/>
    <w:rsid w:val="00ED0BFE"/>
    <w:rsid w:val="00ED0C0F"/>
    <w:rsid w:val="00ED1147"/>
    <w:rsid w:val="00ED1193"/>
    <w:rsid w:val="00ED1488"/>
    <w:rsid w:val="00ED1664"/>
    <w:rsid w:val="00ED16AE"/>
    <w:rsid w:val="00ED198D"/>
    <w:rsid w:val="00ED24CD"/>
    <w:rsid w:val="00ED324C"/>
    <w:rsid w:val="00ED37F1"/>
    <w:rsid w:val="00ED3C96"/>
    <w:rsid w:val="00ED3CAF"/>
    <w:rsid w:val="00ED3CDB"/>
    <w:rsid w:val="00ED4662"/>
    <w:rsid w:val="00ED47A3"/>
    <w:rsid w:val="00ED5EE5"/>
    <w:rsid w:val="00ED6742"/>
    <w:rsid w:val="00ED6C14"/>
    <w:rsid w:val="00ED701B"/>
    <w:rsid w:val="00EE0A46"/>
    <w:rsid w:val="00EE16ED"/>
    <w:rsid w:val="00EE1FA1"/>
    <w:rsid w:val="00EE219C"/>
    <w:rsid w:val="00EE21DF"/>
    <w:rsid w:val="00EE23B6"/>
    <w:rsid w:val="00EE2645"/>
    <w:rsid w:val="00EE26F5"/>
    <w:rsid w:val="00EE2B4A"/>
    <w:rsid w:val="00EE3214"/>
    <w:rsid w:val="00EE3B2D"/>
    <w:rsid w:val="00EE42D9"/>
    <w:rsid w:val="00EE5711"/>
    <w:rsid w:val="00EE5913"/>
    <w:rsid w:val="00EE5D62"/>
    <w:rsid w:val="00EE6480"/>
    <w:rsid w:val="00EE6D1F"/>
    <w:rsid w:val="00EF0FBC"/>
    <w:rsid w:val="00EF151A"/>
    <w:rsid w:val="00EF27A2"/>
    <w:rsid w:val="00EF2A13"/>
    <w:rsid w:val="00EF3C51"/>
    <w:rsid w:val="00EF3DF1"/>
    <w:rsid w:val="00EF439F"/>
    <w:rsid w:val="00EF493D"/>
    <w:rsid w:val="00EF4B91"/>
    <w:rsid w:val="00EF5EAC"/>
    <w:rsid w:val="00EF5FD4"/>
    <w:rsid w:val="00EF61E9"/>
    <w:rsid w:val="00EF67A4"/>
    <w:rsid w:val="00EF77F1"/>
    <w:rsid w:val="00F008B4"/>
    <w:rsid w:val="00F009CF"/>
    <w:rsid w:val="00F00D61"/>
    <w:rsid w:val="00F01556"/>
    <w:rsid w:val="00F01890"/>
    <w:rsid w:val="00F018F5"/>
    <w:rsid w:val="00F01D90"/>
    <w:rsid w:val="00F0213B"/>
    <w:rsid w:val="00F021CC"/>
    <w:rsid w:val="00F02A78"/>
    <w:rsid w:val="00F02B09"/>
    <w:rsid w:val="00F02ED7"/>
    <w:rsid w:val="00F03018"/>
    <w:rsid w:val="00F0319E"/>
    <w:rsid w:val="00F04CD5"/>
    <w:rsid w:val="00F0590B"/>
    <w:rsid w:val="00F06D00"/>
    <w:rsid w:val="00F07A32"/>
    <w:rsid w:val="00F10E7E"/>
    <w:rsid w:val="00F118CD"/>
    <w:rsid w:val="00F11DE7"/>
    <w:rsid w:val="00F11F46"/>
    <w:rsid w:val="00F12410"/>
    <w:rsid w:val="00F12948"/>
    <w:rsid w:val="00F12BFF"/>
    <w:rsid w:val="00F13317"/>
    <w:rsid w:val="00F1378B"/>
    <w:rsid w:val="00F14456"/>
    <w:rsid w:val="00F1587E"/>
    <w:rsid w:val="00F15973"/>
    <w:rsid w:val="00F1604E"/>
    <w:rsid w:val="00F160AB"/>
    <w:rsid w:val="00F16527"/>
    <w:rsid w:val="00F16546"/>
    <w:rsid w:val="00F16957"/>
    <w:rsid w:val="00F1775D"/>
    <w:rsid w:val="00F17A0F"/>
    <w:rsid w:val="00F17D8E"/>
    <w:rsid w:val="00F2071B"/>
    <w:rsid w:val="00F209FE"/>
    <w:rsid w:val="00F20EDB"/>
    <w:rsid w:val="00F217A8"/>
    <w:rsid w:val="00F22450"/>
    <w:rsid w:val="00F224B6"/>
    <w:rsid w:val="00F22747"/>
    <w:rsid w:val="00F2294C"/>
    <w:rsid w:val="00F23018"/>
    <w:rsid w:val="00F23812"/>
    <w:rsid w:val="00F239A2"/>
    <w:rsid w:val="00F2491C"/>
    <w:rsid w:val="00F2504D"/>
    <w:rsid w:val="00F257E3"/>
    <w:rsid w:val="00F25EFC"/>
    <w:rsid w:val="00F26E02"/>
    <w:rsid w:val="00F2740D"/>
    <w:rsid w:val="00F303CC"/>
    <w:rsid w:val="00F30EB0"/>
    <w:rsid w:val="00F31B92"/>
    <w:rsid w:val="00F32488"/>
    <w:rsid w:val="00F326FC"/>
    <w:rsid w:val="00F3273A"/>
    <w:rsid w:val="00F32B50"/>
    <w:rsid w:val="00F33A97"/>
    <w:rsid w:val="00F3432A"/>
    <w:rsid w:val="00F35030"/>
    <w:rsid w:val="00F35C51"/>
    <w:rsid w:val="00F35FCD"/>
    <w:rsid w:val="00F3602D"/>
    <w:rsid w:val="00F3633F"/>
    <w:rsid w:val="00F37E65"/>
    <w:rsid w:val="00F37F8C"/>
    <w:rsid w:val="00F40153"/>
    <w:rsid w:val="00F406A5"/>
    <w:rsid w:val="00F409D6"/>
    <w:rsid w:val="00F40C4D"/>
    <w:rsid w:val="00F40F16"/>
    <w:rsid w:val="00F416DB"/>
    <w:rsid w:val="00F41D19"/>
    <w:rsid w:val="00F42A6F"/>
    <w:rsid w:val="00F4309A"/>
    <w:rsid w:val="00F43274"/>
    <w:rsid w:val="00F43E45"/>
    <w:rsid w:val="00F44732"/>
    <w:rsid w:val="00F44DDC"/>
    <w:rsid w:val="00F45238"/>
    <w:rsid w:val="00F4564C"/>
    <w:rsid w:val="00F45C5F"/>
    <w:rsid w:val="00F45D44"/>
    <w:rsid w:val="00F471F2"/>
    <w:rsid w:val="00F473F0"/>
    <w:rsid w:val="00F479AE"/>
    <w:rsid w:val="00F47ED3"/>
    <w:rsid w:val="00F5016C"/>
    <w:rsid w:val="00F50730"/>
    <w:rsid w:val="00F5092E"/>
    <w:rsid w:val="00F51D1A"/>
    <w:rsid w:val="00F53DC4"/>
    <w:rsid w:val="00F53E96"/>
    <w:rsid w:val="00F54035"/>
    <w:rsid w:val="00F5445F"/>
    <w:rsid w:val="00F54B48"/>
    <w:rsid w:val="00F550AD"/>
    <w:rsid w:val="00F55DCC"/>
    <w:rsid w:val="00F55E11"/>
    <w:rsid w:val="00F5615F"/>
    <w:rsid w:val="00F56AF6"/>
    <w:rsid w:val="00F57314"/>
    <w:rsid w:val="00F57EAA"/>
    <w:rsid w:val="00F606EC"/>
    <w:rsid w:val="00F60D61"/>
    <w:rsid w:val="00F61C21"/>
    <w:rsid w:val="00F620E0"/>
    <w:rsid w:val="00F637F0"/>
    <w:rsid w:val="00F63BB3"/>
    <w:rsid w:val="00F63EC2"/>
    <w:rsid w:val="00F642B0"/>
    <w:rsid w:val="00F644A5"/>
    <w:rsid w:val="00F64541"/>
    <w:rsid w:val="00F65373"/>
    <w:rsid w:val="00F6594D"/>
    <w:rsid w:val="00F661EB"/>
    <w:rsid w:val="00F66CCC"/>
    <w:rsid w:val="00F6717B"/>
    <w:rsid w:val="00F6720C"/>
    <w:rsid w:val="00F67E67"/>
    <w:rsid w:val="00F70109"/>
    <w:rsid w:val="00F72128"/>
    <w:rsid w:val="00F732CF"/>
    <w:rsid w:val="00F73813"/>
    <w:rsid w:val="00F7386A"/>
    <w:rsid w:val="00F73D7B"/>
    <w:rsid w:val="00F7412E"/>
    <w:rsid w:val="00F7485B"/>
    <w:rsid w:val="00F74895"/>
    <w:rsid w:val="00F74AC1"/>
    <w:rsid w:val="00F74CEC"/>
    <w:rsid w:val="00F75307"/>
    <w:rsid w:val="00F757A1"/>
    <w:rsid w:val="00F75C2A"/>
    <w:rsid w:val="00F75EB0"/>
    <w:rsid w:val="00F7605E"/>
    <w:rsid w:val="00F7694D"/>
    <w:rsid w:val="00F773AA"/>
    <w:rsid w:val="00F775A3"/>
    <w:rsid w:val="00F77F9D"/>
    <w:rsid w:val="00F80140"/>
    <w:rsid w:val="00F8050D"/>
    <w:rsid w:val="00F8082E"/>
    <w:rsid w:val="00F809EB"/>
    <w:rsid w:val="00F80CEC"/>
    <w:rsid w:val="00F80FAB"/>
    <w:rsid w:val="00F8137B"/>
    <w:rsid w:val="00F815A4"/>
    <w:rsid w:val="00F8163D"/>
    <w:rsid w:val="00F82BB4"/>
    <w:rsid w:val="00F82EF4"/>
    <w:rsid w:val="00F83151"/>
    <w:rsid w:val="00F832B7"/>
    <w:rsid w:val="00F8374D"/>
    <w:rsid w:val="00F84AB2"/>
    <w:rsid w:val="00F84EF6"/>
    <w:rsid w:val="00F859ED"/>
    <w:rsid w:val="00F86462"/>
    <w:rsid w:val="00F871A7"/>
    <w:rsid w:val="00F9001A"/>
    <w:rsid w:val="00F91277"/>
    <w:rsid w:val="00F9142B"/>
    <w:rsid w:val="00F914D1"/>
    <w:rsid w:val="00F916C5"/>
    <w:rsid w:val="00F918FC"/>
    <w:rsid w:val="00F91FF5"/>
    <w:rsid w:val="00F9204F"/>
    <w:rsid w:val="00F92216"/>
    <w:rsid w:val="00F9245E"/>
    <w:rsid w:val="00F9273C"/>
    <w:rsid w:val="00F92A76"/>
    <w:rsid w:val="00F92F21"/>
    <w:rsid w:val="00F9330A"/>
    <w:rsid w:val="00F938D3"/>
    <w:rsid w:val="00F939D0"/>
    <w:rsid w:val="00F94370"/>
    <w:rsid w:val="00F94CB3"/>
    <w:rsid w:val="00F9592A"/>
    <w:rsid w:val="00F95BC2"/>
    <w:rsid w:val="00F95C8E"/>
    <w:rsid w:val="00F9609E"/>
    <w:rsid w:val="00F9684B"/>
    <w:rsid w:val="00F970B4"/>
    <w:rsid w:val="00F973BE"/>
    <w:rsid w:val="00F97924"/>
    <w:rsid w:val="00F97952"/>
    <w:rsid w:val="00F97E95"/>
    <w:rsid w:val="00F97F8B"/>
    <w:rsid w:val="00FA0612"/>
    <w:rsid w:val="00FA0908"/>
    <w:rsid w:val="00FA1C21"/>
    <w:rsid w:val="00FA22BA"/>
    <w:rsid w:val="00FA2C1A"/>
    <w:rsid w:val="00FA2EC1"/>
    <w:rsid w:val="00FA2EE0"/>
    <w:rsid w:val="00FA318D"/>
    <w:rsid w:val="00FA31F0"/>
    <w:rsid w:val="00FA32F1"/>
    <w:rsid w:val="00FA3965"/>
    <w:rsid w:val="00FA3C02"/>
    <w:rsid w:val="00FA4048"/>
    <w:rsid w:val="00FA4078"/>
    <w:rsid w:val="00FA49E6"/>
    <w:rsid w:val="00FA532F"/>
    <w:rsid w:val="00FA6028"/>
    <w:rsid w:val="00FA7245"/>
    <w:rsid w:val="00FA7E6F"/>
    <w:rsid w:val="00FA7E9F"/>
    <w:rsid w:val="00FB007A"/>
    <w:rsid w:val="00FB0A4A"/>
    <w:rsid w:val="00FB12A7"/>
    <w:rsid w:val="00FB1E3A"/>
    <w:rsid w:val="00FB25E5"/>
    <w:rsid w:val="00FB28CF"/>
    <w:rsid w:val="00FB2C09"/>
    <w:rsid w:val="00FB2E4A"/>
    <w:rsid w:val="00FB3176"/>
    <w:rsid w:val="00FB349B"/>
    <w:rsid w:val="00FB3759"/>
    <w:rsid w:val="00FB3B10"/>
    <w:rsid w:val="00FB3B65"/>
    <w:rsid w:val="00FB417E"/>
    <w:rsid w:val="00FB548F"/>
    <w:rsid w:val="00FB55EB"/>
    <w:rsid w:val="00FB5727"/>
    <w:rsid w:val="00FB587B"/>
    <w:rsid w:val="00FB625B"/>
    <w:rsid w:val="00FB640C"/>
    <w:rsid w:val="00FB66EC"/>
    <w:rsid w:val="00FC030D"/>
    <w:rsid w:val="00FC07AB"/>
    <w:rsid w:val="00FC0D25"/>
    <w:rsid w:val="00FC15DA"/>
    <w:rsid w:val="00FC1A3D"/>
    <w:rsid w:val="00FC1D4F"/>
    <w:rsid w:val="00FC2169"/>
    <w:rsid w:val="00FC2197"/>
    <w:rsid w:val="00FC254C"/>
    <w:rsid w:val="00FC318C"/>
    <w:rsid w:val="00FC3906"/>
    <w:rsid w:val="00FC4A68"/>
    <w:rsid w:val="00FC4D51"/>
    <w:rsid w:val="00FC56AC"/>
    <w:rsid w:val="00FC598F"/>
    <w:rsid w:val="00FC69E8"/>
    <w:rsid w:val="00FC7C32"/>
    <w:rsid w:val="00FC7E5C"/>
    <w:rsid w:val="00FD0744"/>
    <w:rsid w:val="00FD390C"/>
    <w:rsid w:val="00FD3CF3"/>
    <w:rsid w:val="00FD4849"/>
    <w:rsid w:val="00FD4924"/>
    <w:rsid w:val="00FD51D3"/>
    <w:rsid w:val="00FD54DB"/>
    <w:rsid w:val="00FD5A8F"/>
    <w:rsid w:val="00FD7181"/>
    <w:rsid w:val="00FD74BB"/>
    <w:rsid w:val="00FD796D"/>
    <w:rsid w:val="00FD7AB8"/>
    <w:rsid w:val="00FD7FC0"/>
    <w:rsid w:val="00FE0240"/>
    <w:rsid w:val="00FE0358"/>
    <w:rsid w:val="00FE0F3A"/>
    <w:rsid w:val="00FE151F"/>
    <w:rsid w:val="00FE1935"/>
    <w:rsid w:val="00FE1AF7"/>
    <w:rsid w:val="00FE1BAC"/>
    <w:rsid w:val="00FE2070"/>
    <w:rsid w:val="00FE2410"/>
    <w:rsid w:val="00FE2439"/>
    <w:rsid w:val="00FE2E71"/>
    <w:rsid w:val="00FE33EA"/>
    <w:rsid w:val="00FE3C09"/>
    <w:rsid w:val="00FE411E"/>
    <w:rsid w:val="00FE4831"/>
    <w:rsid w:val="00FE542E"/>
    <w:rsid w:val="00FE5B54"/>
    <w:rsid w:val="00FE5F86"/>
    <w:rsid w:val="00FE63B5"/>
    <w:rsid w:val="00FE74AF"/>
    <w:rsid w:val="00FE7695"/>
    <w:rsid w:val="00FF0A93"/>
    <w:rsid w:val="00FF17B4"/>
    <w:rsid w:val="00FF1AF5"/>
    <w:rsid w:val="00FF1BA6"/>
    <w:rsid w:val="00FF27DC"/>
    <w:rsid w:val="00FF3288"/>
    <w:rsid w:val="00FF3488"/>
    <w:rsid w:val="00FF3EA8"/>
    <w:rsid w:val="00FF4057"/>
    <w:rsid w:val="00FF4728"/>
    <w:rsid w:val="00FF49CC"/>
    <w:rsid w:val="00FF5063"/>
    <w:rsid w:val="00FF5A51"/>
    <w:rsid w:val="00FF68AB"/>
    <w:rsid w:val="00FF6B8A"/>
    <w:rsid w:val="00FF729C"/>
    <w:rsid w:val="00FF7B83"/>
    <w:rsid w:val="00FF7EE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3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C08CD"/>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rPr>
  </w:style>
  <w:style w:type="paragraph" w:styleId="Heading2">
    <w:name w:val="heading 2"/>
    <w:basedOn w:val="Normal"/>
    <w:next w:val="Paragraph"/>
    <w:link w:val="Heading2Char"/>
    <w:qFormat/>
    <w:rsid w:val="00D6471A"/>
    <w:pPr>
      <w:keepNext/>
      <w:spacing w:before="360" w:after="60" w:line="360" w:lineRule="auto"/>
      <w:ind w:right="567"/>
      <w:contextualSpacing/>
      <w:outlineLvl w:val="1"/>
    </w:pPr>
    <w:rPr>
      <w:rFonts w:ascii="Times New Roman" w:eastAsia="Times New Roman" w:hAnsi="Times New Roman" w:cs="Arial"/>
      <w:b/>
      <w:bCs/>
      <w:i/>
      <w:iCs/>
      <w:sz w:val="24"/>
      <w:szCs w:val="28"/>
      <w:lang w:val="en-GB" w:eastAsia="en-GB"/>
    </w:rPr>
  </w:style>
  <w:style w:type="paragraph" w:styleId="Heading3">
    <w:name w:val="heading 3"/>
    <w:basedOn w:val="Normal"/>
    <w:next w:val="Paragraph"/>
    <w:link w:val="Heading3Char"/>
    <w:qFormat/>
    <w:rsid w:val="00113B5A"/>
    <w:pPr>
      <w:keepNext/>
      <w:spacing w:before="360" w:after="60" w:line="360" w:lineRule="auto"/>
      <w:ind w:right="567"/>
      <w:contextualSpacing/>
      <w:outlineLvl w:val="2"/>
    </w:pPr>
    <w:rPr>
      <w:rFonts w:ascii="Times New Roman" w:eastAsia="Times New Roman" w:hAnsi="Times New Roman" w:cs="Arial"/>
      <w:bCs/>
      <w:i/>
      <w:sz w:val="24"/>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81B"/>
    <w:pPr>
      <w:spacing w:after="160" w:line="259" w:lineRule="auto"/>
      <w:ind w:left="720"/>
      <w:contextualSpacing/>
    </w:pPr>
  </w:style>
  <w:style w:type="character" w:styleId="Emphasis">
    <w:name w:val="Emphasis"/>
    <w:basedOn w:val="DefaultParagraphFont"/>
    <w:uiPriority w:val="20"/>
    <w:qFormat/>
    <w:rsid w:val="00A10B0A"/>
    <w:rPr>
      <w:i/>
      <w:iCs/>
    </w:rPr>
  </w:style>
  <w:style w:type="table" w:styleId="TableGrid">
    <w:name w:val="Table Grid"/>
    <w:basedOn w:val="TableNormal"/>
    <w:uiPriority w:val="59"/>
    <w:rsid w:val="00F1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29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29E8"/>
  </w:style>
  <w:style w:type="paragraph" w:styleId="Footer">
    <w:name w:val="footer"/>
    <w:basedOn w:val="Normal"/>
    <w:link w:val="FooterChar"/>
    <w:uiPriority w:val="99"/>
    <w:unhideWhenUsed/>
    <w:rsid w:val="008B29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29E8"/>
  </w:style>
  <w:style w:type="paragraph" w:styleId="BalloonText">
    <w:name w:val="Balloon Text"/>
    <w:basedOn w:val="Normal"/>
    <w:link w:val="BalloonTextChar"/>
    <w:uiPriority w:val="99"/>
    <w:semiHidden/>
    <w:unhideWhenUsed/>
    <w:rsid w:val="00606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967"/>
    <w:rPr>
      <w:rFonts w:ascii="Segoe UI" w:hAnsi="Segoe UI" w:cs="Segoe UI"/>
      <w:sz w:val="18"/>
      <w:szCs w:val="18"/>
    </w:rPr>
  </w:style>
  <w:style w:type="character" w:styleId="CommentReference">
    <w:name w:val="annotation reference"/>
    <w:basedOn w:val="DefaultParagraphFont"/>
    <w:uiPriority w:val="99"/>
    <w:semiHidden/>
    <w:unhideWhenUsed/>
    <w:rsid w:val="00303431"/>
    <w:rPr>
      <w:sz w:val="16"/>
      <w:szCs w:val="16"/>
    </w:rPr>
  </w:style>
  <w:style w:type="paragraph" w:styleId="CommentText">
    <w:name w:val="annotation text"/>
    <w:basedOn w:val="Normal"/>
    <w:link w:val="CommentTextChar"/>
    <w:uiPriority w:val="99"/>
    <w:semiHidden/>
    <w:unhideWhenUsed/>
    <w:rsid w:val="00303431"/>
    <w:pPr>
      <w:spacing w:line="240" w:lineRule="auto"/>
    </w:pPr>
    <w:rPr>
      <w:sz w:val="20"/>
      <w:szCs w:val="20"/>
    </w:rPr>
  </w:style>
  <w:style w:type="character" w:customStyle="1" w:styleId="CommentTextChar">
    <w:name w:val="Comment Text Char"/>
    <w:basedOn w:val="DefaultParagraphFont"/>
    <w:link w:val="CommentText"/>
    <w:uiPriority w:val="99"/>
    <w:semiHidden/>
    <w:rsid w:val="00303431"/>
    <w:rPr>
      <w:sz w:val="20"/>
      <w:szCs w:val="20"/>
    </w:rPr>
  </w:style>
  <w:style w:type="paragraph" w:styleId="CommentSubject">
    <w:name w:val="annotation subject"/>
    <w:basedOn w:val="CommentText"/>
    <w:next w:val="CommentText"/>
    <w:link w:val="CommentSubjectChar"/>
    <w:uiPriority w:val="99"/>
    <w:semiHidden/>
    <w:unhideWhenUsed/>
    <w:rsid w:val="00303431"/>
    <w:rPr>
      <w:b/>
      <w:bCs/>
    </w:rPr>
  </w:style>
  <w:style w:type="character" w:customStyle="1" w:styleId="CommentSubjectChar">
    <w:name w:val="Comment Subject Char"/>
    <w:basedOn w:val="CommentTextChar"/>
    <w:link w:val="CommentSubject"/>
    <w:uiPriority w:val="99"/>
    <w:semiHidden/>
    <w:rsid w:val="00303431"/>
    <w:rPr>
      <w:b/>
      <w:bCs/>
      <w:sz w:val="20"/>
      <w:szCs w:val="20"/>
    </w:rPr>
  </w:style>
  <w:style w:type="paragraph" w:styleId="Revision">
    <w:name w:val="Revision"/>
    <w:hidden/>
    <w:uiPriority w:val="99"/>
    <w:semiHidden/>
    <w:rsid w:val="00EF67A4"/>
    <w:pPr>
      <w:spacing w:after="0" w:line="240" w:lineRule="auto"/>
    </w:pPr>
  </w:style>
  <w:style w:type="character" w:styleId="Hyperlink">
    <w:name w:val="Hyperlink"/>
    <w:basedOn w:val="DefaultParagraphFont"/>
    <w:uiPriority w:val="99"/>
    <w:unhideWhenUsed/>
    <w:rsid w:val="004C05AD"/>
    <w:rPr>
      <w:color w:val="0000FF" w:themeColor="hyperlink"/>
      <w:u w:val="single"/>
    </w:rPr>
  </w:style>
  <w:style w:type="paragraph" w:styleId="FootnoteText">
    <w:name w:val="footnote text"/>
    <w:basedOn w:val="Normal"/>
    <w:link w:val="FootnoteTextChar"/>
    <w:uiPriority w:val="99"/>
    <w:semiHidden/>
    <w:unhideWhenUsed/>
    <w:rsid w:val="002524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4C5"/>
    <w:rPr>
      <w:sz w:val="20"/>
      <w:szCs w:val="20"/>
    </w:rPr>
  </w:style>
  <w:style w:type="character" w:styleId="FootnoteReference">
    <w:name w:val="footnote reference"/>
    <w:basedOn w:val="DefaultParagraphFont"/>
    <w:uiPriority w:val="99"/>
    <w:semiHidden/>
    <w:unhideWhenUsed/>
    <w:rsid w:val="002524C5"/>
    <w:rPr>
      <w:vertAlign w:val="superscript"/>
    </w:rPr>
  </w:style>
  <w:style w:type="paragraph" w:customStyle="1" w:styleId="Articletitle">
    <w:name w:val="Article title"/>
    <w:basedOn w:val="Normal"/>
    <w:next w:val="Normal"/>
    <w:qFormat/>
    <w:rsid w:val="0012527E"/>
    <w:pPr>
      <w:spacing w:after="120" w:line="360" w:lineRule="auto"/>
    </w:pPr>
    <w:rPr>
      <w:rFonts w:ascii="Times New Roman" w:eastAsia="Times New Roman" w:hAnsi="Times New Roman" w:cs="Times New Roman"/>
      <w:b/>
      <w:sz w:val="28"/>
      <w:szCs w:val="24"/>
      <w:lang w:val="en-GB" w:eastAsia="en-GB"/>
    </w:rPr>
  </w:style>
  <w:style w:type="paragraph" w:customStyle="1" w:styleId="Abstract">
    <w:name w:val="Abstract"/>
    <w:basedOn w:val="Normal"/>
    <w:next w:val="Normal"/>
    <w:qFormat/>
    <w:rsid w:val="0012527E"/>
    <w:pPr>
      <w:spacing w:before="360" w:after="300" w:line="360" w:lineRule="auto"/>
      <w:ind w:left="720" w:right="567"/>
    </w:pPr>
    <w:rPr>
      <w:rFonts w:ascii="Times New Roman" w:eastAsia="Times New Roman" w:hAnsi="Times New Roman" w:cs="Times New Roman"/>
      <w:szCs w:val="24"/>
      <w:lang w:val="en-GB" w:eastAsia="en-GB"/>
    </w:rPr>
  </w:style>
  <w:style w:type="paragraph" w:customStyle="1" w:styleId="Keywords">
    <w:name w:val="Keywords"/>
    <w:basedOn w:val="Normal"/>
    <w:next w:val="Normal"/>
    <w:qFormat/>
    <w:rsid w:val="0012527E"/>
    <w:pPr>
      <w:spacing w:before="240" w:after="240" w:line="360" w:lineRule="auto"/>
      <w:ind w:left="720" w:right="567"/>
    </w:pPr>
    <w:rPr>
      <w:rFonts w:ascii="Times New Roman" w:eastAsia="Times New Roman" w:hAnsi="Times New Roman" w:cs="Times New Roman"/>
      <w:szCs w:val="24"/>
      <w:lang w:val="en-GB" w:eastAsia="en-GB"/>
    </w:rPr>
  </w:style>
  <w:style w:type="character" w:customStyle="1" w:styleId="Heading1Char">
    <w:name w:val="Heading 1 Char"/>
    <w:basedOn w:val="DefaultParagraphFont"/>
    <w:link w:val="Heading1"/>
    <w:rsid w:val="004C08CD"/>
    <w:rPr>
      <w:rFonts w:ascii="Times New Roman" w:eastAsia="Times New Roman" w:hAnsi="Times New Roman" w:cs="Arial"/>
      <w:b/>
      <w:bCs/>
      <w:kern w:val="32"/>
      <w:sz w:val="24"/>
      <w:szCs w:val="32"/>
      <w:lang w:val="en-GB" w:eastAsia="en-GB"/>
    </w:rPr>
  </w:style>
  <w:style w:type="paragraph" w:customStyle="1" w:styleId="Paragraph">
    <w:name w:val="Paragraph"/>
    <w:basedOn w:val="Normal"/>
    <w:next w:val="Normal"/>
    <w:qFormat/>
    <w:rsid w:val="004C08CD"/>
    <w:pPr>
      <w:widowControl w:val="0"/>
      <w:spacing w:before="240" w:after="0" w:line="480" w:lineRule="auto"/>
    </w:pPr>
    <w:rPr>
      <w:rFonts w:ascii="Times New Roman" w:eastAsia="Times New Roman" w:hAnsi="Times New Roman" w:cs="Times New Roman"/>
      <w:sz w:val="24"/>
      <w:szCs w:val="24"/>
      <w:lang w:val="en-GB" w:eastAsia="en-GB"/>
    </w:rPr>
  </w:style>
  <w:style w:type="paragraph" w:customStyle="1" w:styleId="Newparagraph">
    <w:name w:val="New paragraph"/>
    <w:basedOn w:val="Normal"/>
    <w:qFormat/>
    <w:rsid w:val="004C08CD"/>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rsid w:val="00D6471A"/>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rsid w:val="00113B5A"/>
    <w:rPr>
      <w:rFonts w:ascii="Times New Roman" w:eastAsia="Times New Roman" w:hAnsi="Times New Roman" w:cs="Arial"/>
      <w:bCs/>
      <w:i/>
      <w:sz w:val="24"/>
      <w:szCs w:val="26"/>
      <w:lang w:val="en-GB" w:eastAsia="en-GB"/>
    </w:rPr>
  </w:style>
  <w:style w:type="paragraph" w:customStyle="1" w:styleId="Authornames">
    <w:name w:val="Author names"/>
    <w:basedOn w:val="Normal"/>
    <w:next w:val="Normal"/>
    <w:qFormat/>
    <w:rsid w:val="00405025"/>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405025"/>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405025"/>
    <w:pPr>
      <w:spacing w:before="240" w:after="0" w:line="36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0753">
      <w:bodyDiv w:val="1"/>
      <w:marLeft w:val="0"/>
      <w:marRight w:val="0"/>
      <w:marTop w:val="0"/>
      <w:marBottom w:val="0"/>
      <w:divBdr>
        <w:top w:val="none" w:sz="0" w:space="0" w:color="auto"/>
        <w:left w:val="none" w:sz="0" w:space="0" w:color="auto"/>
        <w:bottom w:val="none" w:sz="0" w:space="0" w:color="auto"/>
        <w:right w:val="none" w:sz="0" w:space="0" w:color="auto"/>
      </w:divBdr>
    </w:div>
    <w:div w:id="90198210">
      <w:bodyDiv w:val="1"/>
      <w:marLeft w:val="0"/>
      <w:marRight w:val="0"/>
      <w:marTop w:val="0"/>
      <w:marBottom w:val="0"/>
      <w:divBdr>
        <w:top w:val="none" w:sz="0" w:space="0" w:color="auto"/>
        <w:left w:val="none" w:sz="0" w:space="0" w:color="auto"/>
        <w:bottom w:val="none" w:sz="0" w:space="0" w:color="auto"/>
        <w:right w:val="none" w:sz="0" w:space="0" w:color="auto"/>
      </w:divBdr>
    </w:div>
    <w:div w:id="333842818">
      <w:bodyDiv w:val="1"/>
      <w:marLeft w:val="0"/>
      <w:marRight w:val="0"/>
      <w:marTop w:val="0"/>
      <w:marBottom w:val="0"/>
      <w:divBdr>
        <w:top w:val="none" w:sz="0" w:space="0" w:color="auto"/>
        <w:left w:val="none" w:sz="0" w:space="0" w:color="auto"/>
        <w:bottom w:val="none" w:sz="0" w:space="0" w:color="auto"/>
        <w:right w:val="none" w:sz="0" w:space="0" w:color="auto"/>
      </w:divBdr>
    </w:div>
    <w:div w:id="366294469">
      <w:bodyDiv w:val="1"/>
      <w:marLeft w:val="0"/>
      <w:marRight w:val="0"/>
      <w:marTop w:val="0"/>
      <w:marBottom w:val="0"/>
      <w:divBdr>
        <w:top w:val="none" w:sz="0" w:space="0" w:color="auto"/>
        <w:left w:val="none" w:sz="0" w:space="0" w:color="auto"/>
        <w:bottom w:val="none" w:sz="0" w:space="0" w:color="auto"/>
        <w:right w:val="none" w:sz="0" w:space="0" w:color="auto"/>
      </w:divBdr>
    </w:div>
    <w:div w:id="427584798">
      <w:bodyDiv w:val="1"/>
      <w:marLeft w:val="0"/>
      <w:marRight w:val="0"/>
      <w:marTop w:val="0"/>
      <w:marBottom w:val="0"/>
      <w:divBdr>
        <w:top w:val="none" w:sz="0" w:space="0" w:color="auto"/>
        <w:left w:val="none" w:sz="0" w:space="0" w:color="auto"/>
        <w:bottom w:val="none" w:sz="0" w:space="0" w:color="auto"/>
        <w:right w:val="none" w:sz="0" w:space="0" w:color="auto"/>
      </w:divBdr>
    </w:div>
    <w:div w:id="452333840">
      <w:bodyDiv w:val="1"/>
      <w:marLeft w:val="0"/>
      <w:marRight w:val="0"/>
      <w:marTop w:val="0"/>
      <w:marBottom w:val="0"/>
      <w:divBdr>
        <w:top w:val="none" w:sz="0" w:space="0" w:color="auto"/>
        <w:left w:val="none" w:sz="0" w:space="0" w:color="auto"/>
        <w:bottom w:val="none" w:sz="0" w:space="0" w:color="auto"/>
        <w:right w:val="none" w:sz="0" w:space="0" w:color="auto"/>
      </w:divBdr>
    </w:div>
    <w:div w:id="527597081">
      <w:bodyDiv w:val="1"/>
      <w:marLeft w:val="0"/>
      <w:marRight w:val="0"/>
      <w:marTop w:val="0"/>
      <w:marBottom w:val="0"/>
      <w:divBdr>
        <w:top w:val="none" w:sz="0" w:space="0" w:color="auto"/>
        <w:left w:val="none" w:sz="0" w:space="0" w:color="auto"/>
        <w:bottom w:val="none" w:sz="0" w:space="0" w:color="auto"/>
        <w:right w:val="none" w:sz="0" w:space="0" w:color="auto"/>
      </w:divBdr>
    </w:div>
    <w:div w:id="557546251">
      <w:bodyDiv w:val="1"/>
      <w:marLeft w:val="0"/>
      <w:marRight w:val="0"/>
      <w:marTop w:val="0"/>
      <w:marBottom w:val="0"/>
      <w:divBdr>
        <w:top w:val="none" w:sz="0" w:space="0" w:color="auto"/>
        <w:left w:val="none" w:sz="0" w:space="0" w:color="auto"/>
        <w:bottom w:val="none" w:sz="0" w:space="0" w:color="auto"/>
        <w:right w:val="none" w:sz="0" w:space="0" w:color="auto"/>
      </w:divBdr>
      <w:divsChild>
        <w:div w:id="1679580941">
          <w:marLeft w:val="0"/>
          <w:marRight w:val="0"/>
          <w:marTop w:val="0"/>
          <w:marBottom w:val="0"/>
          <w:divBdr>
            <w:top w:val="none" w:sz="0" w:space="0" w:color="auto"/>
            <w:left w:val="none" w:sz="0" w:space="0" w:color="auto"/>
            <w:bottom w:val="none" w:sz="0" w:space="0" w:color="auto"/>
            <w:right w:val="none" w:sz="0" w:space="0" w:color="auto"/>
          </w:divBdr>
          <w:divsChild>
            <w:div w:id="1894779056">
              <w:marLeft w:val="0"/>
              <w:marRight w:val="0"/>
              <w:marTop w:val="0"/>
              <w:marBottom w:val="0"/>
              <w:divBdr>
                <w:top w:val="none" w:sz="0" w:space="0" w:color="auto"/>
                <w:left w:val="none" w:sz="0" w:space="0" w:color="auto"/>
                <w:bottom w:val="none" w:sz="0" w:space="0" w:color="auto"/>
                <w:right w:val="none" w:sz="0" w:space="0" w:color="auto"/>
              </w:divBdr>
              <w:divsChild>
                <w:div w:id="1610430447">
                  <w:marLeft w:val="0"/>
                  <w:marRight w:val="0"/>
                  <w:marTop w:val="0"/>
                  <w:marBottom w:val="0"/>
                  <w:divBdr>
                    <w:top w:val="none" w:sz="0" w:space="0" w:color="auto"/>
                    <w:left w:val="none" w:sz="0" w:space="0" w:color="auto"/>
                    <w:bottom w:val="none" w:sz="0" w:space="0" w:color="auto"/>
                    <w:right w:val="none" w:sz="0" w:space="0" w:color="auto"/>
                  </w:divBdr>
                  <w:divsChild>
                    <w:div w:id="641155149">
                      <w:marLeft w:val="0"/>
                      <w:marRight w:val="0"/>
                      <w:marTop w:val="0"/>
                      <w:marBottom w:val="0"/>
                      <w:divBdr>
                        <w:top w:val="none" w:sz="0" w:space="0" w:color="auto"/>
                        <w:left w:val="none" w:sz="0" w:space="0" w:color="auto"/>
                        <w:bottom w:val="none" w:sz="0" w:space="0" w:color="auto"/>
                        <w:right w:val="none" w:sz="0" w:space="0" w:color="auto"/>
                      </w:divBdr>
                      <w:divsChild>
                        <w:div w:id="1460146024">
                          <w:marLeft w:val="0"/>
                          <w:marRight w:val="0"/>
                          <w:marTop w:val="0"/>
                          <w:marBottom w:val="0"/>
                          <w:divBdr>
                            <w:top w:val="none" w:sz="0" w:space="0" w:color="auto"/>
                            <w:left w:val="none" w:sz="0" w:space="0" w:color="auto"/>
                            <w:bottom w:val="none" w:sz="0" w:space="0" w:color="auto"/>
                            <w:right w:val="none" w:sz="0" w:space="0" w:color="auto"/>
                          </w:divBdr>
                          <w:divsChild>
                            <w:div w:id="1881940203">
                              <w:marLeft w:val="0"/>
                              <w:marRight w:val="0"/>
                              <w:marTop w:val="0"/>
                              <w:marBottom w:val="0"/>
                              <w:divBdr>
                                <w:top w:val="none" w:sz="0" w:space="0" w:color="auto"/>
                                <w:left w:val="none" w:sz="0" w:space="0" w:color="auto"/>
                                <w:bottom w:val="none" w:sz="0" w:space="0" w:color="auto"/>
                                <w:right w:val="none" w:sz="0" w:space="0" w:color="auto"/>
                              </w:divBdr>
                              <w:divsChild>
                                <w:div w:id="269968230">
                                  <w:marLeft w:val="0"/>
                                  <w:marRight w:val="0"/>
                                  <w:marTop w:val="0"/>
                                  <w:marBottom w:val="0"/>
                                  <w:divBdr>
                                    <w:top w:val="none" w:sz="0" w:space="0" w:color="auto"/>
                                    <w:left w:val="none" w:sz="0" w:space="0" w:color="auto"/>
                                    <w:bottom w:val="none" w:sz="0" w:space="0" w:color="auto"/>
                                    <w:right w:val="none" w:sz="0" w:space="0" w:color="auto"/>
                                  </w:divBdr>
                                  <w:divsChild>
                                    <w:div w:id="19752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97856">
          <w:marLeft w:val="-225"/>
          <w:marRight w:val="-225"/>
          <w:marTop w:val="0"/>
          <w:marBottom w:val="0"/>
          <w:divBdr>
            <w:top w:val="none" w:sz="0" w:space="0" w:color="auto"/>
            <w:left w:val="none" w:sz="0" w:space="0" w:color="auto"/>
            <w:bottom w:val="none" w:sz="0" w:space="0" w:color="auto"/>
            <w:right w:val="none" w:sz="0" w:space="0" w:color="auto"/>
          </w:divBdr>
          <w:divsChild>
            <w:div w:id="502168985">
              <w:marLeft w:val="0"/>
              <w:marRight w:val="0"/>
              <w:marTop w:val="0"/>
              <w:marBottom w:val="0"/>
              <w:divBdr>
                <w:top w:val="none" w:sz="0" w:space="0" w:color="auto"/>
                <w:left w:val="none" w:sz="0" w:space="0" w:color="auto"/>
                <w:bottom w:val="none" w:sz="0" w:space="0" w:color="auto"/>
                <w:right w:val="none" w:sz="0" w:space="0" w:color="auto"/>
              </w:divBdr>
              <w:divsChild>
                <w:div w:id="537470746">
                  <w:marLeft w:val="0"/>
                  <w:marRight w:val="0"/>
                  <w:marTop w:val="0"/>
                  <w:marBottom w:val="0"/>
                  <w:divBdr>
                    <w:top w:val="none" w:sz="0" w:space="0" w:color="auto"/>
                    <w:left w:val="none" w:sz="0" w:space="0" w:color="auto"/>
                    <w:bottom w:val="none" w:sz="0" w:space="0" w:color="auto"/>
                    <w:right w:val="none" w:sz="0" w:space="0" w:color="auto"/>
                  </w:divBdr>
                  <w:divsChild>
                    <w:div w:id="1336148549">
                      <w:marLeft w:val="0"/>
                      <w:marRight w:val="0"/>
                      <w:marTop w:val="0"/>
                      <w:marBottom w:val="0"/>
                      <w:divBdr>
                        <w:top w:val="none" w:sz="0" w:space="0" w:color="auto"/>
                        <w:left w:val="none" w:sz="0" w:space="0" w:color="auto"/>
                        <w:bottom w:val="none" w:sz="0" w:space="0" w:color="auto"/>
                        <w:right w:val="none" w:sz="0" w:space="0" w:color="auto"/>
                      </w:divBdr>
                      <w:divsChild>
                        <w:div w:id="265315100">
                          <w:marLeft w:val="0"/>
                          <w:marRight w:val="0"/>
                          <w:marTop w:val="0"/>
                          <w:marBottom w:val="0"/>
                          <w:divBdr>
                            <w:top w:val="none" w:sz="0" w:space="0" w:color="auto"/>
                            <w:left w:val="none" w:sz="0" w:space="0" w:color="auto"/>
                            <w:bottom w:val="none" w:sz="0" w:space="0" w:color="auto"/>
                            <w:right w:val="none" w:sz="0" w:space="0" w:color="auto"/>
                          </w:divBdr>
                          <w:divsChild>
                            <w:div w:id="1769933972">
                              <w:marLeft w:val="0"/>
                              <w:marRight w:val="0"/>
                              <w:marTop w:val="0"/>
                              <w:marBottom w:val="0"/>
                              <w:divBdr>
                                <w:top w:val="none" w:sz="0" w:space="0" w:color="auto"/>
                                <w:left w:val="none" w:sz="0" w:space="0" w:color="auto"/>
                                <w:bottom w:val="none" w:sz="0" w:space="0" w:color="auto"/>
                                <w:right w:val="none" w:sz="0" w:space="0" w:color="auto"/>
                              </w:divBdr>
                              <w:divsChild>
                                <w:div w:id="1759598441">
                                  <w:marLeft w:val="0"/>
                                  <w:marRight w:val="0"/>
                                  <w:marTop w:val="0"/>
                                  <w:marBottom w:val="0"/>
                                  <w:divBdr>
                                    <w:top w:val="none" w:sz="0" w:space="0" w:color="auto"/>
                                    <w:left w:val="none" w:sz="0" w:space="0" w:color="auto"/>
                                    <w:bottom w:val="none" w:sz="0" w:space="0" w:color="auto"/>
                                    <w:right w:val="none" w:sz="0" w:space="0" w:color="auto"/>
                                  </w:divBdr>
                                  <w:divsChild>
                                    <w:div w:id="1257013240">
                                      <w:marLeft w:val="0"/>
                                      <w:marRight w:val="0"/>
                                      <w:marTop w:val="0"/>
                                      <w:marBottom w:val="0"/>
                                      <w:divBdr>
                                        <w:top w:val="none" w:sz="0" w:space="0" w:color="auto"/>
                                        <w:left w:val="none" w:sz="0" w:space="0" w:color="auto"/>
                                        <w:bottom w:val="none" w:sz="0" w:space="0" w:color="auto"/>
                                        <w:right w:val="none" w:sz="0" w:space="0" w:color="auto"/>
                                      </w:divBdr>
                                      <w:divsChild>
                                        <w:div w:id="657266675">
                                          <w:marLeft w:val="0"/>
                                          <w:marRight w:val="0"/>
                                          <w:marTop w:val="0"/>
                                          <w:marBottom w:val="120"/>
                                          <w:divBdr>
                                            <w:top w:val="none" w:sz="0" w:space="0" w:color="auto"/>
                                            <w:left w:val="none" w:sz="0" w:space="0" w:color="auto"/>
                                            <w:bottom w:val="single" w:sz="6" w:space="0" w:color="DDDDDD"/>
                                            <w:right w:val="none" w:sz="0" w:space="0" w:color="auto"/>
                                          </w:divBdr>
                                          <w:divsChild>
                                            <w:div w:id="91779331">
                                              <w:marLeft w:val="0"/>
                                              <w:marRight w:val="0"/>
                                              <w:marTop w:val="0"/>
                                              <w:marBottom w:val="0"/>
                                              <w:divBdr>
                                                <w:top w:val="none" w:sz="0" w:space="0" w:color="auto"/>
                                                <w:left w:val="none" w:sz="0" w:space="0" w:color="auto"/>
                                                <w:bottom w:val="none" w:sz="0" w:space="0" w:color="auto"/>
                                                <w:right w:val="none" w:sz="0" w:space="0" w:color="auto"/>
                                              </w:divBdr>
                                              <w:divsChild>
                                                <w:div w:id="1098017339">
                                                  <w:marLeft w:val="0"/>
                                                  <w:marRight w:val="0"/>
                                                  <w:marTop w:val="0"/>
                                                  <w:marBottom w:val="0"/>
                                                  <w:divBdr>
                                                    <w:top w:val="none" w:sz="0" w:space="0" w:color="auto"/>
                                                    <w:left w:val="none" w:sz="0" w:space="0" w:color="auto"/>
                                                    <w:bottom w:val="none" w:sz="0" w:space="0" w:color="auto"/>
                                                    <w:right w:val="none" w:sz="0" w:space="0" w:color="auto"/>
                                                  </w:divBdr>
                                                  <w:divsChild>
                                                    <w:div w:id="2624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554454">
      <w:bodyDiv w:val="1"/>
      <w:marLeft w:val="0"/>
      <w:marRight w:val="0"/>
      <w:marTop w:val="0"/>
      <w:marBottom w:val="0"/>
      <w:divBdr>
        <w:top w:val="none" w:sz="0" w:space="0" w:color="auto"/>
        <w:left w:val="none" w:sz="0" w:space="0" w:color="auto"/>
        <w:bottom w:val="none" w:sz="0" w:space="0" w:color="auto"/>
        <w:right w:val="none" w:sz="0" w:space="0" w:color="auto"/>
      </w:divBdr>
    </w:div>
    <w:div w:id="617223826">
      <w:bodyDiv w:val="1"/>
      <w:marLeft w:val="0"/>
      <w:marRight w:val="0"/>
      <w:marTop w:val="0"/>
      <w:marBottom w:val="0"/>
      <w:divBdr>
        <w:top w:val="none" w:sz="0" w:space="0" w:color="auto"/>
        <w:left w:val="none" w:sz="0" w:space="0" w:color="auto"/>
        <w:bottom w:val="none" w:sz="0" w:space="0" w:color="auto"/>
        <w:right w:val="none" w:sz="0" w:space="0" w:color="auto"/>
      </w:divBdr>
    </w:div>
    <w:div w:id="648052267">
      <w:bodyDiv w:val="1"/>
      <w:marLeft w:val="0"/>
      <w:marRight w:val="0"/>
      <w:marTop w:val="0"/>
      <w:marBottom w:val="0"/>
      <w:divBdr>
        <w:top w:val="none" w:sz="0" w:space="0" w:color="auto"/>
        <w:left w:val="none" w:sz="0" w:space="0" w:color="auto"/>
        <w:bottom w:val="none" w:sz="0" w:space="0" w:color="auto"/>
        <w:right w:val="none" w:sz="0" w:space="0" w:color="auto"/>
      </w:divBdr>
    </w:div>
    <w:div w:id="729614479">
      <w:bodyDiv w:val="1"/>
      <w:marLeft w:val="0"/>
      <w:marRight w:val="0"/>
      <w:marTop w:val="0"/>
      <w:marBottom w:val="0"/>
      <w:divBdr>
        <w:top w:val="none" w:sz="0" w:space="0" w:color="auto"/>
        <w:left w:val="none" w:sz="0" w:space="0" w:color="auto"/>
        <w:bottom w:val="none" w:sz="0" w:space="0" w:color="auto"/>
        <w:right w:val="none" w:sz="0" w:space="0" w:color="auto"/>
      </w:divBdr>
    </w:div>
    <w:div w:id="738215267">
      <w:bodyDiv w:val="1"/>
      <w:marLeft w:val="0"/>
      <w:marRight w:val="0"/>
      <w:marTop w:val="0"/>
      <w:marBottom w:val="0"/>
      <w:divBdr>
        <w:top w:val="none" w:sz="0" w:space="0" w:color="auto"/>
        <w:left w:val="none" w:sz="0" w:space="0" w:color="auto"/>
        <w:bottom w:val="none" w:sz="0" w:space="0" w:color="auto"/>
        <w:right w:val="none" w:sz="0" w:space="0" w:color="auto"/>
      </w:divBdr>
    </w:div>
    <w:div w:id="771248451">
      <w:bodyDiv w:val="1"/>
      <w:marLeft w:val="0"/>
      <w:marRight w:val="0"/>
      <w:marTop w:val="0"/>
      <w:marBottom w:val="0"/>
      <w:divBdr>
        <w:top w:val="none" w:sz="0" w:space="0" w:color="auto"/>
        <w:left w:val="none" w:sz="0" w:space="0" w:color="auto"/>
        <w:bottom w:val="none" w:sz="0" w:space="0" w:color="auto"/>
        <w:right w:val="none" w:sz="0" w:space="0" w:color="auto"/>
      </w:divBdr>
    </w:div>
    <w:div w:id="1180395008">
      <w:bodyDiv w:val="1"/>
      <w:marLeft w:val="0"/>
      <w:marRight w:val="0"/>
      <w:marTop w:val="0"/>
      <w:marBottom w:val="0"/>
      <w:divBdr>
        <w:top w:val="none" w:sz="0" w:space="0" w:color="auto"/>
        <w:left w:val="none" w:sz="0" w:space="0" w:color="auto"/>
        <w:bottom w:val="none" w:sz="0" w:space="0" w:color="auto"/>
        <w:right w:val="none" w:sz="0" w:space="0" w:color="auto"/>
      </w:divBdr>
    </w:div>
    <w:div w:id="1239442011">
      <w:bodyDiv w:val="1"/>
      <w:marLeft w:val="0"/>
      <w:marRight w:val="0"/>
      <w:marTop w:val="0"/>
      <w:marBottom w:val="0"/>
      <w:divBdr>
        <w:top w:val="none" w:sz="0" w:space="0" w:color="auto"/>
        <w:left w:val="none" w:sz="0" w:space="0" w:color="auto"/>
        <w:bottom w:val="none" w:sz="0" w:space="0" w:color="auto"/>
        <w:right w:val="none" w:sz="0" w:space="0" w:color="auto"/>
      </w:divBdr>
    </w:div>
    <w:div w:id="1244220238">
      <w:bodyDiv w:val="1"/>
      <w:marLeft w:val="0"/>
      <w:marRight w:val="0"/>
      <w:marTop w:val="0"/>
      <w:marBottom w:val="0"/>
      <w:divBdr>
        <w:top w:val="none" w:sz="0" w:space="0" w:color="auto"/>
        <w:left w:val="none" w:sz="0" w:space="0" w:color="auto"/>
        <w:bottom w:val="none" w:sz="0" w:space="0" w:color="auto"/>
        <w:right w:val="none" w:sz="0" w:space="0" w:color="auto"/>
      </w:divBdr>
    </w:div>
    <w:div w:id="1273316002">
      <w:bodyDiv w:val="1"/>
      <w:marLeft w:val="0"/>
      <w:marRight w:val="0"/>
      <w:marTop w:val="0"/>
      <w:marBottom w:val="0"/>
      <w:divBdr>
        <w:top w:val="none" w:sz="0" w:space="0" w:color="auto"/>
        <w:left w:val="none" w:sz="0" w:space="0" w:color="auto"/>
        <w:bottom w:val="none" w:sz="0" w:space="0" w:color="auto"/>
        <w:right w:val="none" w:sz="0" w:space="0" w:color="auto"/>
      </w:divBdr>
    </w:div>
    <w:div w:id="1336179815">
      <w:bodyDiv w:val="1"/>
      <w:marLeft w:val="0"/>
      <w:marRight w:val="0"/>
      <w:marTop w:val="0"/>
      <w:marBottom w:val="0"/>
      <w:divBdr>
        <w:top w:val="none" w:sz="0" w:space="0" w:color="auto"/>
        <w:left w:val="none" w:sz="0" w:space="0" w:color="auto"/>
        <w:bottom w:val="none" w:sz="0" w:space="0" w:color="auto"/>
        <w:right w:val="none" w:sz="0" w:space="0" w:color="auto"/>
      </w:divBdr>
      <w:divsChild>
        <w:div w:id="1771584278">
          <w:marLeft w:val="0"/>
          <w:marRight w:val="0"/>
          <w:marTop w:val="0"/>
          <w:marBottom w:val="0"/>
          <w:divBdr>
            <w:top w:val="none" w:sz="0" w:space="0" w:color="auto"/>
            <w:left w:val="none" w:sz="0" w:space="0" w:color="auto"/>
            <w:bottom w:val="none" w:sz="0" w:space="0" w:color="auto"/>
            <w:right w:val="none" w:sz="0" w:space="0" w:color="auto"/>
          </w:divBdr>
        </w:div>
      </w:divsChild>
    </w:div>
    <w:div w:id="1450319211">
      <w:bodyDiv w:val="1"/>
      <w:marLeft w:val="0"/>
      <w:marRight w:val="0"/>
      <w:marTop w:val="0"/>
      <w:marBottom w:val="0"/>
      <w:divBdr>
        <w:top w:val="none" w:sz="0" w:space="0" w:color="auto"/>
        <w:left w:val="none" w:sz="0" w:space="0" w:color="auto"/>
        <w:bottom w:val="none" w:sz="0" w:space="0" w:color="auto"/>
        <w:right w:val="none" w:sz="0" w:space="0" w:color="auto"/>
      </w:divBdr>
    </w:div>
    <w:div w:id="1500465709">
      <w:bodyDiv w:val="1"/>
      <w:marLeft w:val="0"/>
      <w:marRight w:val="0"/>
      <w:marTop w:val="0"/>
      <w:marBottom w:val="0"/>
      <w:divBdr>
        <w:top w:val="none" w:sz="0" w:space="0" w:color="auto"/>
        <w:left w:val="none" w:sz="0" w:space="0" w:color="auto"/>
        <w:bottom w:val="none" w:sz="0" w:space="0" w:color="auto"/>
        <w:right w:val="none" w:sz="0" w:space="0" w:color="auto"/>
      </w:divBdr>
    </w:div>
    <w:div w:id="1506281662">
      <w:bodyDiv w:val="1"/>
      <w:marLeft w:val="0"/>
      <w:marRight w:val="0"/>
      <w:marTop w:val="0"/>
      <w:marBottom w:val="0"/>
      <w:divBdr>
        <w:top w:val="none" w:sz="0" w:space="0" w:color="auto"/>
        <w:left w:val="none" w:sz="0" w:space="0" w:color="auto"/>
        <w:bottom w:val="none" w:sz="0" w:space="0" w:color="auto"/>
        <w:right w:val="none" w:sz="0" w:space="0" w:color="auto"/>
      </w:divBdr>
    </w:div>
    <w:div w:id="1689209942">
      <w:bodyDiv w:val="1"/>
      <w:marLeft w:val="0"/>
      <w:marRight w:val="0"/>
      <w:marTop w:val="0"/>
      <w:marBottom w:val="0"/>
      <w:divBdr>
        <w:top w:val="none" w:sz="0" w:space="0" w:color="auto"/>
        <w:left w:val="none" w:sz="0" w:space="0" w:color="auto"/>
        <w:bottom w:val="none" w:sz="0" w:space="0" w:color="auto"/>
        <w:right w:val="none" w:sz="0" w:space="0" w:color="auto"/>
      </w:divBdr>
    </w:div>
    <w:div w:id="1722947412">
      <w:bodyDiv w:val="1"/>
      <w:marLeft w:val="0"/>
      <w:marRight w:val="0"/>
      <w:marTop w:val="0"/>
      <w:marBottom w:val="0"/>
      <w:divBdr>
        <w:top w:val="none" w:sz="0" w:space="0" w:color="auto"/>
        <w:left w:val="none" w:sz="0" w:space="0" w:color="auto"/>
        <w:bottom w:val="none" w:sz="0" w:space="0" w:color="auto"/>
        <w:right w:val="none" w:sz="0" w:space="0" w:color="auto"/>
      </w:divBdr>
    </w:div>
    <w:div w:id="1769420582">
      <w:bodyDiv w:val="1"/>
      <w:marLeft w:val="0"/>
      <w:marRight w:val="0"/>
      <w:marTop w:val="0"/>
      <w:marBottom w:val="0"/>
      <w:divBdr>
        <w:top w:val="none" w:sz="0" w:space="0" w:color="auto"/>
        <w:left w:val="none" w:sz="0" w:space="0" w:color="auto"/>
        <w:bottom w:val="none" w:sz="0" w:space="0" w:color="auto"/>
        <w:right w:val="none" w:sz="0" w:space="0" w:color="auto"/>
      </w:divBdr>
    </w:div>
    <w:div w:id="1808431823">
      <w:bodyDiv w:val="1"/>
      <w:marLeft w:val="0"/>
      <w:marRight w:val="0"/>
      <w:marTop w:val="0"/>
      <w:marBottom w:val="0"/>
      <w:divBdr>
        <w:top w:val="none" w:sz="0" w:space="0" w:color="auto"/>
        <w:left w:val="none" w:sz="0" w:space="0" w:color="auto"/>
        <w:bottom w:val="none" w:sz="0" w:space="0" w:color="auto"/>
        <w:right w:val="none" w:sz="0" w:space="0" w:color="auto"/>
      </w:divBdr>
    </w:div>
    <w:div w:id="1814905142">
      <w:bodyDiv w:val="1"/>
      <w:marLeft w:val="0"/>
      <w:marRight w:val="0"/>
      <w:marTop w:val="0"/>
      <w:marBottom w:val="0"/>
      <w:divBdr>
        <w:top w:val="none" w:sz="0" w:space="0" w:color="auto"/>
        <w:left w:val="none" w:sz="0" w:space="0" w:color="auto"/>
        <w:bottom w:val="none" w:sz="0" w:space="0" w:color="auto"/>
        <w:right w:val="none" w:sz="0" w:space="0" w:color="auto"/>
      </w:divBdr>
    </w:div>
    <w:div w:id="1884900023">
      <w:bodyDiv w:val="1"/>
      <w:marLeft w:val="0"/>
      <w:marRight w:val="0"/>
      <w:marTop w:val="0"/>
      <w:marBottom w:val="0"/>
      <w:divBdr>
        <w:top w:val="none" w:sz="0" w:space="0" w:color="auto"/>
        <w:left w:val="none" w:sz="0" w:space="0" w:color="auto"/>
        <w:bottom w:val="none" w:sz="0" w:space="0" w:color="auto"/>
        <w:right w:val="none" w:sz="0" w:space="0" w:color="auto"/>
      </w:divBdr>
    </w:div>
    <w:div w:id="2013754166">
      <w:bodyDiv w:val="1"/>
      <w:marLeft w:val="0"/>
      <w:marRight w:val="0"/>
      <w:marTop w:val="0"/>
      <w:marBottom w:val="0"/>
      <w:divBdr>
        <w:top w:val="none" w:sz="0" w:space="0" w:color="auto"/>
        <w:left w:val="none" w:sz="0" w:space="0" w:color="auto"/>
        <w:bottom w:val="none" w:sz="0" w:space="0" w:color="auto"/>
        <w:right w:val="none" w:sz="0" w:space="0" w:color="auto"/>
      </w:divBdr>
      <w:divsChild>
        <w:div w:id="616180829">
          <w:marLeft w:val="0"/>
          <w:marRight w:val="0"/>
          <w:marTop w:val="0"/>
          <w:marBottom w:val="0"/>
          <w:divBdr>
            <w:top w:val="none" w:sz="0" w:space="0" w:color="auto"/>
            <w:left w:val="none" w:sz="0" w:space="0" w:color="auto"/>
            <w:bottom w:val="none" w:sz="0" w:space="0" w:color="auto"/>
            <w:right w:val="none" w:sz="0" w:space="0" w:color="auto"/>
          </w:divBdr>
        </w:div>
      </w:divsChild>
    </w:div>
    <w:div w:id="2039357357">
      <w:bodyDiv w:val="1"/>
      <w:marLeft w:val="0"/>
      <w:marRight w:val="0"/>
      <w:marTop w:val="0"/>
      <w:marBottom w:val="0"/>
      <w:divBdr>
        <w:top w:val="none" w:sz="0" w:space="0" w:color="auto"/>
        <w:left w:val="none" w:sz="0" w:space="0" w:color="auto"/>
        <w:bottom w:val="none" w:sz="0" w:space="0" w:color="auto"/>
        <w:right w:val="none" w:sz="0" w:space="0" w:color="auto"/>
      </w:divBdr>
    </w:div>
    <w:div w:id="210418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3055698.2019.16819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0C02B-F69D-4C60-A598-9E5F2A27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8280</Words>
  <Characters>47198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55368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2019-09-26T12:58:00Z</dcterms:created>
  <dcterms:modified xsi:type="dcterms:W3CDTF">2024-05-10T06:27:00Z</dcterms:modified>
</cp:coreProperties>
</file>